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58241"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25E97C38" w14:textId="528A1307" w:rsidR="00BE4E94" w:rsidRPr="00F16EF1" w:rsidRDefault="00C061B8" w:rsidP="00F16EF1">
      <w:pPr>
        <w:pStyle w:val="BATitle"/>
        <w:spacing w:before="0" w:line="240" w:lineRule="auto"/>
        <w:ind w:right="0"/>
        <w:jc w:val="both"/>
        <w:rPr>
          <w:sz w:val="32"/>
          <w:lang w:val="pt-BR"/>
        </w:rPr>
      </w:pPr>
      <w:r>
        <w:rPr>
          <w:sz w:val="32"/>
          <w:lang w:val="pt-BR"/>
        </w:rPr>
        <w:t>Estruturas core@shell</w:t>
      </w:r>
      <w:r w:rsidR="002A4BED">
        <w:rPr>
          <w:sz w:val="32"/>
          <w:lang w:val="pt-BR"/>
        </w:rPr>
        <w:t xml:space="preserve"> baseadas em silicatos de níquel para aplicação na reforma seca do metano</w:t>
      </w:r>
      <w:r w:rsidR="003D4831">
        <w:rPr>
          <w:sz w:val="32"/>
          <w:lang w:val="pt-BR"/>
        </w:rPr>
        <w:t xml:space="preserve">: </w:t>
      </w:r>
      <w:r w:rsidR="00B23955">
        <w:rPr>
          <w:sz w:val="32"/>
          <w:lang w:val="pt-BR"/>
        </w:rPr>
        <w:t>m</w:t>
      </w:r>
      <w:r w:rsidR="002A4BED">
        <w:rPr>
          <w:sz w:val="32"/>
          <w:lang w:val="pt-BR"/>
        </w:rPr>
        <w:t xml:space="preserve">étodo Stöber-AE </w:t>
      </w:r>
    </w:p>
    <w:p w14:paraId="18735493" w14:textId="53F5A42F" w:rsidR="00EA4E1B" w:rsidRPr="00396C4B" w:rsidRDefault="00572198" w:rsidP="00396C4B">
      <w:pPr>
        <w:pStyle w:val="BBAuthorName"/>
        <w:tabs>
          <w:tab w:val="left" w:pos="9923"/>
        </w:tabs>
        <w:spacing w:after="120"/>
        <w:ind w:right="322"/>
        <w:jc w:val="both"/>
        <w:rPr>
          <w:rFonts w:ascii="Times New Roman" w:hAnsi="Times New Roman"/>
          <w:bCs/>
          <w:sz w:val="20"/>
          <w:lang w:val="pt-BR"/>
        </w:rPr>
      </w:pPr>
      <w:r w:rsidRPr="0004227D">
        <w:rPr>
          <w:rFonts w:ascii="Times New Roman" w:hAnsi="Times New Roman"/>
          <w:sz w:val="20"/>
          <w:lang w:val="pt-BR"/>
        </w:rPr>
        <w:t xml:space="preserve">Breno C. </w:t>
      </w:r>
      <w:proofErr w:type="spellStart"/>
      <w:r w:rsidRPr="0004227D">
        <w:rPr>
          <w:rFonts w:ascii="Times New Roman" w:hAnsi="Times New Roman"/>
          <w:sz w:val="20"/>
          <w:lang w:val="pt-BR"/>
        </w:rPr>
        <w:t>da</w:t>
      </w:r>
      <w:proofErr w:type="spellEnd"/>
      <w:r w:rsidRPr="0004227D">
        <w:rPr>
          <w:rFonts w:ascii="Times New Roman" w:hAnsi="Times New Roman"/>
          <w:sz w:val="20"/>
          <w:lang w:val="pt-BR"/>
        </w:rPr>
        <w:t xml:space="preserve"> Silva</w:t>
      </w:r>
      <w:r w:rsidR="00EA4E1B" w:rsidRPr="0004227D">
        <w:rPr>
          <w:rFonts w:ascii="Times New Roman" w:hAnsi="Times New Roman"/>
          <w:sz w:val="20"/>
          <w:vertAlign w:val="superscript"/>
          <w:lang w:val="pt-BR"/>
        </w:rPr>
        <w:t>1</w:t>
      </w:r>
      <w:r w:rsidR="00666D08">
        <w:rPr>
          <w:rFonts w:ascii="Times New Roman" w:hAnsi="Times New Roman"/>
          <w:sz w:val="20"/>
          <w:vertAlign w:val="superscript"/>
          <w:lang w:val="pt-BR"/>
        </w:rPr>
        <w:t>*</w:t>
      </w:r>
      <w:r w:rsidR="00A86525" w:rsidRPr="0004227D">
        <w:rPr>
          <w:rFonts w:ascii="Times New Roman" w:hAnsi="Times New Roman"/>
          <w:sz w:val="20"/>
          <w:lang w:val="pt-BR"/>
        </w:rPr>
        <w:t>,</w:t>
      </w:r>
      <w:r w:rsidR="00EB7EA8" w:rsidRPr="00EB7EA8">
        <w:rPr>
          <w:rFonts w:ascii="Times New Roman" w:hAnsi="Times New Roman"/>
          <w:sz w:val="20"/>
          <w:lang w:val="pt-BR"/>
        </w:rPr>
        <w:t xml:space="preserve"> </w:t>
      </w:r>
      <w:r w:rsidR="00EB7EA8" w:rsidRPr="0004227D">
        <w:rPr>
          <w:rFonts w:ascii="Times New Roman" w:hAnsi="Times New Roman"/>
          <w:sz w:val="20"/>
          <w:lang w:val="pt-BR"/>
        </w:rPr>
        <w:t>Pedro H. C. Bastos</w:t>
      </w:r>
      <w:r w:rsidR="00EB7EA8" w:rsidRPr="0004227D">
        <w:rPr>
          <w:rFonts w:ascii="Times New Roman" w:hAnsi="Times New Roman"/>
          <w:sz w:val="20"/>
          <w:vertAlign w:val="superscript"/>
          <w:lang w:val="pt-BR"/>
        </w:rPr>
        <w:t>1</w:t>
      </w:r>
      <w:r w:rsidR="00EB7EA8" w:rsidRPr="00351F62">
        <w:rPr>
          <w:rFonts w:ascii="Times New Roman" w:hAnsi="Times New Roman"/>
          <w:sz w:val="20"/>
          <w:vertAlign w:val="subscript"/>
          <w:lang w:val="pt-BR"/>
        </w:rPr>
        <w:t>,</w:t>
      </w:r>
      <w:r w:rsidR="00EB7EA8" w:rsidRPr="00351F62">
        <w:rPr>
          <w:rFonts w:ascii="Times New Roman" w:hAnsi="Times New Roman"/>
          <w:sz w:val="20"/>
          <w:lang w:val="pt-BR"/>
        </w:rPr>
        <w:t xml:space="preserve"> Igor R. Neves</w:t>
      </w:r>
      <w:r w:rsidR="00EB7EA8" w:rsidRPr="00351F62">
        <w:rPr>
          <w:rFonts w:ascii="Times New Roman" w:hAnsi="Times New Roman"/>
          <w:sz w:val="20"/>
          <w:vertAlign w:val="superscript"/>
          <w:lang w:val="pt-BR"/>
        </w:rPr>
        <w:t>1</w:t>
      </w:r>
      <w:r w:rsidR="00EB7EA8" w:rsidRPr="00351F62">
        <w:rPr>
          <w:rFonts w:ascii="Times New Roman" w:hAnsi="Times New Roman"/>
          <w:sz w:val="20"/>
          <w:lang w:val="pt-BR"/>
        </w:rPr>
        <w:t>,</w:t>
      </w:r>
      <w:r w:rsidR="00EB7EA8">
        <w:rPr>
          <w:rFonts w:ascii="Times New Roman" w:hAnsi="Times New Roman"/>
          <w:sz w:val="20"/>
          <w:lang w:val="pt-BR"/>
        </w:rPr>
        <w:t xml:space="preserve"> </w:t>
      </w:r>
      <w:proofErr w:type="spellStart"/>
      <w:r w:rsidR="00EB7EA8">
        <w:rPr>
          <w:rFonts w:ascii="Times New Roman" w:hAnsi="Times New Roman"/>
          <w:sz w:val="20"/>
          <w:lang w:val="pt-BR"/>
        </w:rPr>
        <w:t>T</w:t>
      </w:r>
      <w:r w:rsidR="00343BF5">
        <w:rPr>
          <w:rFonts w:ascii="Times New Roman" w:hAnsi="Times New Roman"/>
          <w:sz w:val="20"/>
          <w:lang w:val="pt-BR"/>
        </w:rPr>
        <w:t>ahyana</w:t>
      </w:r>
      <w:proofErr w:type="spellEnd"/>
      <w:r w:rsidR="00343BF5">
        <w:rPr>
          <w:rFonts w:ascii="Times New Roman" w:hAnsi="Times New Roman"/>
          <w:sz w:val="20"/>
          <w:lang w:val="pt-BR"/>
        </w:rPr>
        <w:t xml:space="preserve"> </w:t>
      </w:r>
      <w:r w:rsidR="009651D9">
        <w:rPr>
          <w:rFonts w:ascii="Times New Roman" w:hAnsi="Times New Roman"/>
          <w:sz w:val="20"/>
          <w:lang w:val="pt-BR"/>
        </w:rPr>
        <w:t>C. Rangel</w:t>
      </w:r>
      <w:r w:rsidR="002B23F9" w:rsidRPr="002B23F9">
        <w:rPr>
          <w:rFonts w:ascii="Times New Roman" w:hAnsi="Times New Roman"/>
          <w:sz w:val="20"/>
          <w:vertAlign w:val="superscript"/>
          <w:lang w:val="pt-BR"/>
        </w:rPr>
        <w:t>1</w:t>
      </w:r>
      <w:r w:rsidR="009651D9">
        <w:rPr>
          <w:rFonts w:ascii="Times New Roman" w:hAnsi="Times New Roman"/>
          <w:sz w:val="20"/>
          <w:lang w:val="pt-BR"/>
        </w:rPr>
        <w:t>,</w:t>
      </w:r>
      <w:r w:rsidR="00396C4B">
        <w:rPr>
          <w:rFonts w:ascii="Times New Roman" w:hAnsi="Times New Roman"/>
          <w:sz w:val="20"/>
          <w:lang w:val="pt-BR"/>
        </w:rPr>
        <w:t xml:space="preserve"> </w:t>
      </w:r>
      <w:r w:rsidR="007F614F">
        <w:rPr>
          <w:rFonts w:ascii="Times New Roman" w:hAnsi="Times New Roman"/>
          <w:sz w:val="20"/>
          <w:lang w:val="pt-BR"/>
        </w:rPr>
        <w:t>Tamires, M. M. M</w:t>
      </w:r>
      <w:r w:rsidR="00115D39">
        <w:rPr>
          <w:rFonts w:ascii="Times New Roman" w:hAnsi="Times New Roman"/>
          <w:sz w:val="20"/>
          <w:lang w:val="pt-BR"/>
        </w:rPr>
        <w:t>ilhazes</w:t>
      </w:r>
      <w:r w:rsidR="007F614F" w:rsidRPr="0004227D">
        <w:rPr>
          <w:rFonts w:ascii="Times New Roman" w:hAnsi="Times New Roman"/>
          <w:sz w:val="20"/>
          <w:vertAlign w:val="superscript"/>
          <w:lang w:val="pt-BR"/>
        </w:rPr>
        <w:t>1</w:t>
      </w:r>
      <w:r w:rsidR="007F614F">
        <w:rPr>
          <w:rFonts w:ascii="Times New Roman" w:hAnsi="Times New Roman"/>
          <w:sz w:val="20"/>
          <w:lang w:val="pt-BR"/>
        </w:rPr>
        <w:t>,</w:t>
      </w:r>
      <w:r w:rsidR="00396C4B">
        <w:rPr>
          <w:rFonts w:ascii="Times New Roman" w:hAnsi="Times New Roman"/>
          <w:sz w:val="20"/>
          <w:lang w:val="pt-BR"/>
        </w:rPr>
        <w:t xml:space="preserve"> </w:t>
      </w:r>
      <w:r w:rsidR="00396C4B" w:rsidRPr="00396C4B">
        <w:rPr>
          <w:rFonts w:ascii="Times New Roman" w:hAnsi="Times New Roman"/>
          <w:bCs/>
          <w:sz w:val="20"/>
          <w:lang w:val="pt-BR"/>
        </w:rPr>
        <w:t>Noemi R</w:t>
      </w:r>
      <w:r w:rsidR="00396C4B">
        <w:rPr>
          <w:rFonts w:ascii="Times New Roman" w:hAnsi="Times New Roman"/>
          <w:bCs/>
          <w:sz w:val="20"/>
          <w:lang w:val="pt-BR"/>
        </w:rPr>
        <w:t>.</w:t>
      </w:r>
      <w:r w:rsidR="00396C4B" w:rsidRPr="00396C4B">
        <w:rPr>
          <w:rFonts w:ascii="Times New Roman" w:hAnsi="Times New Roman"/>
          <w:bCs/>
          <w:sz w:val="20"/>
          <w:lang w:val="pt-BR"/>
        </w:rPr>
        <w:t xml:space="preserve"> C</w:t>
      </w:r>
      <w:r w:rsidR="00396C4B">
        <w:rPr>
          <w:rFonts w:ascii="Times New Roman" w:hAnsi="Times New Roman"/>
          <w:bCs/>
          <w:sz w:val="20"/>
          <w:lang w:val="pt-BR"/>
        </w:rPr>
        <w:t>.</w:t>
      </w:r>
      <w:r w:rsidR="00396C4B" w:rsidRPr="00396C4B">
        <w:rPr>
          <w:rFonts w:ascii="Times New Roman" w:hAnsi="Times New Roman"/>
          <w:bCs/>
          <w:sz w:val="20"/>
          <w:lang w:val="pt-BR"/>
        </w:rPr>
        <w:t xml:space="preserve"> Huaman</w:t>
      </w:r>
      <w:r w:rsidR="00D70541">
        <w:rPr>
          <w:rFonts w:ascii="Times New Roman" w:hAnsi="Times New Roman"/>
          <w:sz w:val="20"/>
          <w:vertAlign w:val="superscript"/>
          <w:lang w:val="pt-BR"/>
        </w:rPr>
        <w:t>2</w:t>
      </w:r>
      <w:r w:rsidR="00396C4B">
        <w:rPr>
          <w:rFonts w:ascii="Times New Roman" w:hAnsi="Times New Roman"/>
          <w:bCs/>
          <w:sz w:val="20"/>
          <w:lang w:val="pt-BR"/>
        </w:rPr>
        <w:t>,</w:t>
      </w:r>
      <w:r w:rsidR="00FB065D">
        <w:rPr>
          <w:rFonts w:ascii="Times New Roman" w:hAnsi="Times New Roman"/>
          <w:sz w:val="20"/>
          <w:lang w:val="pt-BR"/>
        </w:rPr>
        <w:t xml:space="preserve"> </w:t>
      </w:r>
      <w:r w:rsidR="0004227D" w:rsidRPr="0004227D">
        <w:rPr>
          <w:rFonts w:ascii="Times New Roman" w:hAnsi="Times New Roman"/>
          <w:sz w:val="20"/>
          <w:lang w:val="pt-BR"/>
        </w:rPr>
        <w:t>Soraia T. Brandão</w:t>
      </w:r>
      <w:r w:rsidR="0004227D" w:rsidRPr="0004227D">
        <w:rPr>
          <w:rFonts w:ascii="Times New Roman" w:hAnsi="Times New Roman"/>
          <w:sz w:val="20"/>
          <w:vertAlign w:val="superscript"/>
          <w:lang w:val="pt-BR"/>
        </w:rPr>
        <w:t>1</w:t>
      </w:r>
      <w:r w:rsidR="00A86525" w:rsidRPr="0004227D">
        <w:rPr>
          <w:rFonts w:ascii="Times New Roman" w:hAnsi="Times New Roman"/>
          <w:sz w:val="20"/>
          <w:lang w:val="pt-BR"/>
        </w:rPr>
        <w:t xml:space="preserve"> </w:t>
      </w:r>
    </w:p>
    <w:p w14:paraId="1851E0F5" w14:textId="77777777" w:rsidR="0022636F" w:rsidRPr="00A66174" w:rsidRDefault="00EA4E1B" w:rsidP="0022636F">
      <w:pPr>
        <w:pStyle w:val="BCAuthorAddress"/>
        <w:ind w:right="39"/>
        <w:rPr>
          <w:lang w:val="pt-BR"/>
        </w:rPr>
      </w:pPr>
      <w:r w:rsidRPr="00570671">
        <w:rPr>
          <w:vertAlign w:val="superscript"/>
          <w:lang w:val="pt-BR"/>
        </w:rPr>
        <w:t>1</w:t>
      </w:r>
      <w:r w:rsidR="008D5EA9" w:rsidRPr="00570671">
        <w:rPr>
          <w:lang w:val="pt-BR"/>
        </w:rPr>
        <w:t xml:space="preserve"> Universidade Federal da Bahia – UFBA, Instituto de Química, Grupo de Catálise e Polímeros, Rua Barão de </w:t>
      </w:r>
      <w:proofErr w:type="spellStart"/>
      <w:r w:rsidR="008D5EA9" w:rsidRPr="00570671">
        <w:rPr>
          <w:lang w:val="pt-BR"/>
        </w:rPr>
        <w:t>Geremoabo</w:t>
      </w:r>
      <w:proofErr w:type="spellEnd"/>
      <w:r w:rsidR="008D5EA9" w:rsidRPr="00570671">
        <w:rPr>
          <w:lang w:val="pt-BR"/>
        </w:rPr>
        <w:t xml:space="preserve"> s/n, Ondina, Salvador – BA.  </w:t>
      </w:r>
      <w:r w:rsidR="008D5EA9" w:rsidRPr="00A66174">
        <w:rPr>
          <w:lang w:val="pt-BR"/>
        </w:rPr>
        <w:t>CEP.40170290</w:t>
      </w:r>
    </w:p>
    <w:p w14:paraId="0166277D" w14:textId="20CD3AE9" w:rsidR="008D5EA9" w:rsidRPr="00485951" w:rsidRDefault="00485951" w:rsidP="00485951">
      <w:pPr>
        <w:pStyle w:val="BCAuthorAddress"/>
        <w:ind w:right="39"/>
        <w:rPr>
          <w:lang w:val="pt-BR"/>
        </w:rPr>
      </w:pPr>
      <w:r>
        <w:rPr>
          <w:vertAlign w:val="superscript"/>
          <w:lang w:val="pt-BR"/>
        </w:rPr>
        <w:t xml:space="preserve">2 </w:t>
      </w:r>
      <w:r w:rsidR="0022636F" w:rsidRPr="0022636F">
        <w:rPr>
          <w:lang w:val="pt-BR"/>
        </w:rPr>
        <w:t>Centro Brasileiro de Pesquisas Físicas, R. Dr. Xavier Sigaud 150, 22290-180, Rio de Janeiro-RJ, Brasil.</w:t>
      </w:r>
    </w:p>
    <w:p w14:paraId="027D0756" w14:textId="47058714" w:rsidR="004C466F" w:rsidRPr="005229C7" w:rsidRDefault="004C466F" w:rsidP="008D5EA9">
      <w:pPr>
        <w:pStyle w:val="BCAuthorAddress"/>
        <w:spacing w:after="0"/>
        <w:ind w:right="0"/>
        <w:jc w:val="both"/>
        <w:rPr>
          <w:lang w:val="pt-BR"/>
        </w:rPr>
      </w:pPr>
      <w:r w:rsidRPr="00570671">
        <w:rPr>
          <w:lang w:val="pt-BR"/>
        </w:rPr>
        <w:t>*breno.cerqueira@ufba.br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40"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5852718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5852718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3EEE5A09" w:rsidR="00EA4E1B" w:rsidRPr="009E0D54" w:rsidRDefault="00EA4E1B" w:rsidP="004D1BDC">
      <w:pPr>
        <w:pStyle w:val="BDAbstract"/>
        <w:spacing w:before="0" w:line="240" w:lineRule="auto"/>
        <w:rPr>
          <w:rFonts w:cs="Helvetica"/>
          <w:b w:val="0"/>
          <w:sz w:val="22"/>
          <w:szCs w:val="22"/>
          <w:lang w:val="pt-BR"/>
        </w:rPr>
      </w:pPr>
      <w:r w:rsidRPr="009E0D54">
        <w:rPr>
          <w:rFonts w:cs="Helvetica"/>
          <w:b w:val="0"/>
          <w:sz w:val="22"/>
          <w:szCs w:val="22"/>
          <w:lang w:val="pt-BR"/>
        </w:rPr>
        <w:t xml:space="preserve">RESUMO </w:t>
      </w:r>
      <w:r w:rsidR="003D1F77" w:rsidRPr="009E0D54">
        <w:rPr>
          <w:rFonts w:cs="Helvetica"/>
          <w:b w:val="0"/>
          <w:sz w:val="22"/>
          <w:szCs w:val="22"/>
          <w:lang w:val="pt-BR"/>
        </w:rPr>
        <w:t>–</w:t>
      </w:r>
      <w:r w:rsidRPr="009E0D54">
        <w:rPr>
          <w:rFonts w:cs="Helvetica"/>
          <w:b w:val="0"/>
          <w:sz w:val="22"/>
          <w:szCs w:val="22"/>
          <w:lang w:val="pt-BR"/>
        </w:rPr>
        <w:t xml:space="preserve"> </w:t>
      </w:r>
      <w:r w:rsidR="003D1F77" w:rsidRPr="009E0D54">
        <w:rPr>
          <w:rFonts w:cs="Helvetica"/>
          <w:b w:val="0"/>
          <w:sz w:val="22"/>
          <w:szCs w:val="22"/>
          <w:lang w:val="pt-BR"/>
        </w:rPr>
        <w:t xml:space="preserve">Catalisadores do tipo core@shell baseados em filossilicatos de níquel foram sintetizados pelo método modificado </w:t>
      </w:r>
      <w:r w:rsidR="001C5760" w:rsidRPr="009E0D54">
        <w:rPr>
          <w:rFonts w:cs="Helvetica"/>
          <w:b w:val="0"/>
          <w:sz w:val="22"/>
          <w:szCs w:val="22"/>
          <w:lang w:val="pt-BR"/>
        </w:rPr>
        <w:t>Stöber</w:t>
      </w:r>
      <w:r w:rsidR="003D1F77" w:rsidRPr="009E0D54">
        <w:rPr>
          <w:rFonts w:cs="Helvetica"/>
          <w:b w:val="0"/>
          <w:sz w:val="22"/>
          <w:szCs w:val="22"/>
          <w:lang w:val="pt-BR"/>
        </w:rPr>
        <w:t>-AE</w:t>
      </w:r>
      <w:r w:rsidR="00433C8E" w:rsidRPr="009E0D54">
        <w:rPr>
          <w:rFonts w:cs="Helvetica"/>
          <w:b w:val="0"/>
          <w:sz w:val="22"/>
          <w:szCs w:val="22"/>
          <w:lang w:val="pt-BR"/>
        </w:rPr>
        <w:t xml:space="preserve"> e aplicados à reforma seca do metano (DRM). Nos estudos, foi avaliado o efeito de confinamento, comparando-se estrutura NiPS@SiO</w:t>
      </w:r>
      <w:r w:rsidR="00433C8E" w:rsidRPr="009E0D54">
        <w:rPr>
          <w:rFonts w:cs="Helvetica"/>
          <w:b w:val="0"/>
          <w:sz w:val="22"/>
          <w:szCs w:val="22"/>
          <w:vertAlign w:val="subscript"/>
          <w:lang w:val="pt-BR"/>
        </w:rPr>
        <w:t>2</w:t>
      </w:r>
      <w:r w:rsidR="00433C8E" w:rsidRPr="009E0D54">
        <w:rPr>
          <w:rFonts w:cs="Helvetica"/>
          <w:b w:val="0"/>
          <w:sz w:val="22"/>
          <w:szCs w:val="22"/>
          <w:lang w:val="pt-BR"/>
        </w:rPr>
        <w:t xml:space="preserve"> aos materiais com níquel duplamente confinados</w:t>
      </w:r>
      <w:r w:rsidR="00405DE2" w:rsidRPr="009E0D54">
        <w:rPr>
          <w:rFonts w:cs="Helvetica"/>
          <w:b w:val="0"/>
          <w:sz w:val="22"/>
          <w:szCs w:val="22"/>
          <w:lang w:val="pt-BR"/>
        </w:rPr>
        <w:t xml:space="preserve"> th-Si@NiPS@SiO</w:t>
      </w:r>
      <w:r w:rsidR="00405DE2" w:rsidRPr="009E0D54">
        <w:rPr>
          <w:rFonts w:cs="Helvetica"/>
          <w:b w:val="0"/>
          <w:sz w:val="22"/>
          <w:szCs w:val="22"/>
          <w:vertAlign w:val="subscript"/>
          <w:lang w:val="pt-BR"/>
        </w:rPr>
        <w:t>2</w:t>
      </w:r>
      <w:r w:rsidR="00405DE2" w:rsidRPr="009E0D54">
        <w:rPr>
          <w:rFonts w:cs="Helvetica"/>
          <w:b w:val="0"/>
          <w:sz w:val="22"/>
          <w:szCs w:val="22"/>
          <w:lang w:val="pt-BR"/>
        </w:rPr>
        <w:t xml:space="preserve"> (</w:t>
      </w:r>
      <w:proofErr w:type="spellStart"/>
      <w:r w:rsidR="00405DE2" w:rsidRPr="009E0D54">
        <w:rPr>
          <w:rFonts w:cs="Helvetica"/>
          <w:b w:val="0"/>
          <w:sz w:val="22"/>
          <w:szCs w:val="22"/>
          <w:lang w:val="pt-BR"/>
        </w:rPr>
        <w:t>th</w:t>
      </w:r>
      <w:proofErr w:type="spellEnd"/>
      <w:r w:rsidR="00405DE2" w:rsidRPr="009E0D54">
        <w:rPr>
          <w:rFonts w:cs="Helvetica"/>
          <w:b w:val="0"/>
          <w:sz w:val="22"/>
          <w:szCs w:val="22"/>
          <w:lang w:val="pt-BR"/>
        </w:rPr>
        <w:t xml:space="preserve"> = 0, 24 e 48h)</w:t>
      </w:r>
      <w:r w:rsidR="001919CA" w:rsidRPr="009E0D54">
        <w:rPr>
          <w:rFonts w:cs="Helvetica"/>
          <w:b w:val="0"/>
          <w:sz w:val="22"/>
          <w:szCs w:val="22"/>
          <w:lang w:val="pt-BR"/>
        </w:rPr>
        <w:t>.</w:t>
      </w:r>
      <w:r w:rsidR="00456399" w:rsidRPr="009E0D54">
        <w:rPr>
          <w:rFonts w:cs="Helvetica"/>
          <w:b w:val="0"/>
          <w:sz w:val="22"/>
          <w:szCs w:val="22"/>
          <w:lang w:val="pt-BR"/>
        </w:rPr>
        <w:t xml:space="preserve"> No presente trabalho foi constatado que</w:t>
      </w:r>
      <w:r w:rsidR="000D1D1F" w:rsidRPr="009E0D54">
        <w:rPr>
          <w:rFonts w:cs="Helvetica"/>
          <w:b w:val="0"/>
          <w:sz w:val="22"/>
          <w:szCs w:val="22"/>
          <w:lang w:val="pt-BR"/>
        </w:rPr>
        <w:t xml:space="preserve"> o processo de hidrólise leva não só a alterações texturais nos catalisadores, mas também promove mudança organizacional, induzindo a formação de ligações </w:t>
      </w:r>
      <w:proofErr w:type="spellStart"/>
      <w:r w:rsidR="000D1D1F" w:rsidRPr="009E0D54">
        <w:rPr>
          <w:rFonts w:cs="Helvetica"/>
          <w:b w:val="0"/>
          <w:sz w:val="22"/>
          <w:szCs w:val="22"/>
          <w:lang w:val="pt-BR"/>
        </w:rPr>
        <w:t>Ni-Si</w:t>
      </w:r>
      <w:proofErr w:type="spellEnd"/>
      <w:r w:rsidR="000D1D1F" w:rsidRPr="009E0D54">
        <w:rPr>
          <w:rFonts w:cs="Helvetica"/>
          <w:b w:val="0"/>
          <w:sz w:val="22"/>
          <w:szCs w:val="22"/>
          <w:lang w:val="pt-BR"/>
        </w:rPr>
        <w:t xml:space="preserve"> mais fortes</w:t>
      </w:r>
      <w:r w:rsidR="00496DEB" w:rsidRPr="009E0D54">
        <w:rPr>
          <w:rFonts w:cs="Helvetica"/>
          <w:b w:val="0"/>
          <w:sz w:val="22"/>
          <w:szCs w:val="22"/>
          <w:lang w:val="pt-BR"/>
        </w:rPr>
        <w:t xml:space="preserve">. </w:t>
      </w:r>
      <w:r w:rsidR="009E0D54" w:rsidRPr="009E0D54">
        <w:rPr>
          <w:rFonts w:cs="Helvetica"/>
          <w:b w:val="0"/>
          <w:sz w:val="22"/>
          <w:szCs w:val="22"/>
          <w:lang w:val="pt-BR"/>
        </w:rPr>
        <w:t>O período</w:t>
      </w:r>
      <w:r w:rsidR="00496DEB" w:rsidRPr="009E0D54">
        <w:rPr>
          <w:rFonts w:cs="Helvetica"/>
          <w:b w:val="0"/>
          <w:sz w:val="22"/>
          <w:szCs w:val="22"/>
          <w:lang w:val="pt-BR"/>
        </w:rPr>
        <w:t xml:space="preserve"> ótimo de tratamento</w:t>
      </w:r>
      <w:r w:rsidR="00E70F8F" w:rsidRPr="009E0D54">
        <w:rPr>
          <w:rFonts w:cs="Helvetica"/>
          <w:b w:val="0"/>
          <w:sz w:val="22"/>
          <w:szCs w:val="22"/>
          <w:lang w:val="pt-BR"/>
        </w:rPr>
        <w:t xml:space="preserve"> </w:t>
      </w:r>
      <w:r w:rsidR="009E0D54" w:rsidRPr="009E0D54">
        <w:rPr>
          <w:rFonts w:cs="Helvetica"/>
          <w:b w:val="0"/>
          <w:sz w:val="22"/>
          <w:szCs w:val="22"/>
          <w:lang w:val="pt-BR"/>
        </w:rPr>
        <w:t xml:space="preserve">foi </w:t>
      </w:r>
      <w:r w:rsidR="00051922" w:rsidRPr="009E0D54">
        <w:rPr>
          <w:rFonts w:cs="Helvetica"/>
          <w:b w:val="0"/>
          <w:sz w:val="22"/>
          <w:szCs w:val="22"/>
          <w:lang w:val="pt-BR"/>
        </w:rPr>
        <w:t xml:space="preserve">24h. Acima desse, os materiais apresentavam </w:t>
      </w:r>
      <w:r w:rsidR="00351F62" w:rsidRPr="009E0D54">
        <w:rPr>
          <w:rFonts w:cs="Helvetica"/>
          <w:b w:val="0"/>
          <w:sz w:val="22"/>
          <w:szCs w:val="22"/>
          <w:lang w:val="pt-BR"/>
        </w:rPr>
        <w:t xml:space="preserve">uma pequena </w:t>
      </w:r>
      <w:r w:rsidR="00051922" w:rsidRPr="009E0D54">
        <w:rPr>
          <w:rFonts w:cs="Helvetica"/>
          <w:b w:val="0"/>
          <w:sz w:val="22"/>
          <w:szCs w:val="22"/>
          <w:lang w:val="pt-BR"/>
        </w:rPr>
        <w:t>desativação</w:t>
      </w:r>
      <w:r w:rsidR="009E1FF8" w:rsidRPr="009E0D54">
        <w:rPr>
          <w:rFonts w:cs="Helvetica"/>
          <w:b w:val="0"/>
          <w:sz w:val="22"/>
          <w:szCs w:val="22"/>
          <w:lang w:val="pt-BR"/>
        </w:rPr>
        <w:t xml:space="preserve">, possivelmente </w:t>
      </w:r>
      <w:r w:rsidR="009E0D54" w:rsidRPr="009E0D54">
        <w:rPr>
          <w:rFonts w:cs="Helvetica"/>
          <w:b w:val="0"/>
          <w:sz w:val="22"/>
          <w:szCs w:val="22"/>
          <w:lang w:val="pt-BR"/>
        </w:rPr>
        <w:t>por formação de ligações cruzadas entre o Si</w:t>
      </w:r>
      <w:r w:rsidR="009E1FF8" w:rsidRPr="009E0D54">
        <w:rPr>
          <w:rFonts w:cs="Helvetica"/>
          <w:b w:val="0"/>
          <w:sz w:val="22"/>
          <w:szCs w:val="22"/>
          <w:lang w:val="pt-BR"/>
        </w:rPr>
        <w:t xml:space="preserve">; abaixo, tem-se dificuldade em </w:t>
      </w:r>
      <w:r w:rsidR="00B9110A" w:rsidRPr="009E0D54">
        <w:rPr>
          <w:rFonts w:cs="Helvetica"/>
          <w:b w:val="0"/>
          <w:sz w:val="22"/>
          <w:szCs w:val="22"/>
          <w:lang w:val="pt-BR"/>
        </w:rPr>
        <w:t>eliminar coque, levando à obstrução dos poros</w:t>
      </w:r>
      <w:r w:rsidR="001429B1" w:rsidRPr="009E0D54">
        <w:rPr>
          <w:rFonts w:cs="Helvetica"/>
          <w:b w:val="0"/>
          <w:sz w:val="22"/>
          <w:szCs w:val="22"/>
          <w:lang w:val="pt-BR"/>
        </w:rPr>
        <w:t xml:space="preserve">, mesmo em baixas concentrações de </w:t>
      </w:r>
      <w:proofErr w:type="spellStart"/>
      <w:r w:rsidR="001429B1" w:rsidRPr="009E0D54">
        <w:rPr>
          <w:rFonts w:cs="Helvetica"/>
          <w:b w:val="0"/>
          <w:sz w:val="22"/>
          <w:szCs w:val="22"/>
          <w:lang w:val="pt-BR"/>
        </w:rPr>
        <w:t>C</w:t>
      </w:r>
      <w:r w:rsidR="001429B1" w:rsidRPr="009E0D54">
        <w:rPr>
          <w:rFonts w:cs="Helvetica"/>
          <w:b w:val="0"/>
          <w:sz w:val="22"/>
          <w:szCs w:val="22"/>
          <w:vertAlign w:val="subscript"/>
          <w:lang w:val="pt-BR"/>
        </w:rPr>
        <w:t>sólido</w:t>
      </w:r>
      <w:proofErr w:type="spellEnd"/>
      <w:r w:rsidR="00B9110A" w:rsidRPr="009E0D54">
        <w:rPr>
          <w:rFonts w:cs="Helvetica"/>
          <w:b w:val="0"/>
          <w:sz w:val="22"/>
          <w:szCs w:val="22"/>
          <w:lang w:val="pt-BR"/>
        </w:rPr>
        <w:t>. Nesses termos, foi obtida ordem de atividade na DRM 24-Si@NiPS@SiO</w:t>
      </w:r>
      <w:r w:rsidR="00B9110A" w:rsidRPr="009E0D54">
        <w:rPr>
          <w:rFonts w:cs="Helvetica"/>
          <w:b w:val="0"/>
          <w:sz w:val="22"/>
          <w:szCs w:val="22"/>
          <w:vertAlign w:val="subscript"/>
          <w:lang w:val="pt-BR"/>
        </w:rPr>
        <w:t>2</w:t>
      </w:r>
      <w:r w:rsidR="00B9110A" w:rsidRPr="009E0D54">
        <w:rPr>
          <w:rFonts w:cs="Helvetica"/>
          <w:b w:val="0"/>
          <w:sz w:val="22"/>
          <w:szCs w:val="22"/>
          <w:lang w:val="pt-BR"/>
        </w:rPr>
        <w:t xml:space="preserve"> &gt; NiPS@SiO</w:t>
      </w:r>
      <w:r w:rsidR="00B9110A" w:rsidRPr="009E0D54">
        <w:rPr>
          <w:rFonts w:cs="Helvetica"/>
          <w:b w:val="0"/>
          <w:sz w:val="22"/>
          <w:szCs w:val="22"/>
          <w:vertAlign w:val="subscript"/>
          <w:lang w:val="pt-BR"/>
        </w:rPr>
        <w:t>2</w:t>
      </w:r>
      <w:r w:rsidR="00B9110A" w:rsidRPr="009E0D54">
        <w:rPr>
          <w:rFonts w:cs="Helvetica"/>
          <w:b w:val="0"/>
          <w:sz w:val="22"/>
          <w:szCs w:val="22"/>
          <w:lang w:val="pt-BR"/>
        </w:rPr>
        <w:t xml:space="preserve"> &gt;</w:t>
      </w:r>
      <w:r w:rsidR="0056618D" w:rsidRPr="009E0D54">
        <w:rPr>
          <w:rFonts w:cs="Helvetica"/>
          <w:b w:val="0"/>
          <w:sz w:val="22"/>
          <w:szCs w:val="22"/>
          <w:lang w:val="pt-BR"/>
        </w:rPr>
        <w:t xml:space="preserve"> </w:t>
      </w:r>
      <w:r w:rsidR="00B9110A" w:rsidRPr="009E0D54">
        <w:rPr>
          <w:rFonts w:cs="Helvetica"/>
          <w:b w:val="0"/>
          <w:sz w:val="22"/>
          <w:szCs w:val="22"/>
          <w:lang w:val="pt-BR"/>
        </w:rPr>
        <w:t>48-Si@NiPS@SiO</w:t>
      </w:r>
      <w:r w:rsidR="001919CA" w:rsidRPr="009E0D54">
        <w:rPr>
          <w:rFonts w:cs="Helvetica"/>
          <w:b w:val="0"/>
          <w:sz w:val="22"/>
          <w:szCs w:val="22"/>
          <w:vertAlign w:val="subscript"/>
          <w:lang w:val="pt-BR"/>
        </w:rPr>
        <w:t>2</w:t>
      </w:r>
      <w:r w:rsidR="001919CA" w:rsidRPr="009E0D54">
        <w:rPr>
          <w:rFonts w:cs="Helvetica"/>
          <w:b w:val="0"/>
          <w:sz w:val="22"/>
          <w:szCs w:val="22"/>
          <w:lang w:val="pt-BR"/>
        </w:rPr>
        <w:t xml:space="preserve"> &gt;</w:t>
      </w:r>
      <w:r w:rsidR="0056618D" w:rsidRPr="009E0D54">
        <w:rPr>
          <w:rFonts w:cs="Helvetica"/>
          <w:b w:val="0"/>
          <w:sz w:val="22"/>
          <w:szCs w:val="22"/>
          <w:lang w:val="pt-BR"/>
        </w:rPr>
        <w:t xml:space="preserve"> </w:t>
      </w:r>
      <w:r w:rsidR="00B9110A" w:rsidRPr="009E0D54">
        <w:rPr>
          <w:rFonts w:cs="Helvetica"/>
          <w:b w:val="0"/>
          <w:sz w:val="22"/>
          <w:szCs w:val="22"/>
          <w:lang w:val="pt-BR"/>
        </w:rPr>
        <w:t>0-Si@NiPS@SiO</w:t>
      </w:r>
      <w:r w:rsidR="00B9110A" w:rsidRPr="009E0D54">
        <w:rPr>
          <w:rFonts w:cs="Helvetica"/>
          <w:b w:val="0"/>
          <w:sz w:val="22"/>
          <w:szCs w:val="22"/>
          <w:vertAlign w:val="subscript"/>
          <w:lang w:val="pt-BR"/>
        </w:rPr>
        <w:t>2</w:t>
      </w:r>
      <w:r w:rsidR="00B9110A" w:rsidRPr="009E0D54">
        <w:rPr>
          <w:rFonts w:cs="Helvetica"/>
          <w:b w:val="0"/>
          <w:sz w:val="22"/>
          <w:szCs w:val="22"/>
          <w:lang w:val="pt-BR"/>
        </w:rPr>
        <w:t>, demonstrando que embora o duplo confinamento leve à melhora na performance,</w:t>
      </w:r>
      <w:r w:rsidR="004D1BDC" w:rsidRPr="009E0D54">
        <w:rPr>
          <w:rFonts w:cs="Helvetica"/>
          <w:b w:val="0"/>
          <w:sz w:val="22"/>
          <w:szCs w:val="22"/>
          <w:lang w:val="pt-BR"/>
        </w:rPr>
        <w:t xml:space="preserve"> a forma com que esse processo é realizado influencia diretamente </w:t>
      </w:r>
      <w:r w:rsidR="00EE346B" w:rsidRPr="009E0D54">
        <w:rPr>
          <w:rFonts w:cs="Helvetica"/>
          <w:b w:val="0"/>
          <w:sz w:val="22"/>
          <w:szCs w:val="22"/>
          <w:lang w:val="pt-BR"/>
        </w:rPr>
        <w:t>nos efeitos observados.</w:t>
      </w:r>
    </w:p>
    <w:p w14:paraId="43CE12F0" w14:textId="7C34D919" w:rsidR="0F19106E" w:rsidRPr="00C216F6" w:rsidRDefault="0F19106E" w:rsidP="0F19106E">
      <w:pPr>
        <w:pStyle w:val="BDAbstract"/>
        <w:spacing w:before="0" w:after="120" w:line="240" w:lineRule="auto"/>
        <w:rPr>
          <w:rFonts w:ascii="Times New Roman" w:hAnsi="Times New Roman"/>
          <w:b w:val="0"/>
          <w:i/>
          <w:iCs/>
          <w:sz w:val="21"/>
          <w:szCs w:val="21"/>
          <w:lang w:val="pt-BR"/>
        </w:rPr>
      </w:pPr>
      <w:r w:rsidRPr="00C216F6">
        <w:rPr>
          <w:rFonts w:ascii="Times New Roman" w:hAnsi="Times New Roman"/>
          <w:b w:val="0"/>
          <w:i/>
          <w:iCs/>
          <w:sz w:val="21"/>
          <w:szCs w:val="21"/>
          <w:lang w:val="pt-BR"/>
        </w:rPr>
        <w:t>Palavras-chave: nanomateriais, catálise heterogênea, silicatos de níquel, core@shell, reforma seca do metano</w:t>
      </w:r>
    </w:p>
    <w:p w14:paraId="5D8D4445" w14:textId="11D77547" w:rsidR="00EA4E1B" w:rsidRPr="00CB72F9" w:rsidRDefault="00EA4E1B" w:rsidP="00EA4E1B">
      <w:pPr>
        <w:pStyle w:val="BDAbstract"/>
        <w:spacing w:before="0" w:after="0" w:line="240" w:lineRule="auto"/>
        <w:rPr>
          <w:rFonts w:ascii="Times New Roman" w:hAnsi="Times New Roman"/>
          <w:b w:val="0"/>
          <w:sz w:val="20"/>
          <w:highlight w:val="green"/>
          <w:lang w:val="pt-BR"/>
        </w:rPr>
      </w:pPr>
    </w:p>
    <w:p w14:paraId="28C0C44F" w14:textId="6BA363B4" w:rsidR="00EB7EA8" w:rsidRPr="009E0D54" w:rsidRDefault="00EA4E1B" w:rsidP="004D1BDC">
      <w:pPr>
        <w:pStyle w:val="BDAbstract"/>
        <w:spacing w:before="0" w:line="240" w:lineRule="auto"/>
        <w:rPr>
          <w:rFonts w:cs="Helvetica"/>
          <w:b w:val="0"/>
          <w:sz w:val="22"/>
          <w:szCs w:val="22"/>
        </w:rPr>
      </w:pPr>
      <w:r w:rsidRPr="009E0D54">
        <w:rPr>
          <w:rFonts w:cs="Helvetica"/>
          <w:b w:val="0"/>
          <w:sz w:val="22"/>
          <w:szCs w:val="22"/>
        </w:rPr>
        <w:t xml:space="preserve">ABSTRACT - </w:t>
      </w:r>
      <w:r w:rsidR="00877386" w:rsidRPr="009E0D54">
        <w:rPr>
          <w:rFonts w:cs="Helvetica"/>
          <w:b w:val="0"/>
          <w:sz w:val="22"/>
          <w:szCs w:val="22"/>
        </w:rPr>
        <w:t>Catalysts of core@shell architecture base</w:t>
      </w:r>
      <w:r w:rsidR="00AA752B" w:rsidRPr="009E0D54">
        <w:rPr>
          <w:rFonts w:cs="Helvetica"/>
          <w:b w:val="0"/>
          <w:sz w:val="22"/>
          <w:szCs w:val="22"/>
        </w:rPr>
        <w:t>d</w:t>
      </w:r>
      <w:r w:rsidR="00877386" w:rsidRPr="009E0D54">
        <w:rPr>
          <w:rFonts w:cs="Helvetica"/>
          <w:b w:val="0"/>
          <w:sz w:val="22"/>
          <w:szCs w:val="22"/>
        </w:rPr>
        <w:t xml:space="preserve"> on nickel phyllosilicates were synthetized by a modified Stöber-AE method and implemented on methane dry-reforming (MDR). This study investigated the confinement effect by comparing the NiPS@SiO</w:t>
      </w:r>
      <w:r w:rsidR="00877386" w:rsidRPr="009E0D54">
        <w:rPr>
          <w:rFonts w:cs="Helvetica"/>
          <w:b w:val="0"/>
          <w:sz w:val="22"/>
          <w:szCs w:val="22"/>
          <w:vertAlign w:val="subscript"/>
        </w:rPr>
        <w:t>2</w:t>
      </w:r>
      <w:r w:rsidR="00877386" w:rsidRPr="009E0D54">
        <w:rPr>
          <w:rFonts w:cs="Helvetica"/>
          <w:b w:val="0"/>
          <w:sz w:val="22"/>
          <w:szCs w:val="22"/>
        </w:rPr>
        <w:t xml:space="preserve"> structure to the one of th-Si@NiPS@SiO2 (</w:t>
      </w:r>
      <w:proofErr w:type="spellStart"/>
      <w:r w:rsidR="00877386" w:rsidRPr="009E0D54">
        <w:rPr>
          <w:rFonts w:cs="Helvetica"/>
          <w:b w:val="0"/>
          <w:sz w:val="22"/>
          <w:szCs w:val="22"/>
        </w:rPr>
        <w:t>th</w:t>
      </w:r>
      <w:proofErr w:type="spellEnd"/>
      <w:r w:rsidR="00877386" w:rsidRPr="009E0D54">
        <w:rPr>
          <w:rFonts w:cs="Helvetica"/>
          <w:b w:val="0"/>
          <w:sz w:val="22"/>
          <w:szCs w:val="22"/>
        </w:rPr>
        <w:t xml:space="preserve"> = 0, 24, 48h) that presents doubly confined nickel. In this work it was possible to notice that the hydrolysis process can promote not only textural changes in the material, but also organizational </w:t>
      </w:r>
      <w:r w:rsidR="00694FA6" w:rsidRPr="009E0D54">
        <w:rPr>
          <w:rFonts w:cs="Helvetica"/>
          <w:b w:val="0"/>
          <w:sz w:val="22"/>
          <w:szCs w:val="22"/>
        </w:rPr>
        <w:t>ones</w:t>
      </w:r>
      <w:r w:rsidR="00877386" w:rsidRPr="009E0D54">
        <w:rPr>
          <w:rFonts w:cs="Helvetica"/>
          <w:b w:val="0"/>
          <w:sz w:val="22"/>
          <w:szCs w:val="22"/>
        </w:rPr>
        <w:t xml:space="preserve"> by inducing stronger Ni-Si bonds. The optimal period for hydrolysis was found to be 24 h</w:t>
      </w:r>
      <w:r w:rsidR="0056618D" w:rsidRPr="009E0D54">
        <w:rPr>
          <w:rFonts w:cs="Helvetica"/>
          <w:b w:val="0"/>
          <w:sz w:val="22"/>
          <w:szCs w:val="22"/>
        </w:rPr>
        <w:t>. With higher hydrolysis time,</w:t>
      </w:r>
      <w:r w:rsidR="00877386" w:rsidRPr="009E0D54">
        <w:rPr>
          <w:rFonts w:cs="Helvetica"/>
          <w:b w:val="0"/>
          <w:sz w:val="22"/>
          <w:szCs w:val="22"/>
        </w:rPr>
        <w:t xml:space="preserve"> the material present</w:t>
      </w:r>
      <w:r w:rsidR="0056618D" w:rsidRPr="009E0D54">
        <w:rPr>
          <w:rFonts w:cs="Helvetica"/>
          <w:b w:val="0"/>
          <w:sz w:val="22"/>
          <w:szCs w:val="22"/>
        </w:rPr>
        <w:t>ed</w:t>
      </w:r>
      <w:r w:rsidR="00EE346B" w:rsidRPr="009E0D54">
        <w:rPr>
          <w:rFonts w:cs="Helvetica"/>
          <w:b w:val="0"/>
          <w:sz w:val="22"/>
          <w:szCs w:val="22"/>
        </w:rPr>
        <w:t xml:space="preserve"> a small</w:t>
      </w:r>
      <w:r w:rsidR="00877386" w:rsidRPr="009E0D54">
        <w:rPr>
          <w:rFonts w:cs="Helvetica"/>
          <w:b w:val="0"/>
          <w:sz w:val="22"/>
          <w:szCs w:val="22"/>
        </w:rPr>
        <w:t xml:space="preserve"> deactivation</w:t>
      </w:r>
      <w:r w:rsidR="00EE346B" w:rsidRPr="009E0D54">
        <w:rPr>
          <w:rFonts w:cs="Helvetica"/>
          <w:b w:val="0"/>
          <w:sz w:val="22"/>
          <w:szCs w:val="22"/>
        </w:rPr>
        <w:t>,</w:t>
      </w:r>
      <w:r w:rsidR="00877386" w:rsidRPr="009E0D54">
        <w:rPr>
          <w:rFonts w:cs="Helvetica"/>
          <w:b w:val="0"/>
          <w:sz w:val="22"/>
          <w:szCs w:val="22"/>
        </w:rPr>
        <w:t xml:space="preserve"> possibly due to</w:t>
      </w:r>
      <w:r w:rsidR="00EE346B" w:rsidRPr="009E0D54">
        <w:rPr>
          <w:rFonts w:cs="Helvetica"/>
          <w:b w:val="0"/>
          <w:sz w:val="22"/>
          <w:szCs w:val="22"/>
        </w:rPr>
        <w:t xml:space="preserve"> an increase of the</w:t>
      </w:r>
      <w:r w:rsidR="00877386" w:rsidRPr="009E0D54">
        <w:rPr>
          <w:rFonts w:cs="Helvetica"/>
          <w:b w:val="0"/>
          <w:sz w:val="22"/>
          <w:szCs w:val="22"/>
        </w:rPr>
        <w:t xml:space="preserve"> shell</w:t>
      </w:r>
      <w:r w:rsidR="00EE346B" w:rsidRPr="009E0D54">
        <w:rPr>
          <w:rFonts w:cs="Helvetica"/>
          <w:b w:val="0"/>
          <w:sz w:val="22"/>
          <w:szCs w:val="22"/>
        </w:rPr>
        <w:t>’s</w:t>
      </w:r>
      <w:r w:rsidR="00877386" w:rsidRPr="009E0D54">
        <w:rPr>
          <w:rFonts w:cs="Helvetica"/>
          <w:b w:val="0"/>
          <w:sz w:val="22"/>
          <w:szCs w:val="22"/>
        </w:rPr>
        <w:t xml:space="preserve"> fragility; </w:t>
      </w:r>
      <w:r w:rsidR="0056618D" w:rsidRPr="009E0D54">
        <w:rPr>
          <w:rFonts w:cs="Helvetica"/>
          <w:b w:val="0"/>
          <w:sz w:val="22"/>
          <w:szCs w:val="22"/>
        </w:rPr>
        <w:t>with lower times,</w:t>
      </w:r>
      <w:r w:rsidR="00877386" w:rsidRPr="009E0D54">
        <w:rPr>
          <w:rFonts w:cs="Helvetica"/>
          <w:b w:val="0"/>
          <w:sz w:val="22"/>
          <w:szCs w:val="22"/>
        </w:rPr>
        <w:t xml:space="preserve"> </w:t>
      </w:r>
      <w:r w:rsidR="00EE346B" w:rsidRPr="009E0D54">
        <w:rPr>
          <w:rFonts w:cs="Helvetica"/>
          <w:b w:val="0"/>
          <w:sz w:val="22"/>
          <w:szCs w:val="22"/>
        </w:rPr>
        <w:t xml:space="preserve">a deactivation was observed, probably due to a lower kinect </w:t>
      </w:r>
      <w:r w:rsidR="00877386" w:rsidRPr="009E0D54">
        <w:rPr>
          <w:rFonts w:cs="Helvetica"/>
          <w:b w:val="0"/>
          <w:sz w:val="22"/>
          <w:szCs w:val="22"/>
        </w:rPr>
        <w:t>o</w:t>
      </w:r>
      <w:r w:rsidR="002F7DC6" w:rsidRPr="009E0D54">
        <w:rPr>
          <w:rFonts w:cs="Helvetica"/>
          <w:b w:val="0"/>
          <w:sz w:val="22"/>
          <w:szCs w:val="22"/>
        </w:rPr>
        <w:t>f</w:t>
      </w:r>
      <w:r w:rsidR="00877386" w:rsidRPr="009E0D54">
        <w:rPr>
          <w:rFonts w:cs="Helvetica"/>
          <w:b w:val="0"/>
          <w:sz w:val="22"/>
          <w:szCs w:val="22"/>
        </w:rPr>
        <w:t xml:space="preserve"> coke elimination</w:t>
      </w:r>
      <w:r w:rsidR="00EE346B" w:rsidRPr="009E0D54">
        <w:rPr>
          <w:rFonts w:cs="Helvetica"/>
          <w:b w:val="0"/>
          <w:sz w:val="22"/>
          <w:szCs w:val="22"/>
        </w:rPr>
        <w:t>,</w:t>
      </w:r>
      <w:r w:rsidR="002F7DC6" w:rsidRPr="009E0D54">
        <w:rPr>
          <w:rFonts w:cs="Helvetica"/>
          <w:b w:val="0"/>
          <w:sz w:val="22"/>
          <w:szCs w:val="22"/>
        </w:rPr>
        <w:t xml:space="preserve"> </w:t>
      </w:r>
      <w:r w:rsidR="00EE346B" w:rsidRPr="009E0D54">
        <w:rPr>
          <w:rFonts w:cs="Helvetica"/>
          <w:b w:val="0"/>
          <w:sz w:val="22"/>
          <w:szCs w:val="22"/>
        </w:rPr>
        <w:t>which</w:t>
      </w:r>
      <w:r w:rsidR="00877386" w:rsidRPr="009E0D54">
        <w:rPr>
          <w:rFonts w:cs="Helvetica"/>
          <w:b w:val="0"/>
          <w:sz w:val="22"/>
          <w:szCs w:val="22"/>
        </w:rPr>
        <w:t xml:space="preserve"> </w:t>
      </w:r>
      <w:r w:rsidR="00EE346B" w:rsidRPr="009E0D54">
        <w:rPr>
          <w:rFonts w:cs="Helvetica"/>
          <w:b w:val="0"/>
          <w:sz w:val="22"/>
          <w:szCs w:val="22"/>
        </w:rPr>
        <w:t>lead to</w:t>
      </w:r>
      <w:r w:rsidR="00877386" w:rsidRPr="009E0D54">
        <w:rPr>
          <w:rFonts w:cs="Helvetica"/>
          <w:b w:val="0"/>
          <w:sz w:val="22"/>
          <w:szCs w:val="22"/>
        </w:rPr>
        <w:t xml:space="preserve"> obstruction</w:t>
      </w:r>
      <w:r w:rsidR="00EE346B" w:rsidRPr="009E0D54">
        <w:rPr>
          <w:rFonts w:cs="Helvetica"/>
          <w:b w:val="0"/>
          <w:sz w:val="22"/>
          <w:szCs w:val="22"/>
        </w:rPr>
        <w:t xml:space="preserve"> of the catalyst’s pores,</w:t>
      </w:r>
      <w:r w:rsidR="00877386" w:rsidRPr="009E0D54">
        <w:rPr>
          <w:rFonts w:cs="Helvetica"/>
          <w:b w:val="0"/>
          <w:sz w:val="22"/>
          <w:szCs w:val="22"/>
        </w:rPr>
        <w:t xml:space="preserve"> even at low </w:t>
      </w:r>
      <w:proofErr w:type="spellStart"/>
      <w:r w:rsidR="00877386" w:rsidRPr="009E0D54">
        <w:rPr>
          <w:rFonts w:cs="Helvetica"/>
          <w:b w:val="0"/>
          <w:sz w:val="22"/>
          <w:szCs w:val="22"/>
        </w:rPr>
        <w:t>C</w:t>
      </w:r>
      <w:r w:rsidR="00877386" w:rsidRPr="009E0D54">
        <w:rPr>
          <w:rFonts w:cs="Helvetica"/>
          <w:b w:val="0"/>
          <w:sz w:val="22"/>
          <w:szCs w:val="22"/>
          <w:vertAlign w:val="subscript"/>
        </w:rPr>
        <w:t>solid</w:t>
      </w:r>
      <w:proofErr w:type="spellEnd"/>
      <w:r w:rsidR="00877386" w:rsidRPr="009E0D54">
        <w:rPr>
          <w:rFonts w:cs="Helvetica"/>
          <w:b w:val="0"/>
          <w:sz w:val="22"/>
          <w:szCs w:val="22"/>
        </w:rPr>
        <w:t xml:space="preserve"> concentrations. In these terms it was attained the following activity order in MDR: 24-Si@NiPS@SiO</w:t>
      </w:r>
      <w:r w:rsidR="00877386" w:rsidRPr="009E0D54">
        <w:rPr>
          <w:rFonts w:cs="Helvetica"/>
          <w:b w:val="0"/>
          <w:sz w:val="22"/>
          <w:szCs w:val="22"/>
          <w:vertAlign w:val="subscript"/>
        </w:rPr>
        <w:t>2</w:t>
      </w:r>
      <w:r w:rsidR="00877386" w:rsidRPr="009E0D54">
        <w:rPr>
          <w:rFonts w:cs="Helvetica"/>
          <w:b w:val="0"/>
          <w:sz w:val="22"/>
          <w:szCs w:val="22"/>
        </w:rPr>
        <w:t xml:space="preserve"> &gt; NiPS@SiO</w:t>
      </w:r>
      <w:r w:rsidR="00877386" w:rsidRPr="009E0D54">
        <w:rPr>
          <w:rFonts w:cs="Helvetica"/>
          <w:b w:val="0"/>
          <w:sz w:val="22"/>
          <w:szCs w:val="22"/>
          <w:vertAlign w:val="subscript"/>
        </w:rPr>
        <w:t>2</w:t>
      </w:r>
      <w:r w:rsidR="00877386" w:rsidRPr="009E0D54">
        <w:rPr>
          <w:rFonts w:cs="Helvetica"/>
          <w:b w:val="0"/>
          <w:sz w:val="22"/>
          <w:szCs w:val="22"/>
        </w:rPr>
        <w:t xml:space="preserve"> &gt;</w:t>
      </w:r>
      <w:r w:rsidR="0056618D" w:rsidRPr="009E0D54">
        <w:rPr>
          <w:rFonts w:cs="Helvetica"/>
          <w:b w:val="0"/>
          <w:sz w:val="22"/>
          <w:szCs w:val="22"/>
        </w:rPr>
        <w:t xml:space="preserve"> </w:t>
      </w:r>
      <w:r w:rsidR="00877386" w:rsidRPr="009E0D54">
        <w:rPr>
          <w:rFonts w:cs="Helvetica"/>
          <w:b w:val="0"/>
          <w:sz w:val="22"/>
          <w:szCs w:val="22"/>
        </w:rPr>
        <w:t>48-Si@NiPS@SiO</w:t>
      </w:r>
      <w:r w:rsidR="00877386" w:rsidRPr="009E0D54">
        <w:rPr>
          <w:rFonts w:cs="Helvetica"/>
          <w:b w:val="0"/>
          <w:sz w:val="22"/>
          <w:szCs w:val="22"/>
          <w:vertAlign w:val="subscript"/>
        </w:rPr>
        <w:t xml:space="preserve">2 </w:t>
      </w:r>
      <w:r w:rsidR="00877386" w:rsidRPr="009E0D54">
        <w:rPr>
          <w:rFonts w:cs="Helvetica"/>
          <w:b w:val="0"/>
          <w:sz w:val="22"/>
          <w:szCs w:val="22"/>
        </w:rPr>
        <w:t>&gt;</w:t>
      </w:r>
      <w:r w:rsidR="0056618D" w:rsidRPr="009E0D54">
        <w:rPr>
          <w:rFonts w:cs="Helvetica"/>
          <w:b w:val="0"/>
          <w:sz w:val="22"/>
          <w:szCs w:val="22"/>
        </w:rPr>
        <w:t xml:space="preserve"> </w:t>
      </w:r>
      <w:r w:rsidR="00877386" w:rsidRPr="009E0D54">
        <w:rPr>
          <w:rFonts w:cs="Helvetica"/>
          <w:b w:val="0"/>
          <w:sz w:val="22"/>
          <w:szCs w:val="22"/>
        </w:rPr>
        <w:t>0-Si@NiPS@SiO</w:t>
      </w:r>
      <w:r w:rsidR="00877386" w:rsidRPr="009E0D54">
        <w:rPr>
          <w:rFonts w:cs="Helvetica"/>
          <w:b w:val="0"/>
          <w:sz w:val="22"/>
          <w:szCs w:val="22"/>
          <w:vertAlign w:val="subscript"/>
        </w:rPr>
        <w:t>2</w:t>
      </w:r>
      <w:r w:rsidR="00877386" w:rsidRPr="009E0D54">
        <w:rPr>
          <w:rFonts w:cs="Helvetica"/>
          <w:b w:val="0"/>
          <w:sz w:val="22"/>
          <w:szCs w:val="22"/>
        </w:rPr>
        <w:t xml:space="preserve">. This shows that even though double confinement promotes a performance </w:t>
      </w:r>
      <w:r w:rsidR="00EE346B" w:rsidRPr="009E0D54">
        <w:rPr>
          <w:rFonts w:cs="Helvetica"/>
          <w:b w:val="0"/>
          <w:sz w:val="22"/>
          <w:szCs w:val="22"/>
        </w:rPr>
        <w:t>increase</w:t>
      </w:r>
      <w:r w:rsidR="00902E8F" w:rsidRPr="009E0D54">
        <w:rPr>
          <w:rFonts w:cs="Helvetica"/>
          <w:b w:val="0"/>
          <w:sz w:val="22"/>
          <w:szCs w:val="22"/>
        </w:rPr>
        <w:t>,</w:t>
      </w:r>
      <w:r w:rsidR="00877386" w:rsidRPr="009E0D54">
        <w:rPr>
          <w:rFonts w:cs="Helvetica"/>
          <w:b w:val="0"/>
          <w:sz w:val="22"/>
          <w:szCs w:val="22"/>
        </w:rPr>
        <w:t xml:space="preserve"> </w:t>
      </w:r>
      <w:r w:rsidR="004D1BDC" w:rsidRPr="009E0D54">
        <w:rPr>
          <w:rFonts w:cs="Helvetica"/>
          <w:b w:val="0"/>
          <w:sz w:val="22"/>
          <w:szCs w:val="22"/>
        </w:rPr>
        <w:t>the synthesis method exerts a substantial influence over the</w:t>
      </w:r>
      <w:r w:rsidR="00EE346B" w:rsidRPr="009E0D54">
        <w:rPr>
          <w:rFonts w:cs="Helvetica"/>
          <w:b w:val="0"/>
          <w:sz w:val="22"/>
          <w:szCs w:val="22"/>
        </w:rPr>
        <w:t xml:space="preserve"> observed effects.</w:t>
      </w:r>
    </w:p>
    <w:p w14:paraId="48D9B0C4" w14:textId="0637D242" w:rsidR="00EA4E1B" w:rsidRPr="00C216F6" w:rsidRDefault="0F19106E" w:rsidP="00570671">
      <w:pPr>
        <w:pStyle w:val="BDAbstract"/>
        <w:spacing w:before="0" w:after="0" w:line="240" w:lineRule="auto"/>
        <w:rPr>
          <w:rFonts w:ascii="Times New Roman" w:hAnsi="Times New Roman"/>
          <w:b w:val="0"/>
          <w:i/>
          <w:iCs/>
          <w:sz w:val="21"/>
          <w:szCs w:val="21"/>
        </w:rPr>
        <w:sectPr w:rsidR="00EA4E1B" w:rsidRPr="00C216F6" w:rsidSect="00EA4E1B">
          <w:headerReference w:type="default" r:id="rId8"/>
          <w:footerReference w:type="default" r:id="rId9"/>
          <w:endnotePr>
            <w:numFmt w:val="decimal"/>
          </w:endnotePr>
          <w:pgSz w:w="11906" w:h="16838"/>
          <w:pgMar w:top="1418" w:right="1094" w:bottom="1418" w:left="567" w:header="709" w:footer="709" w:gutter="0"/>
          <w:cols w:space="708"/>
          <w:docGrid w:linePitch="360"/>
        </w:sectPr>
      </w:pPr>
      <w:r w:rsidRPr="00C216F6">
        <w:rPr>
          <w:rFonts w:ascii="Times New Roman" w:hAnsi="Times New Roman"/>
          <w:b w:val="0"/>
          <w:i/>
          <w:iCs/>
          <w:sz w:val="21"/>
          <w:szCs w:val="21"/>
        </w:rPr>
        <w:t xml:space="preserve">Keywords: </w:t>
      </w:r>
      <w:bookmarkEnd w:id="1"/>
      <w:r w:rsidRPr="00C216F6">
        <w:rPr>
          <w:rFonts w:ascii="Times New Roman" w:hAnsi="Times New Roman"/>
          <w:b w:val="0"/>
          <w:i/>
          <w:iCs/>
          <w:sz w:val="21"/>
          <w:szCs w:val="21"/>
        </w:rPr>
        <w:t xml:space="preserve">nanomaterials, </w:t>
      </w:r>
      <w:r w:rsidR="00570671" w:rsidRPr="00C216F6">
        <w:rPr>
          <w:rFonts w:ascii="Times New Roman" w:hAnsi="Times New Roman"/>
          <w:b w:val="0"/>
          <w:i/>
          <w:iCs/>
          <w:sz w:val="21"/>
          <w:szCs w:val="21"/>
        </w:rPr>
        <w:t>heterogeneous catalysis</w:t>
      </w:r>
      <w:r w:rsidRPr="00C216F6">
        <w:rPr>
          <w:rFonts w:ascii="Times New Roman" w:hAnsi="Times New Roman"/>
          <w:b w:val="0"/>
          <w:i/>
          <w:iCs/>
          <w:sz w:val="21"/>
          <w:szCs w:val="21"/>
        </w:rPr>
        <w:t xml:space="preserve">, </w:t>
      </w:r>
      <w:r w:rsidR="00570671" w:rsidRPr="00C216F6">
        <w:rPr>
          <w:rFonts w:ascii="Times New Roman" w:hAnsi="Times New Roman"/>
          <w:b w:val="0"/>
          <w:i/>
          <w:iCs/>
          <w:sz w:val="21"/>
          <w:szCs w:val="21"/>
        </w:rPr>
        <w:t>nickel silicates</w:t>
      </w:r>
      <w:r w:rsidRPr="00C216F6">
        <w:rPr>
          <w:rFonts w:ascii="Times New Roman" w:hAnsi="Times New Roman"/>
          <w:b w:val="0"/>
          <w:i/>
          <w:iCs/>
          <w:sz w:val="21"/>
          <w:szCs w:val="21"/>
        </w:rPr>
        <w:t xml:space="preserve">, core@shell, </w:t>
      </w:r>
      <w:r w:rsidR="00570671" w:rsidRPr="00C216F6">
        <w:rPr>
          <w:rFonts w:ascii="Times New Roman" w:hAnsi="Times New Roman"/>
          <w:b w:val="0"/>
          <w:i/>
          <w:iCs/>
          <w:sz w:val="21"/>
          <w:szCs w:val="21"/>
        </w:rPr>
        <w:t>methane dry reforming</w:t>
      </w:r>
    </w:p>
    <w:p w14:paraId="625F2C0A" w14:textId="016231B4" w:rsidR="00EA4E1B" w:rsidRPr="00271B08" w:rsidRDefault="00EA4E1B" w:rsidP="00CE3CC8">
      <w:pPr>
        <w:pStyle w:val="Ttulo2"/>
        <w:spacing w:before="0"/>
        <w:rPr>
          <w:rFonts w:ascii="Helvetica" w:hAnsi="Helvetica" w:cs="Helvetica"/>
          <w:sz w:val="24"/>
          <w:szCs w:val="24"/>
        </w:rPr>
      </w:pPr>
      <w:r w:rsidRPr="00271B08">
        <w:rPr>
          <w:rFonts w:ascii="Helvetica" w:hAnsi="Helvetica" w:cs="Helvetica"/>
          <w:sz w:val="24"/>
          <w:szCs w:val="24"/>
        </w:rPr>
        <w:t>Introdução</w:t>
      </w:r>
    </w:p>
    <w:p w14:paraId="369D4B21" w14:textId="4000272F" w:rsidR="00C3045E" w:rsidRDefault="02E7D41B" w:rsidP="00CE3CC8">
      <w:pPr>
        <w:pStyle w:val="TAMainText"/>
        <w:spacing w:line="240" w:lineRule="auto"/>
        <w:rPr>
          <w:lang w:val="pt-BR"/>
        </w:rPr>
      </w:pPr>
      <w:r w:rsidRPr="02E7D41B">
        <w:rPr>
          <w:lang w:val="pt-BR"/>
        </w:rPr>
        <w:t xml:space="preserve">O crescimento populacional e o desenvolvimento </w:t>
      </w:r>
      <w:proofErr w:type="spellStart"/>
      <w:r w:rsidRPr="02E7D41B">
        <w:rPr>
          <w:lang w:val="pt-BR"/>
        </w:rPr>
        <w:t>sócio-industrial</w:t>
      </w:r>
      <w:proofErr w:type="spellEnd"/>
      <w:r w:rsidRPr="02E7D41B">
        <w:rPr>
          <w:lang w:val="pt-BR"/>
        </w:rPr>
        <w:t xml:space="preserve"> proporcionaram um aumento no consumo energético mundial. A produção energética em </w:t>
      </w:r>
      <w:r w:rsidRPr="00DB2E94">
        <w:rPr>
          <w:rFonts w:ascii="Times New Roman" w:hAnsi="Times New Roman"/>
          <w:lang w:val="pt-BR"/>
        </w:rPr>
        <w:t>escala</w:t>
      </w:r>
      <w:r w:rsidRPr="02E7D41B">
        <w:rPr>
          <w:lang w:val="pt-BR"/>
        </w:rPr>
        <w:t xml:space="preserve"> industrial para suprir essa demanda é majoritariamente a base de combustíveis fosseis (96%), fonte não renovável e que contribui significativamente na emissão de gases de </w:t>
      </w:r>
      <w:r w:rsidRPr="02E7D41B">
        <w:rPr>
          <w:lang w:val="pt-BR"/>
        </w:rPr>
        <w:t>efeito estufa como metano (CH4) e o monóxido de carbono (CO) [1].</w:t>
      </w:r>
    </w:p>
    <w:p w14:paraId="712F98D1" w14:textId="21B5338E" w:rsidR="00410327" w:rsidRDefault="51225D74" w:rsidP="00CE3CC8">
      <w:pPr>
        <w:pStyle w:val="TAMainText"/>
        <w:spacing w:line="240" w:lineRule="auto"/>
        <w:rPr>
          <w:lang w:val="pt-BR"/>
        </w:rPr>
      </w:pPr>
      <w:r w:rsidRPr="51225D74">
        <w:rPr>
          <w:lang w:val="pt-BR"/>
        </w:rPr>
        <w:t xml:space="preserve">A utilização desses gases para a produção de </w:t>
      </w:r>
      <w:r w:rsidRPr="51225D74">
        <w:rPr>
          <w:i/>
          <w:iCs/>
          <w:lang w:val="pt-BR"/>
        </w:rPr>
        <w:t>syngas</w:t>
      </w:r>
      <w:r w:rsidRPr="51225D74">
        <w:rPr>
          <w:lang w:val="pt-BR"/>
        </w:rPr>
        <w:t xml:space="preserve">, ou gás de síntese, um componente importante que atua como intermediário da conversão de hidrocarbonetos em produtos de maior valor agregado, é, portanto, de interesse ambiental e industrial. Dentre as várias formas de conversão possíveis, a reforma seca produz </w:t>
      </w:r>
      <w:r w:rsidRPr="51225D74">
        <w:rPr>
          <w:i/>
          <w:iCs/>
          <w:lang w:val="pt-BR"/>
        </w:rPr>
        <w:t>syngas</w:t>
      </w:r>
      <w:r w:rsidRPr="51225D74">
        <w:rPr>
          <w:lang w:val="pt-BR"/>
        </w:rPr>
        <w:t xml:space="preserve"> com razão H</w:t>
      </w:r>
      <w:r w:rsidRPr="51225D74">
        <w:rPr>
          <w:vertAlign w:val="subscript"/>
          <w:lang w:val="pt-BR"/>
        </w:rPr>
        <w:t>2</w:t>
      </w:r>
      <w:r w:rsidRPr="51225D74">
        <w:rPr>
          <w:lang w:val="pt-BR"/>
        </w:rPr>
        <w:t xml:space="preserve">:CO de </w:t>
      </w:r>
      <w:r w:rsidRPr="51225D74">
        <w:rPr>
          <w:lang w:val="pt-BR"/>
        </w:rPr>
        <w:lastRenderedPageBreak/>
        <w:t>aproximadamente 1, mais adequado para a utilização industrial que a razão de ~ 3:1 produzida pela reforma a vapor do metano, com mais uso industrial [1, 2].</w:t>
      </w:r>
    </w:p>
    <w:p w14:paraId="63E86547" w14:textId="6E3ACF6E" w:rsidR="46A5BB54" w:rsidRPr="00C05536" w:rsidRDefault="51225D74" w:rsidP="00CE3CC8">
      <w:pPr>
        <w:pStyle w:val="TAMainText"/>
        <w:spacing w:line="240" w:lineRule="auto"/>
        <w:rPr>
          <w:lang w:val="pt-BR"/>
        </w:rPr>
      </w:pPr>
      <w:r w:rsidRPr="51225D74">
        <w:rPr>
          <w:lang w:val="pt-BR"/>
        </w:rPr>
        <w:t xml:space="preserve">Acrescenta-se que, nos últimos anos, a crescente discussão acerca do uso de processos </w:t>
      </w:r>
      <w:proofErr w:type="spellStart"/>
      <w:r w:rsidRPr="009D399F">
        <w:rPr>
          <w:i/>
          <w:iCs/>
          <w:lang w:val="pt-BR"/>
        </w:rPr>
        <w:t>power-to-fuel</w:t>
      </w:r>
      <w:proofErr w:type="spellEnd"/>
      <w:r w:rsidRPr="51225D74">
        <w:rPr>
          <w:lang w:val="pt-BR"/>
        </w:rPr>
        <w:t xml:space="preserve"> (P2F), em especial o de conversão de energia verde em gás natural sintético, vem ganhando destaque. Nesse ínterim, aliar processos de captura e conversão de CO</w:t>
      </w:r>
      <w:r w:rsidRPr="51225D74">
        <w:rPr>
          <w:vertAlign w:val="subscript"/>
          <w:lang w:val="pt-BR"/>
        </w:rPr>
        <w:t>2</w:t>
      </w:r>
      <w:r w:rsidRPr="51225D74">
        <w:rPr>
          <w:lang w:val="pt-BR"/>
        </w:rPr>
        <w:t xml:space="preserve">, P2F e geração de </w:t>
      </w:r>
      <w:r w:rsidRPr="009D399F">
        <w:rPr>
          <w:i/>
          <w:iCs/>
          <w:lang w:val="pt-BR"/>
        </w:rPr>
        <w:t>syngas</w:t>
      </w:r>
      <w:r w:rsidRPr="51225D74">
        <w:rPr>
          <w:lang w:val="pt-BR"/>
        </w:rPr>
        <w:t xml:space="preserve">, permite a comutação entre a nova tendencia global e processos consolidados industrialmente, sendo um importante passo para a geração de químicos de alto valor agregado sem a utilização direta do </w:t>
      </w:r>
      <w:r w:rsidRPr="00C05536">
        <w:rPr>
          <w:lang w:val="pt-BR"/>
        </w:rPr>
        <w:t xml:space="preserve">petróleo [3]. </w:t>
      </w:r>
    </w:p>
    <w:p w14:paraId="243FA9CB" w14:textId="06EA95F9" w:rsidR="00BA2385" w:rsidRPr="00C05536" w:rsidRDefault="51225D74" w:rsidP="00CE3CC8">
      <w:pPr>
        <w:pStyle w:val="TAMainText"/>
        <w:spacing w:line="240" w:lineRule="auto"/>
        <w:rPr>
          <w:lang w:val="pt-BR"/>
        </w:rPr>
      </w:pPr>
      <w:r w:rsidRPr="00C05536">
        <w:rPr>
          <w:lang w:val="pt-BR"/>
        </w:rPr>
        <w:t>A alta taxa de desativação de catalisadores ainda é, entretanto, um impeditivo de sua aplicação em contexto industrial, de modo que o tópico tem atraído pesquisadores. A pesquisa com metais nobres (</w:t>
      </w:r>
      <w:proofErr w:type="spellStart"/>
      <w:r w:rsidRPr="00C05536">
        <w:rPr>
          <w:lang w:val="pt-BR"/>
        </w:rPr>
        <w:t>Pt</w:t>
      </w:r>
      <w:proofErr w:type="spellEnd"/>
      <w:r w:rsidRPr="00C05536">
        <w:rPr>
          <w:lang w:val="pt-BR"/>
        </w:rPr>
        <w:t xml:space="preserve">, </w:t>
      </w:r>
      <w:proofErr w:type="spellStart"/>
      <w:r w:rsidRPr="00C05536">
        <w:rPr>
          <w:lang w:val="pt-BR"/>
        </w:rPr>
        <w:t>Pd</w:t>
      </w:r>
      <w:proofErr w:type="spellEnd"/>
      <w:r w:rsidRPr="00C05536">
        <w:rPr>
          <w:lang w:val="pt-BR"/>
        </w:rPr>
        <w:t xml:space="preserve">, Ru, </w:t>
      </w:r>
      <w:r w:rsidR="006E33D9" w:rsidRPr="00C05536">
        <w:rPr>
          <w:lang w:val="pt-BR"/>
        </w:rPr>
        <w:t>Rh etc.</w:t>
      </w:r>
      <w:r w:rsidRPr="00C05536">
        <w:rPr>
          <w:lang w:val="pt-BR"/>
        </w:rPr>
        <w:t>) é comum devido à alta atividade e resistência dos catalisadores deles derivados, enquanto metais não-nobres tendem a ser menos ativos e menos resistentes à formação de coque, mas mais baratos e mais acessíveis [1, 4].</w:t>
      </w:r>
    </w:p>
    <w:p w14:paraId="3F6F4CE7" w14:textId="317C4A59" w:rsidR="0000521B" w:rsidRPr="00C05536" w:rsidRDefault="51225D74" w:rsidP="00CE3CC8">
      <w:pPr>
        <w:pStyle w:val="TAMainText"/>
        <w:spacing w:line="240" w:lineRule="auto"/>
        <w:rPr>
          <w:lang w:val="pt-BR"/>
        </w:rPr>
      </w:pPr>
      <w:r w:rsidRPr="00C05536">
        <w:rPr>
          <w:lang w:val="pt-BR"/>
        </w:rPr>
        <w:t xml:space="preserve">Catalisadores de níquel são particularmente suscetíveis </w:t>
      </w:r>
      <w:r w:rsidRPr="51225D74">
        <w:rPr>
          <w:lang w:val="pt-BR"/>
        </w:rPr>
        <w:t xml:space="preserve">à degradação por sinterização e formação de coque devido a sua alta atividade. O objetivo deste trabalho é investigar o efeito do uso de níquel incorporado à estrutura de filossilicatos, visando obter materiais com ligações </w:t>
      </w:r>
      <w:proofErr w:type="spellStart"/>
      <w:proofErr w:type="gramStart"/>
      <w:r w:rsidRPr="51225D74">
        <w:rPr>
          <w:lang w:val="pt-BR"/>
        </w:rPr>
        <w:t>Si</w:t>
      </w:r>
      <w:proofErr w:type="gramEnd"/>
      <w:r w:rsidRPr="51225D74">
        <w:rPr>
          <w:lang w:val="pt-BR"/>
        </w:rPr>
        <w:t>-Ni</w:t>
      </w:r>
      <w:proofErr w:type="spellEnd"/>
      <w:r w:rsidRPr="51225D74">
        <w:rPr>
          <w:lang w:val="pt-BR"/>
        </w:rPr>
        <w:t xml:space="preserve"> mais fortes, se comparado a catalisadores convencionais. Além disso, investigar o efeito de confinamento promovido </w:t>
      </w:r>
      <w:r w:rsidRPr="00C05536">
        <w:rPr>
          <w:lang w:val="pt-BR"/>
        </w:rPr>
        <w:t xml:space="preserve">por estruturas </w:t>
      </w:r>
      <w:r w:rsidRPr="00BE54E3">
        <w:rPr>
          <w:i/>
          <w:lang w:val="pt-BR"/>
        </w:rPr>
        <w:t>core</w:t>
      </w:r>
      <w:r w:rsidRPr="00C05536">
        <w:rPr>
          <w:lang w:val="pt-BR"/>
        </w:rPr>
        <w:t>@</w:t>
      </w:r>
      <w:r w:rsidRPr="00BE54E3">
        <w:rPr>
          <w:i/>
          <w:lang w:val="pt-BR"/>
        </w:rPr>
        <w:t>shell</w:t>
      </w:r>
      <w:r w:rsidRPr="00C05536">
        <w:rPr>
          <w:lang w:val="pt-BR"/>
        </w:rPr>
        <w:t xml:space="preserve"> na resistência, atividade e seletividade de catalisadores de níquel na reforma seca do metano [4, 5]. </w:t>
      </w:r>
    </w:p>
    <w:p w14:paraId="44F5E878" w14:textId="1686333D" w:rsidR="00111D26" w:rsidRPr="005533B4" w:rsidRDefault="00EA4E1B" w:rsidP="005533B4">
      <w:pPr>
        <w:pStyle w:val="Ttulo2"/>
        <w:rPr>
          <w:rFonts w:ascii="Helvetica" w:hAnsi="Helvetica" w:cs="Helvetica"/>
          <w:sz w:val="24"/>
          <w:szCs w:val="24"/>
        </w:rPr>
      </w:pPr>
      <w:r w:rsidRPr="001F25B2">
        <w:rPr>
          <w:rFonts w:ascii="Helvetica" w:hAnsi="Helvetica" w:cs="Helvetica"/>
          <w:sz w:val="24"/>
          <w:szCs w:val="24"/>
        </w:rPr>
        <w:t>Experimental</w:t>
      </w:r>
    </w:p>
    <w:p w14:paraId="290BE314" w14:textId="2F778A87" w:rsidR="0057450E" w:rsidRPr="00111D26" w:rsidRDefault="0057450E" w:rsidP="005533B4">
      <w:pPr>
        <w:pStyle w:val="TAMainText"/>
        <w:spacing w:before="240" w:line="240" w:lineRule="auto"/>
        <w:ind w:firstLine="0"/>
        <w:rPr>
          <w:b/>
          <w:i/>
          <w:lang w:val="pt-BR"/>
        </w:rPr>
      </w:pPr>
      <w:r w:rsidRPr="00111D26">
        <w:rPr>
          <w:b/>
          <w:i/>
          <w:lang w:val="pt-BR"/>
        </w:rPr>
        <w:t xml:space="preserve">Síntese </w:t>
      </w:r>
      <w:r w:rsidR="00D57851" w:rsidRPr="00111D26">
        <w:rPr>
          <w:b/>
          <w:i/>
          <w:lang w:val="pt-BR"/>
        </w:rPr>
        <w:t>do</w:t>
      </w:r>
      <w:r w:rsidR="0076587D" w:rsidRPr="00111D26">
        <w:rPr>
          <w:b/>
          <w:i/>
          <w:lang w:val="pt-BR"/>
        </w:rPr>
        <w:t>s</w:t>
      </w:r>
      <w:r w:rsidR="00EB7105" w:rsidRPr="00111D26">
        <w:rPr>
          <w:b/>
          <w:i/>
          <w:lang w:val="pt-BR"/>
        </w:rPr>
        <w:t xml:space="preserve"> filossilicato</w:t>
      </w:r>
      <w:r w:rsidR="0076587D" w:rsidRPr="00111D26">
        <w:rPr>
          <w:b/>
          <w:i/>
          <w:lang w:val="pt-BR"/>
        </w:rPr>
        <w:t>s</w:t>
      </w:r>
      <w:r w:rsidR="00EB7105" w:rsidRPr="00111D26">
        <w:rPr>
          <w:b/>
          <w:i/>
          <w:lang w:val="pt-BR"/>
        </w:rPr>
        <w:t xml:space="preserve"> de níquel</w:t>
      </w:r>
    </w:p>
    <w:p w14:paraId="54D696A4" w14:textId="77777777" w:rsidR="00111D26" w:rsidRDefault="00111D26" w:rsidP="00CE3CC8">
      <w:pPr>
        <w:pStyle w:val="TAMainText"/>
        <w:spacing w:line="240" w:lineRule="auto"/>
        <w:rPr>
          <w:lang w:val="pt-BR"/>
        </w:rPr>
      </w:pPr>
    </w:p>
    <w:p w14:paraId="02AF7B8A" w14:textId="5F986FA4" w:rsidR="00563303" w:rsidRDefault="51225D74" w:rsidP="009E3682">
      <w:pPr>
        <w:pStyle w:val="TAMainText"/>
        <w:spacing w:line="240" w:lineRule="auto"/>
        <w:rPr>
          <w:lang w:val="pt-BR"/>
        </w:rPr>
      </w:pPr>
      <w:r w:rsidRPr="51225D74">
        <w:rPr>
          <w:lang w:val="pt-BR"/>
        </w:rPr>
        <w:t xml:space="preserve">Os catalisadores foram sintetizados utilizando o método de Stöber </w:t>
      </w:r>
      <w:r w:rsidRPr="00C05536">
        <w:rPr>
          <w:lang w:val="pt-BR"/>
        </w:rPr>
        <w:t>modificado</w:t>
      </w:r>
      <w:r w:rsidR="00265938">
        <w:rPr>
          <w:lang w:val="pt-BR"/>
        </w:rPr>
        <w:t xml:space="preserve">, utilizando TEOS como fonte de silício e </w:t>
      </w:r>
      <w:r w:rsidR="009E3682">
        <w:rPr>
          <w:lang w:val="pt-BR"/>
        </w:rPr>
        <w:t>NH</w:t>
      </w:r>
      <w:r w:rsidR="009E3682">
        <w:rPr>
          <w:vertAlign w:val="subscript"/>
          <w:lang w:val="pt-BR"/>
        </w:rPr>
        <w:t>4</w:t>
      </w:r>
      <w:r w:rsidR="009E3682">
        <w:rPr>
          <w:lang w:val="pt-BR"/>
        </w:rPr>
        <w:t>OH como catalisador</w:t>
      </w:r>
      <w:r w:rsidRPr="00C05536">
        <w:rPr>
          <w:lang w:val="pt-BR"/>
        </w:rPr>
        <w:t xml:space="preserve"> [6].</w:t>
      </w:r>
      <w:r w:rsidR="009E3682">
        <w:rPr>
          <w:lang w:val="pt-BR"/>
        </w:rPr>
        <w:t xml:space="preserve"> Os filossilicatos foram desenvolvidos conforme metodologia de evaporação de amônia, descrito na literatura (com modificações).</w:t>
      </w:r>
      <w:r w:rsidRPr="00C05536">
        <w:rPr>
          <w:lang w:val="pt-BR"/>
        </w:rPr>
        <w:t xml:space="preserve"> </w:t>
      </w:r>
    </w:p>
    <w:p w14:paraId="107972C9" w14:textId="77777777" w:rsidR="009E3682" w:rsidRPr="00DC699E" w:rsidRDefault="009E3682" w:rsidP="009E3682">
      <w:pPr>
        <w:pStyle w:val="TAMainText"/>
        <w:spacing w:line="240" w:lineRule="auto"/>
        <w:rPr>
          <w:lang w:val="pt-BR"/>
        </w:rPr>
      </w:pPr>
    </w:p>
    <w:p w14:paraId="2730021B" w14:textId="37B2AB7B" w:rsidR="000D4E11" w:rsidRPr="00111D26" w:rsidRDefault="000D4E11" w:rsidP="00CE3CC8">
      <w:pPr>
        <w:pStyle w:val="TAMainText"/>
        <w:spacing w:line="240" w:lineRule="auto"/>
        <w:ind w:firstLine="0"/>
        <w:rPr>
          <w:b/>
          <w:vertAlign w:val="subscript"/>
          <w:lang w:val="pt-BR"/>
        </w:rPr>
      </w:pPr>
      <w:r w:rsidRPr="00111D26">
        <w:rPr>
          <w:b/>
          <w:i/>
          <w:lang w:val="pt-BR"/>
        </w:rPr>
        <w:t>Síntese d</w:t>
      </w:r>
      <w:r w:rsidR="00AF7194" w:rsidRPr="00111D26">
        <w:rPr>
          <w:b/>
          <w:i/>
          <w:lang w:val="pt-BR"/>
        </w:rPr>
        <w:t>as estruturas sanduíche th</w:t>
      </w:r>
      <w:r w:rsidR="00AF7194" w:rsidRPr="00111D26">
        <w:rPr>
          <w:b/>
          <w:lang w:val="pt-BR"/>
        </w:rPr>
        <w:t>-Si@NiPS@SiO</w:t>
      </w:r>
      <w:r w:rsidR="00AF7194" w:rsidRPr="00111D26">
        <w:rPr>
          <w:b/>
          <w:vertAlign w:val="subscript"/>
          <w:lang w:val="pt-BR"/>
        </w:rPr>
        <w:t>2</w:t>
      </w:r>
    </w:p>
    <w:p w14:paraId="4F1A9ADD" w14:textId="77777777" w:rsidR="00AF7194" w:rsidRPr="00AF7194" w:rsidRDefault="00AF7194" w:rsidP="00CE3CC8">
      <w:pPr>
        <w:pStyle w:val="TAMainText"/>
        <w:spacing w:line="240" w:lineRule="auto"/>
        <w:ind w:firstLine="0"/>
        <w:rPr>
          <w:i/>
          <w:iCs/>
          <w:lang w:val="pt-BR"/>
        </w:rPr>
      </w:pPr>
    </w:p>
    <w:p w14:paraId="7C2E9107" w14:textId="0E0FA4AC" w:rsidR="00256292" w:rsidRPr="00AF7194" w:rsidRDefault="00C23F51" w:rsidP="00CE3CC8">
      <w:pPr>
        <w:pStyle w:val="TAMainText"/>
        <w:spacing w:line="240" w:lineRule="auto"/>
        <w:rPr>
          <w:lang w:val="pt-BR"/>
        </w:rPr>
      </w:pPr>
      <w:r w:rsidRPr="00AF7194">
        <w:rPr>
          <w:lang w:val="pt-BR"/>
        </w:rPr>
        <w:t>Estruturas sanduíche</w:t>
      </w:r>
      <w:r w:rsidR="00106DA9" w:rsidRPr="00AF7194">
        <w:rPr>
          <w:lang w:val="pt-BR"/>
        </w:rPr>
        <w:t>,</w:t>
      </w:r>
      <w:r w:rsidR="00DC1FB2" w:rsidRPr="00AF7194">
        <w:rPr>
          <w:lang w:val="pt-BR"/>
        </w:rPr>
        <w:t xml:space="preserve"> </w:t>
      </w:r>
      <w:r w:rsidR="00DC1FB2" w:rsidRPr="00AF7194">
        <w:rPr>
          <w:i/>
          <w:iCs/>
          <w:lang w:val="pt-BR"/>
        </w:rPr>
        <w:t>th</w:t>
      </w:r>
      <w:r w:rsidR="0097078A" w:rsidRPr="00AF7194">
        <w:rPr>
          <w:lang w:val="pt-BR"/>
        </w:rPr>
        <w:t>-</w:t>
      </w:r>
      <w:r w:rsidRPr="00AF7194">
        <w:rPr>
          <w:lang w:val="pt-BR"/>
        </w:rPr>
        <w:t>Si@</w:t>
      </w:r>
      <w:r w:rsidR="0097078A" w:rsidRPr="00AF7194">
        <w:rPr>
          <w:lang w:val="pt-BR"/>
        </w:rPr>
        <w:t>NiPS@SiO</w:t>
      </w:r>
      <w:r w:rsidR="0097078A" w:rsidRPr="00AF7194">
        <w:rPr>
          <w:vertAlign w:val="subscript"/>
          <w:lang w:val="pt-BR"/>
        </w:rPr>
        <w:t>2</w:t>
      </w:r>
      <w:r w:rsidR="001204EE" w:rsidRPr="00AF7194">
        <w:rPr>
          <w:lang w:val="pt-BR"/>
        </w:rPr>
        <w:t xml:space="preserve"> (</w:t>
      </w:r>
      <w:proofErr w:type="spellStart"/>
      <w:r w:rsidR="00F9441D" w:rsidRPr="00AF7194">
        <w:rPr>
          <w:i/>
          <w:iCs/>
          <w:lang w:val="pt-BR"/>
        </w:rPr>
        <w:t>th</w:t>
      </w:r>
      <w:proofErr w:type="spellEnd"/>
      <w:r w:rsidR="001204EE" w:rsidRPr="00AF7194">
        <w:rPr>
          <w:lang w:val="pt-BR"/>
        </w:rPr>
        <w:t xml:space="preserve"> [tempo de hidrólise] </w:t>
      </w:r>
      <w:r w:rsidR="00A25160" w:rsidRPr="00AF7194">
        <w:rPr>
          <w:lang w:val="pt-BR"/>
        </w:rPr>
        <w:t>=</w:t>
      </w:r>
      <w:r w:rsidR="001204EE" w:rsidRPr="00AF7194">
        <w:rPr>
          <w:lang w:val="pt-BR"/>
        </w:rPr>
        <w:t xml:space="preserve"> 0, 24, 48 h)</w:t>
      </w:r>
      <w:r w:rsidR="00106DA9" w:rsidRPr="00AF7194">
        <w:rPr>
          <w:lang w:val="pt-BR"/>
        </w:rPr>
        <w:t xml:space="preserve">, foram sintetizadas de acordo com o método de evaporação de amônia seguida de </w:t>
      </w:r>
      <w:r w:rsidR="004B2E7D" w:rsidRPr="00AF7194">
        <w:rPr>
          <w:lang w:val="pt-BR"/>
        </w:rPr>
        <w:t>Stöber</w:t>
      </w:r>
      <w:r w:rsidR="00106DA9" w:rsidRPr="00AF7194">
        <w:rPr>
          <w:lang w:val="pt-BR"/>
        </w:rPr>
        <w:t xml:space="preserve"> (</w:t>
      </w:r>
      <w:r w:rsidR="004B2E7D" w:rsidRPr="00AF7194">
        <w:rPr>
          <w:lang w:val="pt-BR"/>
        </w:rPr>
        <w:t>Stöber</w:t>
      </w:r>
      <w:r w:rsidR="00106DA9" w:rsidRPr="00AF7194">
        <w:rPr>
          <w:lang w:val="pt-BR"/>
        </w:rPr>
        <w:t>-AE).</w:t>
      </w:r>
      <w:r w:rsidR="00AF7194">
        <w:rPr>
          <w:lang w:val="pt-BR"/>
        </w:rPr>
        <w:t xml:space="preserve"> </w:t>
      </w:r>
      <w:r w:rsidR="001B0C34" w:rsidRPr="00AF7194">
        <w:rPr>
          <w:lang w:val="pt-BR"/>
        </w:rPr>
        <w:t xml:space="preserve">Quantidade apropriada de </w:t>
      </w:r>
      <w:r w:rsidR="004B2E7D" w:rsidRPr="00AF7194">
        <w:rPr>
          <w:lang w:val="pt-BR"/>
        </w:rPr>
        <w:t>NiPS e</w:t>
      </w:r>
      <w:r w:rsidR="00CD06F4" w:rsidRPr="00AF7194">
        <w:rPr>
          <w:lang w:val="pt-BR"/>
        </w:rPr>
        <w:t xml:space="preserve"> </w:t>
      </w:r>
      <w:proofErr w:type="spellStart"/>
      <w:r w:rsidR="00CD06F4" w:rsidRPr="00AF7194">
        <w:rPr>
          <w:lang w:val="pt-BR"/>
        </w:rPr>
        <w:t>hexadeciletilenotetram</w:t>
      </w:r>
      <w:r w:rsidR="004B2E7D" w:rsidRPr="00AF7194">
        <w:rPr>
          <w:lang w:val="pt-BR"/>
        </w:rPr>
        <w:t>ô</w:t>
      </w:r>
      <w:r w:rsidR="00CD06F4" w:rsidRPr="00AF7194">
        <w:rPr>
          <w:lang w:val="pt-BR"/>
        </w:rPr>
        <w:t>nio</w:t>
      </w:r>
      <w:proofErr w:type="spellEnd"/>
      <w:r w:rsidR="00CD06F4" w:rsidRPr="00AF7194">
        <w:rPr>
          <w:lang w:val="pt-BR"/>
        </w:rPr>
        <w:t xml:space="preserve"> (HMT)</w:t>
      </w:r>
      <w:r w:rsidR="005B7D91">
        <w:rPr>
          <w:lang w:val="pt-BR"/>
        </w:rPr>
        <w:t>, 1:10 m/m,</w:t>
      </w:r>
      <w:r w:rsidR="00CD06F4" w:rsidRPr="00AF7194">
        <w:rPr>
          <w:lang w:val="pt-BR"/>
        </w:rPr>
        <w:t xml:space="preserve"> fo</w:t>
      </w:r>
      <w:r w:rsidR="004B2E7D" w:rsidRPr="00AF7194">
        <w:rPr>
          <w:lang w:val="pt-BR"/>
        </w:rPr>
        <w:t>i</w:t>
      </w:r>
      <w:r w:rsidR="006D1830" w:rsidRPr="00AF7194">
        <w:rPr>
          <w:lang w:val="pt-BR"/>
        </w:rPr>
        <w:t xml:space="preserve"> </w:t>
      </w:r>
      <w:r w:rsidR="004B2E7D" w:rsidRPr="00AF7194">
        <w:rPr>
          <w:lang w:val="pt-BR"/>
        </w:rPr>
        <w:t>dissolvida</w:t>
      </w:r>
      <w:r w:rsidR="006D1830" w:rsidRPr="00AF7194">
        <w:rPr>
          <w:lang w:val="pt-BR"/>
        </w:rPr>
        <w:t xml:space="preserve"> </w:t>
      </w:r>
      <w:r w:rsidR="001B0C34" w:rsidRPr="00AF7194">
        <w:rPr>
          <w:lang w:val="pt-BR"/>
        </w:rPr>
        <w:t xml:space="preserve">em </w:t>
      </w:r>
      <w:r w:rsidR="00CD06F4" w:rsidRPr="00AF7194">
        <w:rPr>
          <w:lang w:val="pt-BR"/>
        </w:rPr>
        <w:t>solução</w:t>
      </w:r>
      <w:r w:rsidR="001B0C34" w:rsidRPr="00AF7194">
        <w:rPr>
          <w:lang w:val="pt-BR"/>
        </w:rPr>
        <w:t xml:space="preserve"> 3:2 EtOH:H</w:t>
      </w:r>
      <w:r w:rsidR="001B0C34" w:rsidRPr="00AF7194">
        <w:rPr>
          <w:vertAlign w:val="subscript"/>
          <w:lang w:val="pt-BR"/>
        </w:rPr>
        <w:t>2</w:t>
      </w:r>
      <w:r w:rsidR="001B0C34" w:rsidRPr="00AF7194">
        <w:rPr>
          <w:lang w:val="pt-BR"/>
        </w:rPr>
        <w:t>O</w:t>
      </w:r>
      <w:r w:rsidR="00CD06F4" w:rsidRPr="00AF7194">
        <w:rPr>
          <w:lang w:val="pt-BR"/>
        </w:rPr>
        <w:t xml:space="preserve"> sob ultrassonicação. Após 1h, adicionou-se</w:t>
      </w:r>
      <w:r w:rsidR="00290A6D" w:rsidRPr="00AF7194">
        <w:rPr>
          <w:lang w:val="pt-BR"/>
        </w:rPr>
        <w:t xml:space="preserve"> </w:t>
      </w:r>
      <w:r w:rsidR="6FDB30F9" w:rsidRPr="003E5C03">
        <w:rPr>
          <w:lang w:val="pt-BR"/>
        </w:rPr>
        <w:t>10</w:t>
      </w:r>
      <w:r w:rsidR="00290A6D" w:rsidRPr="003E5C03">
        <w:rPr>
          <w:lang w:val="pt-BR"/>
        </w:rPr>
        <w:t xml:space="preserve"> </w:t>
      </w:r>
      <w:proofErr w:type="spellStart"/>
      <w:r w:rsidR="00290A6D" w:rsidRPr="003E5C03">
        <w:rPr>
          <w:lang w:val="pt-BR"/>
        </w:rPr>
        <w:t>mL</w:t>
      </w:r>
      <w:proofErr w:type="spellEnd"/>
      <w:r w:rsidR="00290A6D" w:rsidRPr="003E5C03">
        <w:rPr>
          <w:lang w:val="pt-BR"/>
        </w:rPr>
        <w:t xml:space="preserve"> de</w:t>
      </w:r>
      <w:r w:rsidR="00290A6D" w:rsidRPr="00AF7194">
        <w:rPr>
          <w:lang w:val="pt-BR"/>
        </w:rPr>
        <w:t xml:space="preserve"> NH</w:t>
      </w:r>
      <w:r w:rsidR="00290A6D" w:rsidRPr="00AF7194">
        <w:rPr>
          <w:vertAlign w:val="subscript"/>
          <w:lang w:val="pt-BR"/>
        </w:rPr>
        <w:t>4</w:t>
      </w:r>
      <w:r w:rsidR="00290A6D" w:rsidRPr="00AF7194">
        <w:rPr>
          <w:lang w:val="pt-BR"/>
        </w:rPr>
        <w:t>OH</w:t>
      </w:r>
      <w:r w:rsidR="00CD06F4" w:rsidRPr="00AF7194">
        <w:rPr>
          <w:lang w:val="pt-BR"/>
        </w:rPr>
        <w:t xml:space="preserve"> (catalisador)</w:t>
      </w:r>
      <w:r w:rsidR="00290A6D" w:rsidRPr="00AF7194">
        <w:rPr>
          <w:lang w:val="pt-BR"/>
        </w:rPr>
        <w:t xml:space="preserve"> e 2 </w:t>
      </w:r>
      <w:proofErr w:type="spellStart"/>
      <w:r w:rsidR="00290A6D" w:rsidRPr="00AF7194">
        <w:rPr>
          <w:lang w:val="pt-BR"/>
        </w:rPr>
        <w:t>mL</w:t>
      </w:r>
      <w:proofErr w:type="spellEnd"/>
      <w:r w:rsidR="00290A6D" w:rsidRPr="00AF7194">
        <w:rPr>
          <w:lang w:val="pt-BR"/>
        </w:rPr>
        <w:t xml:space="preserve"> de TEOS lentamente ao sistema</w:t>
      </w:r>
      <w:r w:rsidR="00CD06F4" w:rsidRPr="00AF7194">
        <w:rPr>
          <w:lang w:val="pt-BR"/>
        </w:rPr>
        <w:t>, O pH foi mantido em torno de 10</w:t>
      </w:r>
      <w:r w:rsidR="00BB351F" w:rsidRPr="00AF7194">
        <w:rPr>
          <w:lang w:val="pt-BR"/>
        </w:rPr>
        <w:t>,</w:t>
      </w:r>
      <w:r w:rsidR="00290A6D" w:rsidRPr="00AF7194">
        <w:rPr>
          <w:lang w:val="pt-BR"/>
        </w:rPr>
        <w:t xml:space="preserve"> </w:t>
      </w:r>
      <w:r w:rsidR="00BB351F" w:rsidRPr="00AF7194">
        <w:rPr>
          <w:lang w:val="pt-BR"/>
        </w:rPr>
        <w:t>mantendo-se o sistema a</w:t>
      </w:r>
      <w:r w:rsidR="00290A6D" w:rsidRPr="00AF7194">
        <w:rPr>
          <w:lang w:val="pt-BR"/>
        </w:rPr>
        <w:t xml:space="preserve"> 60 </w:t>
      </w:r>
      <w:r w:rsidR="00A6062E" w:rsidRPr="00AF7194">
        <w:rPr>
          <w:lang w:val="pt-BR"/>
        </w:rPr>
        <w:t>°C</w:t>
      </w:r>
      <w:r w:rsidR="00D32250" w:rsidRPr="00AF7194">
        <w:rPr>
          <w:lang w:val="pt-BR"/>
        </w:rPr>
        <w:t xml:space="preserve"> por 1</w:t>
      </w:r>
      <w:r w:rsidR="00BB351F" w:rsidRPr="00AF7194">
        <w:rPr>
          <w:lang w:val="pt-BR"/>
        </w:rPr>
        <w:t xml:space="preserve">h, momento em que </w:t>
      </w:r>
      <w:r w:rsidR="00D35FEE" w:rsidRPr="00AF7194">
        <w:rPr>
          <w:lang w:val="pt-BR"/>
        </w:rPr>
        <w:t>se obtém</w:t>
      </w:r>
      <w:r w:rsidR="00BB351F" w:rsidRPr="00AF7194">
        <w:rPr>
          <w:lang w:val="pt-BR"/>
        </w:rPr>
        <w:t xml:space="preserve"> pH neutro por evaporação de NH</w:t>
      </w:r>
      <w:r w:rsidR="00BB351F" w:rsidRPr="00AF7194">
        <w:rPr>
          <w:vertAlign w:val="subscript"/>
          <w:lang w:val="pt-BR"/>
        </w:rPr>
        <w:t>3</w:t>
      </w:r>
      <w:r w:rsidR="00CD06F4" w:rsidRPr="00AF7194">
        <w:rPr>
          <w:lang w:val="pt-BR"/>
        </w:rPr>
        <w:t xml:space="preserve">. </w:t>
      </w:r>
      <w:r w:rsidR="00F558FC" w:rsidRPr="00AF7194">
        <w:rPr>
          <w:lang w:val="pt-BR"/>
        </w:rPr>
        <w:t>Em seguid</w:t>
      </w:r>
      <w:r w:rsidR="00CD06F4" w:rsidRPr="00AF7194">
        <w:rPr>
          <w:lang w:val="pt-BR"/>
        </w:rPr>
        <w:t>a</w:t>
      </w:r>
      <w:r w:rsidR="00F558FC" w:rsidRPr="00AF7194">
        <w:rPr>
          <w:lang w:val="pt-BR"/>
        </w:rPr>
        <w:t xml:space="preserve"> o material foi </w:t>
      </w:r>
      <w:r w:rsidR="00CD06F4" w:rsidRPr="00AF7194">
        <w:rPr>
          <w:lang w:val="pt-BR"/>
        </w:rPr>
        <w:t>acondicio</w:t>
      </w:r>
      <w:r w:rsidR="004B2E7D" w:rsidRPr="00AF7194">
        <w:rPr>
          <w:lang w:val="pt-BR"/>
        </w:rPr>
        <w:t>nado</w:t>
      </w:r>
      <w:r w:rsidR="00BB351F" w:rsidRPr="00AF7194">
        <w:rPr>
          <w:lang w:val="pt-BR"/>
        </w:rPr>
        <w:t xml:space="preserve"> em reator autoclave, mantendo-se sob aquecimento </w:t>
      </w:r>
      <w:r w:rsidR="00762771" w:rsidRPr="00AF7194">
        <w:rPr>
          <w:lang w:val="pt-BR"/>
        </w:rPr>
        <w:t>a 70 °C</w:t>
      </w:r>
      <w:r w:rsidR="00BB351F" w:rsidRPr="00AF7194">
        <w:rPr>
          <w:lang w:val="pt-BR"/>
        </w:rPr>
        <w:t xml:space="preserve"> por 4h. </w:t>
      </w:r>
      <w:r w:rsidR="00BB351F" w:rsidRPr="00AF7194">
        <w:rPr>
          <w:lang w:val="pt-BR"/>
        </w:rPr>
        <w:t>Finalmente, o gel obtido foi</w:t>
      </w:r>
      <w:r w:rsidR="00256292" w:rsidRPr="00AF7194">
        <w:rPr>
          <w:lang w:val="pt-BR"/>
        </w:rPr>
        <w:t xml:space="preserve"> </w:t>
      </w:r>
      <w:r w:rsidR="00A314EA" w:rsidRPr="00AF7194">
        <w:rPr>
          <w:lang w:val="pt-BR"/>
        </w:rPr>
        <w:t xml:space="preserve">mantido sob agitação em meio aquoso por </w:t>
      </w:r>
      <w:r w:rsidR="00256292" w:rsidRPr="00AF7194">
        <w:rPr>
          <w:lang w:val="pt-BR"/>
        </w:rPr>
        <w:t>0, 24 ou 48 h</w:t>
      </w:r>
      <w:r w:rsidR="004B2E7D" w:rsidRPr="00AF7194">
        <w:rPr>
          <w:lang w:val="pt-BR"/>
        </w:rPr>
        <w:t xml:space="preserve"> (hidrólise)</w:t>
      </w:r>
      <w:r w:rsidR="00256292" w:rsidRPr="00AF7194">
        <w:rPr>
          <w:lang w:val="pt-BR"/>
        </w:rPr>
        <w:t>.</w:t>
      </w:r>
    </w:p>
    <w:p w14:paraId="6157932D" w14:textId="33993597" w:rsidR="00B11937" w:rsidRPr="003E5C03" w:rsidRDefault="00A6062E" w:rsidP="00CE3CC8">
      <w:pPr>
        <w:pStyle w:val="TAMainText"/>
        <w:spacing w:line="240" w:lineRule="auto"/>
        <w:rPr>
          <w:lang w:val="pt-BR"/>
        </w:rPr>
      </w:pPr>
      <w:r w:rsidRPr="00AF7194">
        <w:rPr>
          <w:lang w:val="pt-BR"/>
        </w:rPr>
        <w:t>O material obtido foi então centrifugado, lavado</w:t>
      </w:r>
      <w:r w:rsidR="004B2E7D" w:rsidRPr="00AF7194">
        <w:rPr>
          <w:lang w:val="pt-BR"/>
        </w:rPr>
        <w:t>, seco</w:t>
      </w:r>
      <w:r w:rsidRPr="00AF7194">
        <w:rPr>
          <w:lang w:val="pt-BR"/>
        </w:rPr>
        <w:t xml:space="preserve"> e</w:t>
      </w:r>
      <w:r w:rsidR="004B2E7D" w:rsidRPr="00AF7194">
        <w:rPr>
          <w:lang w:val="pt-BR"/>
        </w:rPr>
        <w:t xml:space="preserve"> finalmente</w:t>
      </w:r>
      <w:r w:rsidRPr="00AF7194">
        <w:rPr>
          <w:lang w:val="pt-BR"/>
        </w:rPr>
        <w:t xml:space="preserve"> calcinado</w:t>
      </w:r>
      <w:r w:rsidR="1310BB08" w:rsidRPr="003E5C03">
        <w:rPr>
          <w:lang w:val="pt-BR"/>
        </w:rPr>
        <w:t>.</w:t>
      </w:r>
      <w:r w:rsidR="59B4E716" w:rsidRPr="59B4E716">
        <w:rPr>
          <w:lang w:val="pt-BR"/>
        </w:rPr>
        <w:t xml:space="preserve"> </w:t>
      </w:r>
      <w:r w:rsidR="1310BB08" w:rsidRPr="003E5C03">
        <w:rPr>
          <w:lang w:val="pt-BR"/>
        </w:rPr>
        <w:t>a</w:t>
      </w:r>
      <w:r w:rsidRPr="003E5C03">
        <w:rPr>
          <w:lang w:val="pt-BR"/>
        </w:rPr>
        <w:t xml:space="preserve"> 700 °C </w:t>
      </w:r>
      <w:r w:rsidR="00AF7194" w:rsidRPr="003E5C03">
        <w:rPr>
          <w:lang w:val="pt-BR"/>
        </w:rPr>
        <w:t>(10 °C</w:t>
      </w:r>
      <w:r w:rsidR="008B35C9">
        <w:rPr>
          <w:lang w:val="pt-BR"/>
        </w:rPr>
        <w:t>.</w:t>
      </w:r>
      <w:r w:rsidR="00AF7194" w:rsidRPr="003E5C03">
        <w:rPr>
          <w:lang w:val="pt-BR"/>
        </w:rPr>
        <w:t>min</w:t>
      </w:r>
      <w:r w:rsidR="008B35C9">
        <w:rPr>
          <w:vertAlign w:val="superscript"/>
          <w:lang w:val="pt-BR"/>
        </w:rPr>
        <w:t>-1</w:t>
      </w:r>
      <w:r w:rsidR="00AF7194" w:rsidRPr="003E5C03">
        <w:rPr>
          <w:lang w:val="pt-BR"/>
        </w:rPr>
        <w:t xml:space="preserve">) </w:t>
      </w:r>
      <w:r w:rsidRPr="003E5C03">
        <w:rPr>
          <w:lang w:val="pt-BR"/>
        </w:rPr>
        <w:t xml:space="preserve">por 4h sob fluxo de 50 </w:t>
      </w:r>
      <w:r w:rsidR="51A8419A" w:rsidRPr="003E5C03">
        <w:rPr>
          <w:lang w:val="pt-BR"/>
        </w:rPr>
        <w:t>mL</w:t>
      </w:r>
      <w:r w:rsidR="00A6389D">
        <w:rPr>
          <w:lang w:val="pt-BR"/>
        </w:rPr>
        <w:t>.</w:t>
      </w:r>
      <w:r w:rsidRPr="003E5C03">
        <w:rPr>
          <w:lang w:val="pt-BR"/>
        </w:rPr>
        <w:t>min</w:t>
      </w:r>
      <w:r w:rsidR="00A6389D">
        <w:rPr>
          <w:vertAlign w:val="superscript"/>
          <w:lang w:val="pt-BR"/>
        </w:rPr>
        <w:t>-1</w:t>
      </w:r>
      <w:r w:rsidRPr="003E5C03">
        <w:rPr>
          <w:lang w:val="pt-BR"/>
        </w:rPr>
        <w:t xml:space="preserve"> </w:t>
      </w:r>
      <w:r w:rsidR="00BE0102" w:rsidRPr="003E5C03">
        <w:rPr>
          <w:lang w:val="pt-BR"/>
        </w:rPr>
        <w:t>de</w:t>
      </w:r>
      <w:r w:rsidRPr="003E5C03">
        <w:rPr>
          <w:lang w:val="pt-BR"/>
        </w:rPr>
        <w:t xml:space="preserve"> </w:t>
      </w:r>
      <w:r w:rsidR="004B2E7D" w:rsidRPr="003E5C03">
        <w:rPr>
          <w:lang w:val="pt-BR"/>
        </w:rPr>
        <w:t>ar</w:t>
      </w:r>
      <w:r w:rsidRPr="003E5C03">
        <w:rPr>
          <w:lang w:val="pt-BR"/>
        </w:rPr>
        <w:t xml:space="preserve"> sintético</w:t>
      </w:r>
      <w:r w:rsidR="00BE0102" w:rsidRPr="003E5C03">
        <w:rPr>
          <w:lang w:val="pt-BR"/>
        </w:rPr>
        <w:t>.</w:t>
      </w:r>
    </w:p>
    <w:p w14:paraId="0521441B" w14:textId="27A5A2B0" w:rsidR="006A0DD8" w:rsidRDefault="00197CAF" w:rsidP="00CE3CC8">
      <w:pPr>
        <w:pStyle w:val="TAMainText"/>
        <w:spacing w:line="240" w:lineRule="auto"/>
        <w:rPr>
          <w:lang w:val="pt-BR"/>
        </w:rPr>
      </w:pPr>
      <w:r>
        <w:rPr>
          <w:lang w:val="pt-BR"/>
        </w:rPr>
        <w:t xml:space="preserve">A síntese pode ser esquematizada conforme </w:t>
      </w:r>
      <w:r w:rsidR="00900369">
        <w:rPr>
          <w:lang w:val="pt-BR"/>
        </w:rPr>
        <w:t>a Figura 1.</w:t>
      </w:r>
    </w:p>
    <w:p w14:paraId="242BFF72" w14:textId="77777777" w:rsidR="00235872" w:rsidRDefault="00235872" w:rsidP="00235872">
      <w:pPr>
        <w:pStyle w:val="VAFigureCaption"/>
        <w:spacing w:before="0" w:line="240" w:lineRule="auto"/>
        <w:jc w:val="center"/>
        <w:rPr>
          <w:rFonts w:ascii="Times New Roman" w:hAnsi="Times New Roman"/>
          <w:b/>
          <w:lang w:val="pt-BR"/>
        </w:rPr>
      </w:pPr>
      <w:r>
        <w:rPr>
          <w:rFonts w:ascii="Times New Roman" w:hAnsi="Times New Roman"/>
          <w:b/>
          <w:noProof/>
          <w:lang w:val="pt-BR"/>
        </w:rPr>
        <w:drawing>
          <wp:inline distT="0" distB="0" distL="0" distR="0" wp14:anchorId="2D587359" wp14:editId="237B972B">
            <wp:extent cx="2541795" cy="1638605"/>
            <wp:effectExtent l="0" t="0" r="0" b="0"/>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739" cy="1639858"/>
                    </a:xfrm>
                    <a:prstGeom prst="rect">
                      <a:avLst/>
                    </a:prstGeom>
                  </pic:spPr>
                </pic:pic>
              </a:graphicData>
            </a:graphic>
          </wp:inline>
        </w:drawing>
      </w:r>
    </w:p>
    <w:p w14:paraId="0B349077" w14:textId="70D7DC51" w:rsidR="00900369" w:rsidRPr="004813E7" w:rsidRDefault="004813E7" w:rsidP="00CE3CC8">
      <w:pPr>
        <w:pStyle w:val="VAFigureCaption"/>
        <w:spacing w:before="0" w:line="240" w:lineRule="auto"/>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Pr>
          <w:rFonts w:ascii="Times New Roman" w:hAnsi="Times New Roman"/>
          <w:lang w:val="pt-BR"/>
        </w:rPr>
        <w:t xml:space="preserve">Esquema de síntese de </w:t>
      </w:r>
      <w:r w:rsidRPr="006A0DD8">
        <w:rPr>
          <w:rFonts w:ascii="Times New Roman" w:hAnsi="Times New Roman"/>
          <w:i/>
          <w:iCs/>
          <w:lang w:val="pt-BR"/>
        </w:rPr>
        <w:t>th</w:t>
      </w:r>
      <w:r>
        <w:rPr>
          <w:rFonts w:ascii="Times New Roman" w:hAnsi="Times New Roman"/>
          <w:lang w:val="pt-BR"/>
        </w:rPr>
        <w:t>-Si@NiPS@SiO</w:t>
      </w:r>
      <w:r w:rsidRPr="004813E7">
        <w:rPr>
          <w:rFonts w:ascii="Times New Roman" w:hAnsi="Times New Roman"/>
          <w:vertAlign w:val="subscript"/>
          <w:lang w:val="pt-BR"/>
        </w:rPr>
        <w:t>2</w:t>
      </w:r>
      <w:r w:rsidR="00F262C6">
        <w:rPr>
          <w:rFonts w:ascii="Times New Roman" w:hAnsi="Times New Roman"/>
          <w:lang w:val="pt-BR"/>
        </w:rPr>
        <w:t xml:space="preserve"> (</w:t>
      </w:r>
      <w:proofErr w:type="spellStart"/>
      <w:r w:rsidR="00F262C6" w:rsidRPr="006A0DD8">
        <w:rPr>
          <w:rFonts w:ascii="Times New Roman" w:hAnsi="Times New Roman"/>
          <w:i/>
          <w:iCs/>
          <w:lang w:val="pt-BR"/>
        </w:rPr>
        <w:t>th</w:t>
      </w:r>
      <w:proofErr w:type="spellEnd"/>
      <w:r w:rsidR="00F262C6">
        <w:rPr>
          <w:rFonts w:ascii="Times New Roman" w:hAnsi="Times New Roman"/>
          <w:lang w:val="pt-BR"/>
        </w:rPr>
        <w:t xml:space="preserve"> = 24, 48)</w:t>
      </w:r>
      <w:r w:rsidR="006A0DD8">
        <w:rPr>
          <w:rFonts w:ascii="Times New Roman" w:hAnsi="Times New Roman"/>
          <w:lang w:val="pt-BR"/>
        </w:rPr>
        <w:t>.</w:t>
      </w:r>
      <w:r>
        <w:rPr>
          <w:rFonts w:ascii="Times New Roman" w:hAnsi="Times New Roman"/>
          <w:lang w:val="pt-BR"/>
        </w:rPr>
        <w:t xml:space="preserve"> </w:t>
      </w:r>
    </w:p>
    <w:p w14:paraId="2F1B8CD2" w14:textId="1402768B" w:rsidR="00762771" w:rsidRPr="00290E68" w:rsidRDefault="00762771" w:rsidP="00CE3CC8">
      <w:pPr>
        <w:pStyle w:val="TAMainText"/>
        <w:spacing w:line="240" w:lineRule="auto"/>
        <w:ind w:firstLine="0"/>
        <w:rPr>
          <w:lang w:val="pt-BR"/>
        </w:rPr>
      </w:pPr>
    </w:p>
    <w:p w14:paraId="284DD605" w14:textId="3EFFB783" w:rsidR="00642616" w:rsidRPr="00F92765" w:rsidRDefault="00B16EF3" w:rsidP="00CE3CC8">
      <w:pPr>
        <w:pStyle w:val="TAMainText"/>
        <w:spacing w:line="240" w:lineRule="auto"/>
        <w:ind w:firstLine="0"/>
        <w:rPr>
          <w:b/>
          <w:i/>
          <w:lang w:val="pt-BR"/>
        </w:rPr>
      </w:pPr>
      <w:r w:rsidRPr="00F92765">
        <w:rPr>
          <w:b/>
          <w:i/>
          <w:lang w:val="pt-BR"/>
        </w:rPr>
        <w:t>Caracterização dos materiais</w:t>
      </w:r>
    </w:p>
    <w:p w14:paraId="4A9C6160" w14:textId="77777777" w:rsidR="00C867B0" w:rsidRPr="00DB3FE1" w:rsidRDefault="00C867B0" w:rsidP="00CE3CC8">
      <w:pPr>
        <w:pStyle w:val="TAMainText"/>
        <w:spacing w:line="240" w:lineRule="auto"/>
        <w:ind w:firstLine="0"/>
        <w:rPr>
          <w:i/>
          <w:lang w:val="pt-BR"/>
        </w:rPr>
      </w:pPr>
    </w:p>
    <w:p w14:paraId="5B81E26C" w14:textId="4156D2E1" w:rsidR="00480279" w:rsidRDefault="00480279" w:rsidP="00CE3CC8">
      <w:pPr>
        <w:spacing w:after="0" w:line="240" w:lineRule="auto"/>
        <w:ind w:firstLine="284"/>
        <w:jc w:val="both"/>
        <w:rPr>
          <w:rFonts w:ascii="Times" w:eastAsia="Calibri" w:hAnsi="Times" w:cs="Times"/>
          <w:sz w:val="20"/>
          <w:szCs w:val="20"/>
        </w:rPr>
      </w:pPr>
      <w:r w:rsidRPr="000B5E59">
        <w:rPr>
          <w:rFonts w:ascii="Times" w:eastAsia="Calibri" w:hAnsi="Times" w:cs="Times"/>
          <w:sz w:val="20"/>
          <w:szCs w:val="20"/>
        </w:rPr>
        <w:t>Medidas de difração de raios X (DRX), foram efetuadas com o objetivo de investigar a estrutura cristalina dos materiais. As análises foram conduzidas de acordo com o reportado em</w:t>
      </w:r>
      <w:r w:rsidR="00C05536">
        <w:rPr>
          <w:rFonts w:ascii="Times" w:eastAsia="Calibri" w:hAnsi="Times" w:cs="Times"/>
          <w:sz w:val="20"/>
          <w:szCs w:val="20"/>
        </w:rPr>
        <w:t xml:space="preserve"> trabalhos anteriores [</w:t>
      </w:r>
      <w:r w:rsidR="0050413F">
        <w:rPr>
          <w:rFonts w:ascii="Times" w:eastAsia="Calibri" w:hAnsi="Times" w:cs="Times"/>
          <w:sz w:val="20"/>
          <w:szCs w:val="20"/>
        </w:rPr>
        <w:t>7</w:t>
      </w:r>
      <w:r w:rsidR="00C05536">
        <w:rPr>
          <w:rFonts w:ascii="Times" w:eastAsia="Calibri" w:hAnsi="Times" w:cs="Times"/>
          <w:sz w:val="20"/>
          <w:szCs w:val="20"/>
        </w:rPr>
        <w:t>].</w:t>
      </w:r>
    </w:p>
    <w:p w14:paraId="3C7E8B7A" w14:textId="46F2CD8A" w:rsidR="00480279" w:rsidRPr="00C05536" w:rsidRDefault="51225D74" w:rsidP="00CE3CC8">
      <w:pPr>
        <w:spacing w:after="0" w:line="240" w:lineRule="auto"/>
        <w:ind w:firstLine="284"/>
        <w:jc w:val="both"/>
        <w:rPr>
          <w:rFonts w:ascii="Times" w:hAnsi="Times" w:cs="Times"/>
          <w:sz w:val="20"/>
          <w:szCs w:val="20"/>
        </w:rPr>
      </w:pPr>
      <w:r w:rsidRPr="51225D74">
        <w:rPr>
          <w:rFonts w:ascii="Times" w:eastAsia="Calibri" w:hAnsi="Times" w:cs="Times"/>
          <w:sz w:val="20"/>
          <w:szCs w:val="20"/>
        </w:rPr>
        <w:t>A redutibilidade dos materiais e a quantificação da área metálica foi investigada por redução termoprogramada com H</w:t>
      </w:r>
      <w:r w:rsidRPr="51225D74">
        <w:rPr>
          <w:rFonts w:ascii="Times" w:eastAsia="Calibri" w:hAnsi="Times" w:cs="Times"/>
          <w:sz w:val="20"/>
          <w:szCs w:val="20"/>
          <w:vertAlign w:val="subscript"/>
        </w:rPr>
        <w:t>2</w:t>
      </w:r>
      <w:r w:rsidRPr="51225D74">
        <w:rPr>
          <w:rFonts w:ascii="Times" w:eastAsia="Calibri" w:hAnsi="Times" w:cs="Times"/>
          <w:sz w:val="20"/>
          <w:szCs w:val="20"/>
        </w:rPr>
        <w:t xml:space="preserve"> (TPR-H</w:t>
      </w:r>
      <w:r w:rsidRPr="51225D74">
        <w:rPr>
          <w:rFonts w:ascii="Times" w:eastAsia="Calibri" w:hAnsi="Times" w:cs="Times"/>
          <w:sz w:val="20"/>
          <w:szCs w:val="20"/>
          <w:vertAlign w:val="subscript"/>
        </w:rPr>
        <w:t>2</w:t>
      </w:r>
      <w:r w:rsidRPr="51225D74">
        <w:rPr>
          <w:rFonts w:ascii="Times" w:eastAsia="Calibri" w:hAnsi="Times" w:cs="Times"/>
          <w:sz w:val="20"/>
          <w:szCs w:val="20"/>
        </w:rPr>
        <w:t xml:space="preserve">). As condições utilizadas estão apresentadas em trabalhos </w:t>
      </w:r>
      <w:r w:rsidRPr="00C05536">
        <w:rPr>
          <w:rFonts w:ascii="Times" w:eastAsia="Calibri" w:hAnsi="Times" w:cs="Times"/>
          <w:sz w:val="20"/>
          <w:szCs w:val="20"/>
        </w:rPr>
        <w:t>anteriores [</w:t>
      </w:r>
      <w:r w:rsidR="0050413F">
        <w:rPr>
          <w:rFonts w:ascii="Times" w:eastAsia="Calibri" w:hAnsi="Times" w:cs="Times"/>
          <w:sz w:val="20"/>
          <w:szCs w:val="20"/>
        </w:rPr>
        <w:t>7</w:t>
      </w:r>
      <w:r w:rsidRPr="00C05536">
        <w:rPr>
          <w:rFonts w:ascii="Times" w:eastAsia="Calibri" w:hAnsi="Times" w:cs="Times"/>
          <w:sz w:val="20"/>
          <w:szCs w:val="20"/>
        </w:rPr>
        <w:t>]</w:t>
      </w:r>
      <w:r w:rsidR="0064207D" w:rsidRPr="00C05536">
        <w:rPr>
          <w:rFonts w:ascii="Times" w:eastAsia="Calibri" w:hAnsi="Times" w:cs="Times"/>
          <w:sz w:val="20"/>
          <w:szCs w:val="20"/>
        </w:rPr>
        <w:t>.</w:t>
      </w:r>
    </w:p>
    <w:p w14:paraId="5C76185E" w14:textId="36C3D8E7" w:rsidR="00480279" w:rsidRPr="00300F3A" w:rsidRDefault="00480279" w:rsidP="00CE3CC8">
      <w:pPr>
        <w:spacing w:after="0" w:line="240" w:lineRule="auto"/>
        <w:ind w:firstLine="284"/>
        <w:jc w:val="both"/>
        <w:rPr>
          <w:rFonts w:ascii="Times" w:eastAsia="Calibri" w:hAnsi="Times" w:cs="Times"/>
          <w:sz w:val="20"/>
          <w:szCs w:val="24"/>
        </w:rPr>
      </w:pPr>
      <w:r w:rsidRPr="00C05536">
        <w:rPr>
          <w:rFonts w:ascii="Times" w:eastAsia="Calibri" w:hAnsi="Times" w:cs="Times"/>
          <w:sz w:val="20"/>
          <w:szCs w:val="24"/>
        </w:rPr>
        <w:t xml:space="preserve">Os testes de </w:t>
      </w:r>
      <w:r w:rsidRPr="00C05536">
        <w:rPr>
          <w:rFonts w:ascii="Times" w:eastAsia="Calibri" w:hAnsi="Times" w:cs="Times"/>
          <w:bCs/>
          <w:sz w:val="20"/>
          <w:szCs w:val="24"/>
          <w:lang w:eastAsia="pt-BR"/>
        </w:rPr>
        <w:t>craqueamento do metano a temperatura programada (TPC-CH</w:t>
      </w:r>
      <w:r w:rsidRPr="00C05536">
        <w:rPr>
          <w:rFonts w:ascii="Times" w:eastAsia="Calibri" w:hAnsi="Times" w:cs="Times"/>
          <w:bCs/>
          <w:sz w:val="20"/>
          <w:szCs w:val="24"/>
          <w:vertAlign w:val="subscript"/>
          <w:lang w:eastAsia="pt-BR"/>
        </w:rPr>
        <w:t>4</w:t>
      </w:r>
      <w:r w:rsidRPr="00C05536">
        <w:rPr>
          <w:rFonts w:ascii="Times" w:eastAsia="Calibri" w:hAnsi="Times" w:cs="Times"/>
          <w:b/>
          <w:bCs/>
          <w:sz w:val="20"/>
          <w:szCs w:val="24"/>
          <w:lang w:eastAsia="pt-BR"/>
        </w:rPr>
        <w:t>)</w:t>
      </w:r>
      <w:r w:rsidRPr="00C05536">
        <w:rPr>
          <w:rFonts w:ascii="Times" w:eastAsia="Calibri" w:hAnsi="Times" w:cs="Times"/>
          <w:bCs/>
          <w:sz w:val="20"/>
          <w:szCs w:val="24"/>
          <w:lang w:eastAsia="pt-BR"/>
        </w:rPr>
        <w:t xml:space="preserve">, </w:t>
      </w:r>
      <w:r w:rsidRPr="00C05536">
        <w:rPr>
          <w:rFonts w:ascii="Times" w:eastAsia="Calibri" w:hAnsi="Times" w:cs="Times"/>
          <w:sz w:val="20"/>
          <w:szCs w:val="24"/>
        </w:rPr>
        <w:t xml:space="preserve">foram efetuados no mesmo aparato que as análises de TPR. </w:t>
      </w:r>
      <w:r w:rsidR="00300F3A" w:rsidRPr="00C05536">
        <w:rPr>
          <w:rFonts w:ascii="Times" w:eastAsia="Calibri" w:hAnsi="Times" w:cs="Times"/>
          <w:sz w:val="20"/>
          <w:szCs w:val="24"/>
        </w:rPr>
        <w:t>A referida</w:t>
      </w:r>
      <w:r w:rsidRPr="00C05536">
        <w:rPr>
          <w:rFonts w:ascii="Times" w:eastAsia="Calibri" w:hAnsi="Times" w:cs="Times"/>
          <w:sz w:val="20"/>
          <w:szCs w:val="24"/>
        </w:rPr>
        <w:t xml:space="preserve"> análise </w:t>
      </w:r>
      <w:r w:rsidRPr="00300F3A">
        <w:rPr>
          <w:rFonts w:ascii="Times" w:eastAsia="Calibri" w:hAnsi="Times" w:cs="Times"/>
          <w:sz w:val="20"/>
          <w:szCs w:val="24"/>
        </w:rPr>
        <w:t xml:space="preserve">permite o estudo qualitativo da temperatura de decomposição do metano, em função do catalisador aplicado, partindo do princípio </w:t>
      </w:r>
      <w:r w:rsidR="00300F3A" w:rsidRPr="00300F3A">
        <w:rPr>
          <w:rFonts w:ascii="Times" w:eastAsia="Calibri" w:hAnsi="Times" w:cs="Times"/>
          <w:sz w:val="20"/>
          <w:szCs w:val="24"/>
        </w:rPr>
        <w:t>de que</w:t>
      </w:r>
      <w:r w:rsidRPr="00300F3A">
        <w:rPr>
          <w:rFonts w:ascii="Times" w:eastAsia="Calibri" w:hAnsi="Times" w:cs="Times"/>
          <w:sz w:val="20"/>
          <w:szCs w:val="24"/>
        </w:rPr>
        <w:t xml:space="preserve"> es</w:t>
      </w:r>
      <w:r w:rsidR="00300F3A">
        <w:rPr>
          <w:rFonts w:ascii="Times" w:eastAsia="Calibri" w:hAnsi="Times" w:cs="Times"/>
          <w:sz w:val="20"/>
          <w:szCs w:val="24"/>
        </w:rPr>
        <w:t>sa</w:t>
      </w:r>
      <w:r w:rsidRPr="00300F3A">
        <w:rPr>
          <w:rFonts w:ascii="Times" w:eastAsia="Calibri" w:hAnsi="Times" w:cs="Times"/>
          <w:sz w:val="20"/>
          <w:szCs w:val="24"/>
        </w:rPr>
        <w:t xml:space="preserve"> seria a etapa determinante da velocidade </w:t>
      </w:r>
      <w:r w:rsidR="00300F3A" w:rsidRPr="00300F3A">
        <w:rPr>
          <w:rFonts w:ascii="Times" w:eastAsia="Calibri" w:hAnsi="Times" w:cs="Times"/>
          <w:sz w:val="20"/>
          <w:szCs w:val="24"/>
        </w:rPr>
        <w:t>na reforma seca do metano</w:t>
      </w:r>
      <w:r w:rsidR="003513E5">
        <w:rPr>
          <w:rFonts w:ascii="Times" w:eastAsia="Calibri" w:hAnsi="Times" w:cs="Times"/>
          <w:sz w:val="20"/>
          <w:szCs w:val="24"/>
        </w:rPr>
        <w:t>.</w:t>
      </w:r>
      <w:r w:rsidR="008866BE">
        <w:rPr>
          <w:rFonts w:ascii="Times" w:eastAsia="Calibri" w:hAnsi="Times" w:cs="Times"/>
          <w:sz w:val="20"/>
          <w:szCs w:val="24"/>
        </w:rPr>
        <w:t xml:space="preserve"> Foram usadas as mesmas condições de trabalhos anteriores [8]</w:t>
      </w:r>
      <w:r w:rsidR="00635663">
        <w:rPr>
          <w:rFonts w:ascii="Times" w:eastAsia="Calibri" w:hAnsi="Times" w:cs="Times"/>
          <w:sz w:val="20"/>
          <w:szCs w:val="24"/>
        </w:rPr>
        <w:t>.</w:t>
      </w:r>
    </w:p>
    <w:p w14:paraId="4CBB6995" w14:textId="42D2B9F1" w:rsidR="00300F3A" w:rsidRPr="005056C1" w:rsidRDefault="00300F3A" w:rsidP="00480279">
      <w:pPr>
        <w:spacing w:after="0" w:line="240" w:lineRule="auto"/>
        <w:ind w:firstLine="284"/>
        <w:jc w:val="both"/>
        <w:rPr>
          <w:rFonts w:ascii="Times" w:eastAsia="Calibri" w:hAnsi="Times" w:cs="Times"/>
          <w:sz w:val="20"/>
          <w:szCs w:val="24"/>
        </w:rPr>
      </w:pPr>
      <w:r w:rsidRPr="008866BE">
        <w:rPr>
          <w:rFonts w:ascii="Times" w:eastAsia="Calibri" w:hAnsi="Times" w:cs="Times"/>
          <w:sz w:val="20"/>
          <w:szCs w:val="24"/>
        </w:rPr>
        <w:t xml:space="preserve">Os experimentos de microscopia eletrônica de transmissão em alta resolução (HRTEM) e mapeamento elementar por espectroscopia </w:t>
      </w:r>
      <w:r w:rsidR="006356F2" w:rsidRPr="008866BE">
        <w:rPr>
          <w:rFonts w:ascii="Times" w:eastAsia="Calibri" w:hAnsi="Times" w:cs="Times"/>
          <w:sz w:val="20"/>
          <w:szCs w:val="24"/>
        </w:rPr>
        <w:t>por energia dispersiva de raios (ME-EDS) foram conduzidos</w:t>
      </w:r>
      <w:r w:rsidR="005056C1">
        <w:rPr>
          <w:rFonts w:ascii="Times" w:eastAsia="Calibri" w:hAnsi="Times" w:cs="Times"/>
          <w:sz w:val="20"/>
          <w:szCs w:val="24"/>
        </w:rPr>
        <w:t xml:space="preserve"> num aparato </w:t>
      </w:r>
      <w:r w:rsidR="005056C1" w:rsidRPr="005056C1">
        <w:rPr>
          <w:rFonts w:ascii="Times" w:eastAsia="Calibri" w:hAnsi="Times" w:cs="Times"/>
          <w:sz w:val="20"/>
          <w:szCs w:val="24"/>
        </w:rPr>
        <w:t xml:space="preserve">JEOL 2100F </w:t>
      </w:r>
      <w:r w:rsidR="005056C1">
        <w:rPr>
          <w:rFonts w:ascii="Times" w:eastAsia="Calibri" w:hAnsi="Times" w:cs="Times"/>
          <w:sz w:val="20"/>
          <w:szCs w:val="24"/>
        </w:rPr>
        <w:t xml:space="preserve">equipado com uma câmera de </w:t>
      </w:r>
      <w:r w:rsidR="005056C1" w:rsidRPr="005056C1">
        <w:rPr>
          <w:rFonts w:ascii="Times" w:eastAsia="Calibri" w:hAnsi="Times" w:cs="Times"/>
          <w:sz w:val="20"/>
          <w:szCs w:val="24"/>
        </w:rPr>
        <w:t xml:space="preserve">11 megapixels CCD (GATAN </w:t>
      </w:r>
      <w:proofErr w:type="spellStart"/>
      <w:r w:rsidR="005056C1" w:rsidRPr="005056C1">
        <w:rPr>
          <w:rFonts w:ascii="Times" w:eastAsia="Calibri" w:hAnsi="Times" w:cs="Times"/>
          <w:sz w:val="20"/>
          <w:szCs w:val="24"/>
        </w:rPr>
        <w:t>Orius</w:t>
      </w:r>
      <w:proofErr w:type="spellEnd"/>
      <w:r w:rsidR="005056C1" w:rsidRPr="005056C1">
        <w:rPr>
          <w:rFonts w:ascii="Times" w:eastAsia="Calibri" w:hAnsi="Times" w:cs="Times"/>
          <w:sz w:val="20"/>
          <w:szCs w:val="24"/>
        </w:rPr>
        <w:t>).</w:t>
      </w:r>
      <w:r w:rsidR="00635663">
        <w:rPr>
          <w:rFonts w:ascii="Times" w:eastAsia="Calibri" w:hAnsi="Times" w:cs="Times"/>
          <w:sz w:val="20"/>
          <w:szCs w:val="24"/>
        </w:rPr>
        <w:t xml:space="preserve"> As condições utilizadas podem ser verificadas em outros trabalhos do grupo [</w:t>
      </w:r>
      <w:r w:rsidR="00D2641C">
        <w:rPr>
          <w:rFonts w:ascii="Times" w:eastAsia="Calibri" w:hAnsi="Times" w:cs="Times"/>
          <w:sz w:val="20"/>
          <w:szCs w:val="24"/>
        </w:rPr>
        <w:t>7,</w:t>
      </w:r>
      <w:r w:rsidR="00635663">
        <w:rPr>
          <w:rFonts w:ascii="Times" w:eastAsia="Calibri" w:hAnsi="Times" w:cs="Times"/>
          <w:sz w:val="20"/>
          <w:szCs w:val="24"/>
        </w:rPr>
        <w:t>8].</w:t>
      </w:r>
    </w:p>
    <w:p w14:paraId="25E04FD3" w14:textId="77777777" w:rsidR="00480279" w:rsidRPr="00480279" w:rsidRDefault="00480279" w:rsidP="00480279">
      <w:pPr>
        <w:autoSpaceDE w:val="0"/>
        <w:autoSpaceDN w:val="0"/>
        <w:adjustRightInd w:val="0"/>
        <w:spacing w:after="0" w:line="240" w:lineRule="auto"/>
        <w:jc w:val="both"/>
        <w:rPr>
          <w:rFonts w:ascii="Times" w:eastAsia="Calibri" w:hAnsi="Times" w:cs="Times"/>
          <w:sz w:val="20"/>
          <w:szCs w:val="20"/>
          <w:highlight w:val="cyan"/>
          <w:lang w:eastAsia="pt-BR"/>
        </w:rPr>
      </w:pPr>
    </w:p>
    <w:p w14:paraId="29630847" w14:textId="77777777" w:rsidR="00480279" w:rsidRPr="00E25DDC" w:rsidRDefault="00480279" w:rsidP="00CE3CC8">
      <w:pPr>
        <w:spacing w:after="0" w:line="240" w:lineRule="auto"/>
        <w:ind w:firstLine="284"/>
        <w:jc w:val="both"/>
        <w:rPr>
          <w:rFonts w:ascii="Times" w:eastAsia="Times New Roman" w:hAnsi="Times" w:cs="Times New Roman"/>
          <w:b/>
          <w:i/>
          <w:sz w:val="20"/>
          <w:szCs w:val="20"/>
          <w:lang w:eastAsia="pt-BR"/>
        </w:rPr>
      </w:pPr>
      <w:r w:rsidRPr="00E25DDC">
        <w:rPr>
          <w:rFonts w:ascii="Times" w:eastAsia="Times New Roman" w:hAnsi="Times" w:cs="Times New Roman"/>
          <w:b/>
          <w:i/>
          <w:sz w:val="20"/>
          <w:szCs w:val="20"/>
          <w:lang w:eastAsia="pt-BR"/>
        </w:rPr>
        <w:t>Avaliação catalítica</w:t>
      </w:r>
    </w:p>
    <w:p w14:paraId="57414F3A" w14:textId="5E7CDDFC" w:rsidR="00480279" w:rsidRPr="00480279" w:rsidRDefault="00480279" w:rsidP="00CE3CC8">
      <w:pPr>
        <w:spacing w:after="0" w:line="240" w:lineRule="auto"/>
        <w:ind w:firstLine="284"/>
        <w:jc w:val="both"/>
        <w:rPr>
          <w:rFonts w:ascii="Times" w:eastAsia="Times New Roman" w:hAnsi="Times" w:cs="Times New Roman"/>
          <w:i/>
          <w:sz w:val="20"/>
          <w:szCs w:val="20"/>
          <w:highlight w:val="cyan"/>
          <w:lang w:eastAsia="pt-BR"/>
        </w:rPr>
      </w:pPr>
    </w:p>
    <w:p w14:paraId="2EC2B2BD" w14:textId="52330304" w:rsidR="00480279" w:rsidRDefault="51225D74" w:rsidP="00D45961">
      <w:pPr>
        <w:spacing w:after="0" w:line="240" w:lineRule="auto"/>
        <w:jc w:val="both"/>
        <w:rPr>
          <w:rFonts w:ascii="Times" w:eastAsiaTheme="minorHAnsi" w:hAnsi="Times" w:cs="Times"/>
          <w:sz w:val="20"/>
          <w:szCs w:val="20"/>
        </w:rPr>
      </w:pPr>
      <w:r w:rsidRPr="51225D74">
        <w:rPr>
          <w:rFonts w:ascii="Times" w:eastAsia="Times New Roman" w:hAnsi="Times" w:cs="Times New Roman"/>
          <w:i/>
          <w:iCs/>
          <w:sz w:val="20"/>
          <w:szCs w:val="20"/>
          <w:lang w:eastAsia="pt-BR"/>
        </w:rPr>
        <w:t xml:space="preserve">      </w:t>
      </w:r>
      <w:r w:rsidRPr="51225D74">
        <w:rPr>
          <w:rFonts w:ascii="Times" w:eastAsia="Times New Roman" w:hAnsi="Times" w:cs="Times New Roman"/>
          <w:sz w:val="20"/>
          <w:szCs w:val="20"/>
          <w:lang w:eastAsia="pt-BR"/>
        </w:rPr>
        <w:t xml:space="preserve">Os testes catalíticos na DRM em condições de baixa temperatura foram efetuados seguindo a metodologia apresentada em trabalhos anteriores </w:t>
      </w:r>
      <w:r w:rsidRPr="00C05536">
        <w:rPr>
          <w:rFonts w:ascii="Times" w:eastAsia="Times New Roman" w:hAnsi="Times" w:cs="Times New Roman"/>
          <w:sz w:val="20"/>
          <w:szCs w:val="20"/>
          <w:lang w:eastAsia="pt-BR"/>
        </w:rPr>
        <w:t>[</w:t>
      </w:r>
      <w:r w:rsidR="00D2641C">
        <w:rPr>
          <w:rFonts w:ascii="Times" w:eastAsia="Times New Roman" w:hAnsi="Times" w:cs="Times New Roman"/>
          <w:sz w:val="20"/>
          <w:szCs w:val="20"/>
          <w:lang w:eastAsia="pt-BR"/>
        </w:rPr>
        <w:t>7</w:t>
      </w:r>
      <w:r w:rsidRPr="00C05536">
        <w:rPr>
          <w:rFonts w:ascii="Times" w:eastAsia="Times New Roman" w:hAnsi="Times" w:cs="Times New Roman"/>
          <w:sz w:val="20"/>
          <w:szCs w:val="20"/>
          <w:lang w:eastAsia="pt-BR"/>
        </w:rPr>
        <w:t>]</w:t>
      </w:r>
      <w:r w:rsidR="0064207D" w:rsidRPr="00C05536">
        <w:rPr>
          <w:rFonts w:ascii="Times" w:eastAsia="Times New Roman" w:hAnsi="Times" w:cs="Times New Roman"/>
          <w:sz w:val="20"/>
          <w:szCs w:val="20"/>
          <w:lang w:eastAsia="pt-BR"/>
        </w:rPr>
        <w:t xml:space="preserve">. </w:t>
      </w:r>
      <w:r w:rsidRPr="00C05536">
        <w:rPr>
          <w:rFonts w:ascii="Times" w:eastAsia="Times New Roman" w:hAnsi="Times" w:cs="Times"/>
          <w:sz w:val="20"/>
          <w:szCs w:val="20"/>
          <w:lang w:eastAsia="pt-BR"/>
        </w:rPr>
        <w:t>Os experimentos foram conduzidos em uma unidade reacional PID da ENG &amp; TEC</w:t>
      </w:r>
      <w:r w:rsidR="00D45961">
        <w:rPr>
          <w:rFonts w:ascii="Times" w:eastAsia="Times New Roman" w:hAnsi="Times" w:cs="Times"/>
          <w:sz w:val="20"/>
          <w:szCs w:val="20"/>
          <w:lang w:eastAsia="pt-BR"/>
        </w:rPr>
        <w:t xml:space="preserve">. Maiores especificações do sistema </w:t>
      </w:r>
      <w:r w:rsidR="005C1D47">
        <w:rPr>
          <w:rFonts w:ascii="Times" w:eastAsia="Times New Roman" w:hAnsi="Times" w:cs="Times"/>
          <w:sz w:val="20"/>
          <w:szCs w:val="20"/>
          <w:lang w:eastAsia="pt-BR"/>
        </w:rPr>
        <w:t>podem ser</w:t>
      </w:r>
      <w:r w:rsidR="00D45961">
        <w:rPr>
          <w:rFonts w:ascii="Times" w:eastAsia="Times New Roman" w:hAnsi="Times" w:cs="Times"/>
          <w:sz w:val="20"/>
          <w:szCs w:val="20"/>
          <w:lang w:eastAsia="pt-BR"/>
        </w:rPr>
        <w:t xml:space="preserve"> </w:t>
      </w:r>
      <w:r w:rsidR="00444C94">
        <w:rPr>
          <w:rFonts w:ascii="Times" w:eastAsia="Times New Roman" w:hAnsi="Times" w:cs="Times"/>
          <w:sz w:val="20"/>
          <w:szCs w:val="20"/>
          <w:lang w:eastAsia="pt-BR"/>
        </w:rPr>
        <w:t>obtidos em</w:t>
      </w:r>
      <w:r w:rsidR="005C1D47">
        <w:rPr>
          <w:rFonts w:ascii="Times" w:eastAsia="Times New Roman" w:hAnsi="Times" w:cs="Times"/>
          <w:sz w:val="20"/>
          <w:szCs w:val="20"/>
          <w:lang w:eastAsia="pt-BR"/>
        </w:rPr>
        <w:t xml:space="preserve"> outros trabalhos [</w:t>
      </w:r>
      <w:r w:rsidR="00D2641C">
        <w:rPr>
          <w:rFonts w:ascii="Times" w:eastAsia="Times New Roman" w:hAnsi="Times" w:cs="Times"/>
          <w:sz w:val="20"/>
          <w:szCs w:val="20"/>
          <w:lang w:eastAsia="pt-BR"/>
        </w:rPr>
        <w:t>7,8</w:t>
      </w:r>
      <w:r w:rsidR="005C1D47">
        <w:rPr>
          <w:rFonts w:ascii="Times" w:eastAsia="Times New Roman" w:hAnsi="Times" w:cs="Times"/>
          <w:sz w:val="20"/>
          <w:szCs w:val="20"/>
          <w:lang w:eastAsia="pt-BR"/>
        </w:rPr>
        <w:t>].</w:t>
      </w:r>
    </w:p>
    <w:p w14:paraId="3445F43A" w14:textId="2ACB55DF" w:rsidR="003E5C03" w:rsidRDefault="00084605" w:rsidP="00CE3CC8">
      <w:pPr>
        <w:autoSpaceDE w:val="0"/>
        <w:autoSpaceDN w:val="0"/>
        <w:adjustRightInd w:val="0"/>
        <w:spacing w:after="0" w:line="240" w:lineRule="auto"/>
        <w:jc w:val="both"/>
        <w:rPr>
          <w:rFonts w:ascii="Times" w:eastAsiaTheme="minorHAnsi" w:hAnsi="Times" w:cs="Times"/>
          <w:sz w:val="20"/>
          <w:szCs w:val="20"/>
        </w:rPr>
      </w:pPr>
      <w:r>
        <w:rPr>
          <w:rFonts w:ascii="Times" w:eastAsiaTheme="minorHAnsi" w:hAnsi="Times" w:cs="Times"/>
          <w:sz w:val="20"/>
          <w:szCs w:val="20"/>
        </w:rPr>
        <w:t xml:space="preserve">     </w:t>
      </w:r>
      <w:r w:rsidR="00691E20">
        <w:rPr>
          <w:rFonts w:ascii="Times" w:eastAsiaTheme="minorHAnsi" w:hAnsi="Times" w:cs="Times"/>
          <w:sz w:val="20"/>
          <w:szCs w:val="20"/>
        </w:rPr>
        <w:t>As condições de operação foram: temperatura de 700°C</w:t>
      </w:r>
      <w:r w:rsidR="008E05B3">
        <w:rPr>
          <w:rFonts w:ascii="Times" w:eastAsiaTheme="minorHAnsi" w:hAnsi="Times" w:cs="Times"/>
          <w:sz w:val="20"/>
          <w:szCs w:val="20"/>
        </w:rPr>
        <w:t>, GHSV =</w:t>
      </w:r>
      <w:r w:rsidR="003E5C03">
        <w:rPr>
          <w:rFonts w:ascii="Times" w:eastAsiaTheme="minorHAnsi" w:hAnsi="Times" w:cs="Times"/>
          <w:sz w:val="20"/>
          <w:szCs w:val="20"/>
        </w:rPr>
        <w:t xml:space="preserve"> </w:t>
      </w:r>
      <w:r w:rsidR="002B21B5">
        <w:rPr>
          <w:rFonts w:ascii="Times" w:eastAsiaTheme="minorHAnsi" w:hAnsi="Times" w:cs="Times"/>
          <w:sz w:val="20"/>
          <w:szCs w:val="20"/>
        </w:rPr>
        <w:t>60.000</w:t>
      </w:r>
      <w:r w:rsidR="008E05B3">
        <w:rPr>
          <w:rFonts w:ascii="Times" w:eastAsiaTheme="minorHAnsi" w:hAnsi="Times" w:cs="Times"/>
          <w:sz w:val="20"/>
          <w:szCs w:val="20"/>
        </w:rPr>
        <w:t xml:space="preserve"> </w:t>
      </w:r>
      <w:r w:rsidR="008E05B3" w:rsidRPr="008E05B3">
        <w:rPr>
          <w:rFonts w:ascii="Times New Roman" w:eastAsiaTheme="minorHAnsi" w:hAnsi="Times New Roman" w:cs="Times New Roman"/>
          <w:sz w:val="20"/>
          <w:szCs w:val="20"/>
        </w:rPr>
        <w:t>NL.</w:t>
      </w:r>
      <w:proofErr w:type="gramStart"/>
      <w:r w:rsidR="008E05B3" w:rsidRPr="008E05B3">
        <w:rPr>
          <w:rFonts w:ascii="Times New Roman" w:eastAsiaTheme="minorHAnsi" w:hAnsi="Times New Roman" w:cs="Times New Roman"/>
          <w:sz w:val="20"/>
          <w:szCs w:val="20"/>
        </w:rPr>
        <w:t>K</w:t>
      </w:r>
      <w:r w:rsidR="003E5C03">
        <w:rPr>
          <w:rFonts w:ascii="Times New Roman" w:eastAsiaTheme="minorHAnsi" w:hAnsi="Times New Roman" w:cs="Times New Roman"/>
          <w:sz w:val="20"/>
          <w:szCs w:val="20"/>
        </w:rPr>
        <w:t>.</w:t>
      </w:r>
      <w:r w:rsidR="008E05B3" w:rsidRPr="008E05B3">
        <w:rPr>
          <w:rFonts w:ascii="Times New Roman" w:eastAsiaTheme="minorHAnsi" w:hAnsi="Times New Roman" w:cs="Times New Roman"/>
          <w:sz w:val="20"/>
          <w:szCs w:val="20"/>
        </w:rPr>
        <w:t>gcat</w:t>
      </w:r>
      <w:proofErr w:type="gramEnd"/>
      <w:r w:rsidR="008E05B3" w:rsidRPr="008E05B3">
        <w:rPr>
          <w:rFonts w:ascii="Times New Roman" w:eastAsiaTheme="minorHAnsi" w:hAnsi="Times New Roman" w:cs="Times New Roman"/>
          <w:sz w:val="20"/>
          <w:szCs w:val="20"/>
          <w:vertAlign w:val="superscript"/>
        </w:rPr>
        <w:t>-1</w:t>
      </w:r>
      <w:r w:rsidR="008E05B3" w:rsidRPr="008E05B3">
        <w:rPr>
          <w:rFonts w:ascii="Times New Roman" w:eastAsiaTheme="minorHAnsi" w:hAnsi="Times New Roman" w:cs="Times New Roman"/>
          <w:sz w:val="20"/>
          <w:szCs w:val="20"/>
        </w:rPr>
        <w:t>.h</w:t>
      </w:r>
      <w:r w:rsidR="008E05B3" w:rsidRPr="008E05B3">
        <w:rPr>
          <w:rFonts w:ascii="Times New Roman" w:eastAsiaTheme="minorHAnsi" w:hAnsi="Times New Roman" w:cs="Times New Roman"/>
          <w:sz w:val="20"/>
          <w:szCs w:val="20"/>
          <w:vertAlign w:val="superscript"/>
        </w:rPr>
        <w:t>-1</w:t>
      </w:r>
      <w:r w:rsidR="002B21B5">
        <w:rPr>
          <w:rFonts w:ascii="Times New Roman" w:eastAsiaTheme="minorHAnsi" w:hAnsi="Times New Roman" w:cs="Times New Roman"/>
          <w:sz w:val="20"/>
          <w:szCs w:val="20"/>
        </w:rPr>
        <w:t>, razão CH</w:t>
      </w:r>
      <w:r w:rsidR="002B21B5">
        <w:rPr>
          <w:rFonts w:ascii="Times New Roman" w:eastAsiaTheme="minorHAnsi" w:hAnsi="Times New Roman" w:cs="Times New Roman"/>
          <w:sz w:val="20"/>
          <w:szCs w:val="20"/>
          <w:vertAlign w:val="subscript"/>
        </w:rPr>
        <w:t>4</w:t>
      </w:r>
      <w:r w:rsidR="002B21B5">
        <w:rPr>
          <w:rFonts w:ascii="Times New Roman" w:eastAsiaTheme="minorHAnsi" w:hAnsi="Times New Roman" w:cs="Times New Roman"/>
          <w:sz w:val="20"/>
          <w:szCs w:val="20"/>
        </w:rPr>
        <w:t>/CO</w:t>
      </w:r>
      <w:r w:rsidR="00145E2B">
        <w:rPr>
          <w:rFonts w:ascii="Times New Roman" w:eastAsiaTheme="minorHAnsi" w:hAnsi="Times New Roman" w:cs="Times New Roman"/>
          <w:sz w:val="20"/>
          <w:szCs w:val="20"/>
        </w:rPr>
        <w:t xml:space="preserve"> equimolar. Os dados obtidos foram analisados utilizando as expressões </w:t>
      </w:r>
      <w:r w:rsidR="00145E2B">
        <w:rPr>
          <w:rFonts w:ascii="Times New Roman" w:eastAsiaTheme="minorHAnsi" w:hAnsi="Times New Roman" w:cs="Times New Roman"/>
          <w:sz w:val="20"/>
          <w:szCs w:val="20"/>
        </w:rPr>
        <w:lastRenderedPageBreak/>
        <w:t xml:space="preserve">abaixo, em </w:t>
      </w:r>
      <w:r w:rsidR="00145E2B" w:rsidRPr="00F46B40">
        <w:rPr>
          <w:rFonts w:ascii="Times New Roman" w:eastAsiaTheme="minorHAnsi" w:hAnsi="Times New Roman" w:cs="Times New Roman"/>
          <w:sz w:val="20"/>
          <w:szCs w:val="20"/>
        </w:rPr>
        <w:t xml:space="preserve">que </w:t>
      </w:r>
      <w:proofErr w:type="spellStart"/>
      <w:r w:rsidR="00480279" w:rsidRPr="00F46B40">
        <w:rPr>
          <w:rFonts w:ascii="Times" w:eastAsiaTheme="minorHAnsi" w:hAnsi="Times" w:cs="Times"/>
          <w:sz w:val="20"/>
          <w:szCs w:val="20"/>
        </w:rPr>
        <w:t>X</w:t>
      </w:r>
      <w:r w:rsidR="00480279" w:rsidRPr="00F46B40">
        <w:rPr>
          <w:rFonts w:ascii="Times" w:eastAsiaTheme="minorHAnsi" w:hAnsi="Times" w:cs="Times"/>
          <w:sz w:val="20"/>
          <w:szCs w:val="20"/>
          <w:vertAlign w:val="subscript"/>
        </w:rPr>
        <w:t>n</w:t>
      </w:r>
      <w:proofErr w:type="spellEnd"/>
      <w:r w:rsidR="00480279" w:rsidRPr="00F46B40">
        <w:rPr>
          <w:rFonts w:ascii="Times" w:eastAsiaTheme="minorHAnsi" w:hAnsi="Times" w:cs="Times"/>
          <w:sz w:val="20"/>
          <w:szCs w:val="20"/>
        </w:rPr>
        <w:t xml:space="preserve"> </w:t>
      </w:r>
      <w:r w:rsidR="00145E2B" w:rsidRPr="00F46B40">
        <w:rPr>
          <w:rFonts w:ascii="Times" w:eastAsiaTheme="minorHAnsi" w:hAnsi="Times" w:cs="Times"/>
          <w:sz w:val="20"/>
          <w:szCs w:val="20"/>
        </w:rPr>
        <w:t xml:space="preserve">e </w:t>
      </w:r>
      <w:proofErr w:type="spellStart"/>
      <w:r w:rsidR="00145E2B" w:rsidRPr="00F46B40">
        <w:rPr>
          <w:rFonts w:ascii="Times" w:eastAsiaTheme="minorHAnsi" w:hAnsi="Times" w:cs="Times"/>
          <w:sz w:val="20"/>
          <w:szCs w:val="20"/>
        </w:rPr>
        <w:t>Y</w:t>
      </w:r>
      <w:r w:rsidR="00145E2B" w:rsidRPr="00F46B40">
        <w:rPr>
          <w:rFonts w:ascii="Times" w:eastAsiaTheme="minorHAnsi" w:hAnsi="Times" w:cs="Times"/>
          <w:sz w:val="20"/>
          <w:szCs w:val="20"/>
          <w:vertAlign w:val="subscript"/>
        </w:rPr>
        <w:t>n</w:t>
      </w:r>
      <w:proofErr w:type="spellEnd"/>
      <w:r w:rsidR="00145E2B" w:rsidRPr="00F46B40">
        <w:rPr>
          <w:rFonts w:ascii="Times" w:eastAsiaTheme="minorHAnsi" w:hAnsi="Times" w:cs="Times"/>
          <w:sz w:val="20"/>
          <w:szCs w:val="20"/>
        </w:rPr>
        <w:t xml:space="preserve"> representam, respectivamente conversão e rendimento</w:t>
      </w:r>
      <w:r w:rsidR="00480279" w:rsidRPr="00F46B40">
        <w:rPr>
          <w:rFonts w:ascii="Times" w:eastAsiaTheme="minorHAnsi" w:hAnsi="Times" w:cs="Times"/>
          <w:sz w:val="20"/>
          <w:szCs w:val="20"/>
        </w:rPr>
        <w:t xml:space="preserve"> para a espécie n.</w:t>
      </w:r>
    </w:p>
    <w:p w14:paraId="5FE01A34" w14:textId="77777777" w:rsidR="003E5C03" w:rsidRDefault="003E5C03" w:rsidP="003E5C03">
      <w:pPr>
        <w:autoSpaceDE w:val="0"/>
        <w:autoSpaceDN w:val="0"/>
        <w:adjustRightInd w:val="0"/>
        <w:spacing w:after="0" w:line="240" w:lineRule="auto"/>
        <w:ind w:firstLine="284"/>
        <w:jc w:val="both"/>
        <w:rPr>
          <w:rFonts w:ascii="Times" w:eastAsiaTheme="minorHAnsi" w:hAnsi="Times" w:cs="Times"/>
          <w:sz w:val="20"/>
          <w:szCs w:val="20"/>
        </w:rPr>
      </w:pPr>
    </w:p>
    <w:p w14:paraId="51F6973F" w14:textId="3508C61F" w:rsidR="003E5C03" w:rsidRDefault="00BC05E4" w:rsidP="003E5C03">
      <w:pPr>
        <w:autoSpaceDE w:val="0"/>
        <w:autoSpaceDN w:val="0"/>
        <w:adjustRightInd w:val="0"/>
        <w:spacing w:after="0" w:line="240" w:lineRule="auto"/>
        <w:jc w:val="both"/>
        <w:rPr>
          <w:rFonts w:ascii="Cambria Math" w:eastAsia="Times New Roman" w:hAnsi="Cambria Math" w:cs="Times"/>
          <w:sz w:val="20"/>
          <w:szCs w:val="28"/>
          <w:lang w:val="en-US" w:eastAsia="pt-BR"/>
        </w:rPr>
      </w:pPr>
      <m:oMath>
        <m:sSub>
          <m:sSubPr>
            <m:ctrlPr>
              <w:rPr>
                <w:rFonts w:ascii="Cambria Math" w:eastAsia="Times New Roman" w:hAnsi="Cambria Math" w:cs="Times New Roman"/>
                <w:sz w:val="20"/>
                <w:szCs w:val="28"/>
                <w:lang w:val="en-US" w:eastAsia="pt-BR"/>
              </w:rPr>
            </m:ctrlPr>
          </m:sSubPr>
          <m:e>
            <m:r>
              <w:rPr>
                <w:rFonts w:ascii="Cambria Math" w:eastAsia="Times New Roman" w:hAnsi="Cambria Math" w:cs="Times New Roman"/>
                <w:sz w:val="20"/>
                <w:szCs w:val="28"/>
                <w:lang w:val="en-US" w:eastAsia="pt-BR"/>
              </w:rPr>
              <m:t>X</m:t>
            </m:r>
          </m:e>
          <m:sub>
            <m:r>
              <w:rPr>
                <w:rFonts w:ascii="Cambria Math" w:eastAsia="Times New Roman" w:hAnsi="Cambria Math" w:cs="Times New Roman"/>
                <w:sz w:val="20"/>
                <w:szCs w:val="28"/>
                <w:lang w:val="en-US" w:eastAsia="pt-BR"/>
              </w:rPr>
              <m:t>n</m:t>
            </m:r>
          </m:sub>
        </m:sSub>
        <m:d>
          <m:dPr>
            <m:ctrlPr>
              <w:rPr>
                <w:rFonts w:ascii="Cambria Math" w:eastAsia="+mn-ea" w:hAnsi="Cambria Math" w:cs="+mn-cs"/>
                <w:i/>
                <w:iCs/>
                <w:color w:val="000000"/>
                <w:sz w:val="20"/>
                <w:szCs w:val="20"/>
              </w:rPr>
            </m:ctrlPr>
          </m:dPr>
          <m:e>
            <m:r>
              <w:rPr>
                <w:rFonts w:ascii="Cambria Math" w:eastAsia="+mn-ea" w:hAnsi="Cambria Math" w:cs="+mn-cs"/>
                <w:color w:val="000000"/>
                <w:sz w:val="20"/>
                <w:szCs w:val="20"/>
                <w:lang w:val="en-US"/>
              </w:rPr>
              <m:t>%</m:t>
            </m:r>
          </m:e>
        </m:d>
        <m:r>
          <m:rPr>
            <m:sty m:val="p"/>
          </m:rPr>
          <w:rPr>
            <w:rFonts w:ascii="Cambria Math" w:eastAsia="Times New Roman" w:hAnsi="Cambria Math" w:cs="Times New Roman"/>
            <w:sz w:val="20"/>
            <w:szCs w:val="28"/>
            <w:lang w:val="en-US" w:eastAsia="pt-BR"/>
          </w:rPr>
          <m:t xml:space="preserve">= </m:t>
        </m:r>
        <m:f>
          <m:fPr>
            <m:ctrlPr>
              <w:rPr>
                <w:rFonts w:ascii="Cambria Math" w:eastAsia="Times New Roman" w:hAnsi="Cambria Math" w:cs="Times New Roman"/>
                <w:i/>
                <w:sz w:val="20"/>
                <w:szCs w:val="28"/>
                <w:lang w:val="en-US" w:eastAsia="pt-BR"/>
              </w:rPr>
            </m:ctrlPr>
          </m:fPr>
          <m:num>
            <m:r>
              <m:rPr>
                <m:nor/>
              </m:rPr>
              <w:rPr>
                <w:rFonts w:ascii="Cambria Math" w:eastAsia="Times New Roman" w:hAnsi="Cambria Math" w:cs="Times New Roman"/>
                <w:sz w:val="20"/>
                <w:szCs w:val="28"/>
                <w:lang w:val="en-US" w:eastAsia="pt-BR"/>
              </w:rPr>
              <m:t xml:space="preserve"> f(n, in) – f (</m:t>
            </m:r>
            <m:r>
              <m:rPr>
                <m:nor/>
              </m:rPr>
              <w:rPr>
                <w:rFonts w:ascii="Cambria Math" w:eastAsia="Times New Roman" w:hAnsi="Cambria Math" w:cs="Times New Roman"/>
                <w:sz w:val="20"/>
                <w:szCs w:val="28"/>
                <w:vertAlign w:val="subscript"/>
                <w:lang w:val="en-US" w:eastAsia="pt-BR"/>
              </w:rPr>
              <m:t>n</m:t>
            </m:r>
            <m:r>
              <m:rPr>
                <m:nor/>
              </m:rPr>
              <w:rPr>
                <w:rFonts w:ascii="Cambria Math" w:eastAsia="Times New Roman" w:hAnsi="Cambria Math" w:cs="Times New Roman"/>
                <w:sz w:val="20"/>
                <w:szCs w:val="28"/>
                <w:lang w:val="en-US" w:eastAsia="pt-BR"/>
              </w:rPr>
              <m:t>, out)</m:t>
            </m:r>
          </m:num>
          <m:den>
            <m:r>
              <m:rPr>
                <m:nor/>
              </m:rPr>
              <w:rPr>
                <w:rFonts w:ascii="Cambria Math" w:eastAsia="Times New Roman" w:hAnsi="Cambria Math" w:cs="Times New Roman"/>
                <w:sz w:val="20"/>
                <w:szCs w:val="28"/>
                <w:lang w:val="en-US" w:eastAsia="pt-BR"/>
              </w:rPr>
              <m:t xml:space="preserve"> f(n, in)</m:t>
            </m:r>
          </m:den>
        </m:f>
        <m:r>
          <w:rPr>
            <w:rFonts w:ascii="Cambria Math" w:eastAsia="Times New Roman" w:hAnsi="Cambria Math" w:cs="Times New Roman"/>
            <w:sz w:val="20"/>
            <w:szCs w:val="28"/>
            <w:lang w:val="en-US" w:eastAsia="pt-BR"/>
          </w:rPr>
          <m:t xml:space="preserve"> </m:t>
        </m:r>
        <m:r>
          <w:rPr>
            <w:rFonts w:ascii="Cambria Math" w:eastAsia="Times New Roman" w:hAnsi="Cambria Math" w:cs="Times New Roman"/>
            <w:sz w:val="20"/>
            <w:szCs w:val="28"/>
            <w:lang w:val="en-US" w:eastAsia="pt-BR"/>
          </w:rPr>
          <m:t>x</m:t>
        </m:r>
        <m:r>
          <w:rPr>
            <w:rFonts w:ascii="Cambria Math" w:eastAsia="Times New Roman" w:hAnsi="Cambria Math" w:cs="Times New Roman"/>
            <w:sz w:val="20"/>
            <w:szCs w:val="28"/>
            <w:lang w:val="en-US" w:eastAsia="pt-BR"/>
          </w:rPr>
          <m:t xml:space="preserve"> 100%    </m:t>
        </m:r>
      </m:oMath>
      <w:r w:rsidR="009A6334" w:rsidRPr="003E5C03">
        <w:rPr>
          <w:rFonts w:ascii="Cambria Math" w:eastAsia="Times New Roman" w:hAnsi="Cambria Math" w:cs="Times"/>
          <w:sz w:val="20"/>
          <w:szCs w:val="28"/>
          <w:lang w:val="en-US" w:eastAsia="pt-BR"/>
        </w:rPr>
        <w:t xml:space="preserve">          </w:t>
      </w:r>
      <w:r w:rsidR="003E5C03">
        <w:rPr>
          <w:rFonts w:ascii="Cambria Math" w:eastAsia="Times New Roman" w:hAnsi="Cambria Math" w:cs="Times"/>
          <w:sz w:val="20"/>
          <w:szCs w:val="28"/>
          <w:lang w:val="en-US" w:eastAsia="pt-BR"/>
        </w:rPr>
        <w:t xml:space="preserve">  </w:t>
      </w:r>
      <w:r w:rsidR="009A6334" w:rsidRPr="003E5C03">
        <w:rPr>
          <w:rFonts w:ascii="Cambria Math" w:eastAsia="Times New Roman" w:hAnsi="Cambria Math" w:cs="Times"/>
          <w:sz w:val="20"/>
          <w:szCs w:val="28"/>
          <w:lang w:val="en-US" w:eastAsia="pt-BR"/>
        </w:rPr>
        <w:t xml:space="preserve">     </w:t>
      </w:r>
      <w:r w:rsidR="00C155E2" w:rsidRPr="003E5C03">
        <w:rPr>
          <w:rFonts w:ascii="Cambria Math" w:eastAsia="Times New Roman" w:hAnsi="Cambria Math" w:cs="Times"/>
          <w:sz w:val="20"/>
          <w:szCs w:val="28"/>
          <w:lang w:val="en-US" w:eastAsia="pt-BR"/>
        </w:rPr>
        <w:t xml:space="preserve">  </w:t>
      </w:r>
      <w:r w:rsidR="009A6334" w:rsidRPr="003E5C03">
        <w:rPr>
          <w:rFonts w:ascii="Cambria Math" w:eastAsia="Times New Roman" w:hAnsi="Cambria Math" w:cs="Times"/>
          <w:sz w:val="20"/>
          <w:szCs w:val="28"/>
          <w:lang w:val="en-US" w:eastAsia="pt-BR"/>
        </w:rPr>
        <w:t xml:space="preserve">   </w:t>
      </w:r>
      <w:r w:rsidR="008B35C9">
        <w:rPr>
          <w:rFonts w:ascii="Cambria Math" w:eastAsia="Times New Roman" w:hAnsi="Cambria Math" w:cs="Times"/>
          <w:sz w:val="20"/>
          <w:szCs w:val="28"/>
          <w:lang w:val="en-US" w:eastAsia="pt-BR"/>
        </w:rPr>
        <w:t xml:space="preserve">           </w:t>
      </w:r>
      <w:r w:rsidR="009A6334" w:rsidRPr="003E5C03">
        <w:rPr>
          <w:rFonts w:ascii="Cambria Math" w:eastAsia="Times New Roman" w:hAnsi="Cambria Math" w:cs="Times"/>
          <w:sz w:val="20"/>
          <w:szCs w:val="28"/>
          <w:lang w:val="en-US" w:eastAsia="pt-BR"/>
        </w:rPr>
        <w:t xml:space="preserve"> (</w:t>
      </w:r>
      <w:r w:rsidR="0064207D">
        <w:rPr>
          <w:rFonts w:ascii="Cambria Math" w:eastAsia="Times New Roman" w:hAnsi="Cambria Math" w:cs="Times"/>
          <w:sz w:val="20"/>
          <w:szCs w:val="28"/>
          <w:lang w:val="en-US" w:eastAsia="pt-BR"/>
        </w:rPr>
        <w:t>I</w:t>
      </w:r>
      <w:r w:rsidR="009A6334" w:rsidRPr="003E5C03">
        <w:rPr>
          <w:rFonts w:ascii="Cambria Math" w:eastAsia="Times New Roman" w:hAnsi="Cambria Math" w:cs="Times"/>
          <w:sz w:val="20"/>
          <w:szCs w:val="28"/>
          <w:lang w:val="en-US" w:eastAsia="pt-BR"/>
        </w:rPr>
        <w:t>)</w:t>
      </w:r>
    </w:p>
    <w:p w14:paraId="0DB3A6CC" w14:textId="77777777" w:rsidR="003E5C03" w:rsidRPr="0064207D" w:rsidRDefault="003E5C03" w:rsidP="003E5C03">
      <w:pPr>
        <w:autoSpaceDE w:val="0"/>
        <w:autoSpaceDN w:val="0"/>
        <w:adjustRightInd w:val="0"/>
        <w:spacing w:after="0" w:line="240" w:lineRule="auto"/>
        <w:jc w:val="both"/>
        <w:rPr>
          <w:rFonts w:ascii="Times" w:eastAsiaTheme="minorHAnsi" w:hAnsi="Times" w:cs="Times"/>
          <w:sz w:val="20"/>
          <w:szCs w:val="20"/>
          <w:lang w:val="en-US"/>
        </w:rPr>
      </w:pPr>
    </w:p>
    <w:p w14:paraId="6C650A33" w14:textId="4E56C5E3" w:rsidR="00101DF7" w:rsidRPr="003E5C03" w:rsidRDefault="00BC05E4" w:rsidP="003E5C03">
      <w:pPr>
        <w:pStyle w:val="TAMainText"/>
        <w:spacing w:line="480" w:lineRule="auto"/>
        <w:ind w:firstLine="0"/>
        <w:rPr>
          <w:sz w:val="18"/>
          <w:szCs w:val="18"/>
        </w:rPr>
      </w:pPr>
      <m:oMath>
        <m:sSub>
          <m:sSubPr>
            <m:ctrlPr>
              <w:rPr>
                <w:rFonts w:ascii="Cambria Math" w:eastAsia="+mn-ea" w:hAnsi="Cambria Math" w:cs="+mn-cs"/>
                <w:i/>
                <w:iCs/>
                <w:color w:val="000000"/>
              </w:rPr>
            </m:ctrlPr>
          </m:sSubPr>
          <m:e>
            <m:r>
              <w:rPr>
                <w:rFonts w:ascii="Cambria Math" w:eastAsia="+mn-ea" w:hAnsi="Cambria Math" w:cs="+mn-cs"/>
                <w:color w:val="000000"/>
              </w:rPr>
              <m:t>Y</m:t>
            </m:r>
          </m:e>
          <m:sub>
            <m:r>
              <w:rPr>
                <w:rFonts w:ascii="Cambria Math" w:eastAsia="+mn-ea" w:hAnsi="Cambria Math" w:cs="+mn-cs"/>
                <w:color w:val="000000"/>
              </w:rPr>
              <m:t>n</m:t>
            </m:r>
          </m:sub>
        </m:sSub>
        <m:d>
          <m:dPr>
            <m:ctrlPr>
              <w:rPr>
                <w:rFonts w:ascii="Cambria Math" w:eastAsia="+mn-ea" w:hAnsi="Cambria Math" w:cs="+mn-cs"/>
                <w:i/>
                <w:iCs/>
                <w:color w:val="000000"/>
              </w:rPr>
            </m:ctrlPr>
          </m:dPr>
          <m:e>
            <m:r>
              <w:rPr>
                <w:rFonts w:ascii="Cambria Math" w:eastAsia="+mn-ea" w:hAnsi="Cambria Math" w:cs="+mn-cs"/>
                <w:color w:val="000000"/>
              </w:rPr>
              <m:t>%</m:t>
            </m:r>
          </m:e>
        </m:d>
        <m:r>
          <w:rPr>
            <w:rFonts w:ascii="Cambria Math" w:eastAsia="+mn-ea" w:hAnsi="Cambria Math" w:cs="+mn-cs"/>
            <w:color w:val="000000"/>
          </w:rPr>
          <m:t>= </m:t>
        </m:r>
        <m:f>
          <m:fPr>
            <m:ctrlPr>
              <w:rPr>
                <w:rFonts w:ascii="Cambria Math" w:eastAsia="+mn-ea" w:hAnsi="Cambria Math" w:cs="+mn-cs"/>
                <w:i/>
                <w:iCs/>
                <w:color w:val="000000"/>
              </w:rPr>
            </m:ctrlPr>
          </m:fPr>
          <m:num>
            <m:r>
              <w:rPr>
                <w:rFonts w:ascii="Cambria Math" w:eastAsia="+mn-ea" w:hAnsi="Cambria Math" w:cs="+mn-cs"/>
                <w:color w:val="000000"/>
              </w:rPr>
              <m:t>f</m:t>
            </m:r>
            <m:r>
              <w:rPr>
                <w:rFonts w:ascii="Cambria Math" w:eastAsia="+mn-ea" w:hAnsi="Cambria Math" w:cs="+mn-cs"/>
                <w:color w:val="000000"/>
              </w:rPr>
              <m:t xml:space="preserve"> (</m:t>
            </m:r>
            <m:sSub>
              <m:sSubPr>
                <m:ctrlPr>
                  <w:rPr>
                    <w:rFonts w:ascii="Cambria Math" w:eastAsia="+mn-ea" w:hAnsi="Cambria Math" w:cs="+mn-cs"/>
                    <w:i/>
                    <w:iCs/>
                    <w:color w:val="000000"/>
                  </w:rPr>
                </m:ctrlPr>
              </m:sSubPr>
              <m:e>
                <m:r>
                  <w:rPr>
                    <w:rFonts w:ascii="Cambria Math" w:eastAsia="+mn-ea" w:hAnsi="Cambria Math" w:cs="+mn-cs"/>
                    <w:color w:val="000000"/>
                  </w:rPr>
                  <m:t>n</m:t>
                </m:r>
                <m:r>
                  <w:rPr>
                    <w:rFonts w:ascii="Cambria Math" w:eastAsia="+mn-ea" w:hAnsi="Cambria Math" w:cs="+mn-cs"/>
                    <w:color w:val="000000"/>
                  </w:rPr>
                  <m:t>,</m:t>
                </m:r>
              </m:e>
              <m:sub>
                <m:r>
                  <w:rPr>
                    <w:rFonts w:ascii="Cambria Math" w:eastAsia="+mn-ea" w:hAnsi="Cambria Math" w:cs="+mn-cs"/>
                    <w:color w:val="000000"/>
                  </w:rPr>
                  <m:t>out</m:t>
                </m:r>
                <m:r>
                  <w:rPr>
                    <w:rFonts w:ascii="Cambria Math" w:eastAsia="+mn-ea" w:hAnsi="Cambria Math" w:cs="+mn-cs"/>
                    <w:color w:val="000000"/>
                  </w:rPr>
                  <m:t> </m:t>
                </m:r>
              </m:sub>
            </m:sSub>
            <m:r>
              <w:rPr>
                <w:rFonts w:ascii="Cambria Math" w:eastAsia="+mn-ea" w:hAnsi="Cambria Math" w:cs="+mn-cs"/>
                <w:color w:val="000000"/>
              </w:rPr>
              <m:t>)</m:t>
            </m:r>
          </m:num>
          <m:den>
            <m:r>
              <w:rPr>
                <w:rFonts w:ascii="Cambria Math" w:eastAsia="+mn-ea" w:hAnsi="Cambria Math" w:cs="+mn-cs"/>
                <w:color w:val="000000"/>
              </w:rPr>
              <m:t>Rendimento</m:t>
            </m:r>
            <m:r>
              <w:rPr>
                <w:rFonts w:ascii="Cambria Math" w:eastAsia="+mn-ea" w:hAnsi="Cambria Math" w:cs="+mn-cs"/>
                <w:color w:val="000000"/>
              </w:rPr>
              <m:t xml:space="preserve"> </m:t>
            </m:r>
            <m:r>
              <w:rPr>
                <w:rFonts w:ascii="Cambria Math" w:eastAsia="+mn-ea" w:hAnsi="Cambria Math" w:cs="+mn-cs"/>
                <w:color w:val="000000"/>
              </w:rPr>
              <m:t>te</m:t>
            </m:r>
            <m:r>
              <w:rPr>
                <w:rFonts w:ascii="Cambria Math" w:eastAsia="+mn-ea" w:hAnsi="Cambria Math" w:cs="+mn-cs"/>
                <w:color w:val="000000"/>
              </w:rPr>
              <m:t>ó</m:t>
            </m:r>
            <m:r>
              <w:rPr>
                <w:rFonts w:ascii="Cambria Math" w:eastAsia="+mn-ea" w:hAnsi="Cambria Math" w:cs="+mn-cs"/>
                <w:color w:val="000000"/>
              </w:rPr>
              <m:t>rico</m:t>
            </m:r>
            <m:r>
              <w:rPr>
                <w:rFonts w:ascii="Cambria Math" w:eastAsia="+mn-ea" w:hAnsi="Cambria Math" w:cs="+mn-cs"/>
                <w:color w:val="000000"/>
              </w:rPr>
              <m:t xml:space="preserve"> </m:t>
            </m:r>
            <m:r>
              <w:rPr>
                <w:rFonts w:ascii="Cambria Math" w:eastAsia="+mn-ea" w:hAnsi="Cambria Math" w:cs="+mn-cs"/>
                <w:color w:val="000000"/>
              </w:rPr>
              <m:t>n</m:t>
            </m:r>
          </m:den>
        </m:f>
        <m:r>
          <w:rPr>
            <w:rFonts w:ascii="Cambria Math" w:eastAsia="+mn-ea" w:hAnsi="Cambria Math" w:cs="+mn-cs"/>
            <w:color w:val="000000"/>
          </w:rPr>
          <m:t> </m:t>
        </m:r>
        <m:r>
          <w:rPr>
            <w:rFonts w:ascii="Cambria Math" w:eastAsia="+mn-ea" w:hAnsi="Cambria Math" w:cs="+mn-cs"/>
            <w:color w:val="000000"/>
          </w:rPr>
          <m:t>x</m:t>
        </m:r>
        <m:r>
          <w:rPr>
            <w:rFonts w:ascii="Cambria Math" w:eastAsia="+mn-ea" w:hAnsi="Cambria Math" w:cs="+mn-cs"/>
            <w:color w:val="000000"/>
          </w:rPr>
          <m:t> 100</m:t>
        </m:r>
      </m:oMath>
      <w:r w:rsidR="009A6334" w:rsidRPr="003E5C03">
        <w:rPr>
          <w:iCs/>
          <w:color w:val="000000"/>
        </w:rPr>
        <w:t xml:space="preserve">        </w:t>
      </w:r>
      <w:r w:rsidR="003E5C03">
        <w:rPr>
          <w:iCs/>
          <w:color w:val="000000"/>
        </w:rPr>
        <w:t xml:space="preserve">        </w:t>
      </w:r>
      <w:r w:rsidR="009A6334" w:rsidRPr="003E5C03">
        <w:rPr>
          <w:iCs/>
          <w:color w:val="000000"/>
        </w:rPr>
        <w:t xml:space="preserve">  </w:t>
      </w:r>
      <w:r w:rsidR="008B35C9">
        <w:rPr>
          <w:iCs/>
          <w:color w:val="000000"/>
        </w:rPr>
        <w:t xml:space="preserve">          </w:t>
      </w:r>
      <w:r w:rsidR="009A6334" w:rsidRPr="003E5C03">
        <w:rPr>
          <w:iCs/>
          <w:color w:val="000000"/>
        </w:rPr>
        <w:t xml:space="preserve"> (</w:t>
      </w:r>
      <w:r w:rsidR="0064207D">
        <w:rPr>
          <w:iCs/>
          <w:color w:val="000000"/>
        </w:rPr>
        <w:t>II</w:t>
      </w:r>
      <w:r w:rsidR="009A6334" w:rsidRPr="003E5C03">
        <w:rPr>
          <w:iCs/>
          <w:color w:val="000000"/>
        </w:rPr>
        <w:t>)</w:t>
      </w:r>
    </w:p>
    <w:p w14:paraId="307595D3" w14:textId="6D063605" w:rsidR="00E038AF" w:rsidRPr="005C1D47" w:rsidRDefault="00EA4E1B" w:rsidP="005C1D47">
      <w:pPr>
        <w:pStyle w:val="Ttulo2"/>
        <w:rPr>
          <w:rFonts w:ascii="Helvetica" w:hAnsi="Helvetica" w:cs="Helvetica"/>
          <w:sz w:val="24"/>
          <w:szCs w:val="24"/>
        </w:rPr>
      </w:pPr>
      <w:r w:rsidRPr="001F25B2">
        <w:rPr>
          <w:rFonts w:ascii="Helvetica" w:hAnsi="Helvetica" w:cs="Helvetica"/>
          <w:sz w:val="24"/>
          <w:szCs w:val="24"/>
        </w:rPr>
        <w:t>Resultados e Discussão</w:t>
      </w:r>
    </w:p>
    <w:p w14:paraId="03288979" w14:textId="1D62F7A0" w:rsidR="00DD3606" w:rsidRPr="00E25DDC" w:rsidRDefault="00DD3606" w:rsidP="00CE3CC8">
      <w:pPr>
        <w:pStyle w:val="TAMainText"/>
        <w:spacing w:line="240" w:lineRule="auto"/>
        <w:ind w:firstLine="0"/>
        <w:rPr>
          <w:rFonts w:ascii="Times New Roman" w:hAnsi="Times New Roman"/>
          <w:b/>
          <w:i/>
          <w:lang w:val="pt-BR"/>
        </w:rPr>
      </w:pPr>
      <w:r w:rsidRPr="00E25DDC">
        <w:rPr>
          <w:rFonts w:ascii="Times New Roman" w:hAnsi="Times New Roman"/>
          <w:b/>
          <w:i/>
          <w:lang w:val="pt-BR"/>
        </w:rPr>
        <w:t>Difração de raios X</w:t>
      </w:r>
    </w:p>
    <w:p w14:paraId="62E889E4" w14:textId="77777777" w:rsidR="00265AB5" w:rsidRDefault="00265AB5" w:rsidP="00CE3CC8">
      <w:pPr>
        <w:pStyle w:val="TAMainText"/>
        <w:spacing w:line="240" w:lineRule="auto"/>
        <w:ind w:firstLine="0"/>
        <w:rPr>
          <w:rFonts w:ascii="Times New Roman" w:hAnsi="Times New Roman"/>
          <w:i/>
          <w:lang w:val="pt-BR"/>
        </w:rPr>
      </w:pPr>
    </w:p>
    <w:p w14:paraId="58E97208" w14:textId="1EF7C4E8" w:rsidR="003E5C03" w:rsidRPr="003E5C03" w:rsidRDefault="51225D74" w:rsidP="00CE3CC8">
      <w:pPr>
        <w:pStyle w:val="TAMainText"/>
        <w:spacing w:line="240" w:lineRule="auto"/>
        <w:ind w:firstLine="0"/>
        <w:rPr>
          <w:lang w:val="pt-BR"/>
        </w:rPr>
      </w:pPr>
      <w:r w:rsidRPr="51225D74">
        <w:rPr>
          <w:lang w:val="pt-BR"/>
        </w:rPr>
        <w:t xml:space="preserve">     Os padrões de difração para as amostras sintetizadas, estão dispostos na Figura 2.</w:t>
      </w:r>
    </w:p>
    <w:p w14:paraId="2B7B1062" w14:textId="6E76D052" w:rsidR="008E5104" w:rsidRDefault="00987BC8" w:rsidP="00CE3CC8">
      <w:pPr>
        <w:spacing w:line="240" w:lineRule="auto"/>
        <w:jc w:val="center"/>
        <w:rPr>
          <w:rFonts w:ascii="Times New Roman" w:hAnsi="Times New Roman" w:cs="Times New Roman"/>
          <w:b/>
          <w:bCs/>
          <w:sz w:val="18"/>
          <w:szCs w:val="18"/>
        </w:rPr>
      </w:pPr>
      <w:r w:rsidRPr="00987BC8">
        <w:rPr>
          <w:rFonts w:ascii="Times New Roman" w:hAnsi="Times New Roman" w:cs="Times New Roman"/>
          <w:b/>
          <w:bCs/>
          <w:noProof/>
          <w:sz w:val="18"/>
          <w:szCs w:val="18"/>
        </w:rPr>
        <w:drawing>
          <wp:inline distT="0" distB="0" distL="0" distR="0" wp14:anchorId="439A0C63" wp14:editId="0FAB9AD8">
            <wp:extent cx="2605533" cy="183611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4234" cy="1863388"/>
                    </a:xfrm>
                    <a:prstGeom prst="rect">
                      <a:avLst/>
                    </a:prstGeom>
                    <a:noFill/>
                    <a:ln>
                      <a:noFill/>
                    </a:ln>
                  </pic:spPr>
                </pic:pic>
              </a:graphicData>
            </a:graphic>
          </wp:inline>
        </w:drawing>
      </w:r>
    </w:p>
    <w:p w14:paraId="0229224E" w14:textId="1F1D0772" w:rsidR="009E3682" w:rsidRPr="009E3682" w:rsidRDefault="51225D74" w:rsidP="009E3682">
      <w:pPr>
        <w:pStyle w:val="VAFigureCaption"/>
        <w:spacing w:before="0" w:after="240" w:line="240" w:lineRule="auto"/>
        <w:rPr>
          <w:rFonts w:ascii="Times New Roman" w:hAnsi="Times New Roman"/>
          <w:lang w:val="pt-BR"/>
        </w:rPr>
      </w:pPr>
      <w:r w:rsidRPr="51225D74">
        <w:rPr>
          <w:rFonts w:ascii="Times New Roman" w:hAnsi="Times New Roman"/>
          <w:b/>
          <w:bCs/>
          <w:lang w:val="pt-BR"/>
        </w:rPr>
        <w:t>Figura 2.</w:t>
      </w:r>
      <w:r w:rsidRPr="51225D74">
        <w:rPr>
          <w:rFonts w:ascii="Times New Roman" w:hAnsi="Times New Roman"/>
          <w:lang w:val="pt-BR"/>
        </w:rPr>
        <w:t xml:space="preserve"> Perfis de difração das amostras calcinadas. ●SiO</w:t>
      </w:r>
      <w:r w:rsidRPr="51225D74">
        <w:rPr>
          <w:rFonts w:ascii="Times New Roman" w:hAnsi="Times New Roman"/>
          <w:vertAlign w:val="subscript"/>
          <w:lang w:val="pt-BR"/>
        </w:rPr>
        <w:t>2</w:t>
      </w:r>
      <w:r w:rsidRPr="51225D74">
        <w:rPr>
          <w:rFonts w:ascii="Times New Roman" w:hAnsi="Times New Roman"/>
          <w:lang w:val="pt-BR"/>
        </w:rPr>
        <w:t>,</w:t>
      </w:r>
      <w:r w:rsidRPr="51225D74">
        <w:rPr>
          <w:rFonts w:ascii="Times New Roman" w:hAnsi="Times New Roman"/>
          <w:vertAlign w:val="subscript"/>
          <w:lang w:val="pt-BR"/>
        </w:rPr>
        <w:t xml:space="preserve"> </w:t>
      </w:r>
      <w:r w:rsidRPr="51225D74">
        <w:rPr>
          <w:rFonts w:ascii="Times New Roman" w:hAnsi="Times New Roman"/>
          <w:lang w:val="pt-BR"/>
        </w:rPr>
        <w:t>◊Filossilicatos de níquel, ♦</w:t>
      </w:r>
      <w:proofErr w:type="spellStart"/>
      <w:r w:rsidRPr="51225D74">
        <w:rPr>
          <w:rFonts w:ascii="Times New Roman" w:hAnsi="Times New Roman"/>
          <w:lang w:val="pt-BR"/>
        </w:rPr>
        <w:t>NiO</w:t>
      </w:r>
      <w:proofErr w:type="spellEnd"/>
      <w:r w:rsidRPr="51225D74">
        <w:rPr>
          <w:rFonts w:ascii="Times New Roman" w:hAnsi="Times New Roman"/>
          <w:lang w:val="pt-BR"/>
        </w:rPr>
        <w:t xml:space="preserve">. </w:t>
      </w:r>
    </w:p>
    <w:p w14:paraId="7E6AB9E4" w14:textId="7382E242" w:rsidR="009E3682" w:rsidRPr="009E3682" w:rsidRDefault="009E3682" w:rsidP="009E3682">
      <w:pPr>
        <w:spacing w:line="240" w:lineRule="auto"/>
        <w:jc w:val="both"/>
        <w:rPr>
          <w:rFonts w:ascii="Times" w:hAnsi="Times" w:cs="Times"/>
          <w:sz w:val="20"/>
          <w:szCs w:val="20"/>
          <w:lang w:eastAsia="pt-BR"/>
        </w:rPr>
      </w:pPr>
      <w:r>
        <w:rPr>
          <w:rFonts w:ascii="Times" w:hAnsi="Times" w:cs="Times"/>
          <w:sz w:val="20"/>
          <w:szCs w:val="20"/>
          <w:lang w:eastAsia="pt-BR"/>
        </w:rPr>
        <w:t xml:space="preserve">     </w:t>
      </w:r>
      <w:r w:rsidRPr="009E3682">
        <w:rPr>
          <w:rFonts w:ascii="Times" w:hAnsi="Times" w:cs="Times"/>
          <w:sz w:val="20"/>
          <w:szCs w:val="20"/>
          <w:lang w:eastAsia="pt-BR"/>
        </w:rPr>
        <w:t xml:space="preserve">A priori, analisando os difratogramas da Figura 2, constata-se que houve formação dos filossilicatos de níquel, como inicialmente proposto. Ademais, é importante ressaltar que para a amostra 0-Si, houve o surgimento de picos de Bragg relativos à fase </w:t>
      </w:r>
      <w:proofErr w:type="spellStart"/>
      <w:r w:rsidRPr="009E3682">
        <w:rPr>
          <w:rFonts w:ascii="Times" w:hAnsi="Times" w:cs="Times"/>
          <w:sz w:val="20"/>
          <w:szCs w:val="20"/>
          <w:lang w:eastAsia="pt-BR"/>
        </w:rPr>
        <w:t>NiO</w:t>
      </w:r>
      <w:proofErr w:type="spellEnd"/>
      <w:r w:rsidRPr="009E3682">
        <w:rPr>
          <w:rFonts w:ascii="Times" w:hAnsi="Times" w:cs="Times"/>
          <w:sz w:val="20"/>
          <w:szCs w:val="20"/>
          <w:lang w:eastAsia="pt-BR"/>
        </w:rPr>
        <w:t xml:space="preserve">. Esse níquel segregado, ao apresentar fraca interação </w:t>
      </w:r>
      <w:proofErr w:type="spellStart"/>
      <w:r w:rsidRPr="009E3682">
        <w:rPr>
          <w:rFonts w:ascii="Times" w:hAnsi="Times" w:cs="Times"/>
          <w:sz w:val="20"/>
          <w:szCs w:val="20"/>
          <w:lang w:eastAsia="pt-BR"/>
        </w:rPr>
        <w:t>Ni-Si</w:t>
      </w:r>
      <w:proofErr w:type="spellEnd"/>
      <w:r w:rsidRPr="009E3682">
        <w:rPr>
          <w:rFonts w:ascii="Times" w:hAnsi="Times" w:cs="Times"/>
          <w:sz w:val="20"/>
          <w:szCs w:val="20"/>
          <w:lang w:eastAsia="pt-BR"/>
        </w:rPr>
        <w:t xml:space="preserve">, pode contribuir para processos de sinterização, favorecendo a desativação do material, bem como gera partículas menos dispersas após o processo de redução (se comparadas as geradas via decomposição dos filossilicatos). A ausência do </w:t>
      </w:r>
      <w:proofErr w:type="spellStart"/>
      <w:r w:rsidRPr="009E3682">
        <w:rPr>
          <w:rFonts w:ascii="Times" w:hAnsi="Times" w:cs="Times"/>
          <w:sz w:val="20"/>
          <w:szCs w:val="20"/>
          <w:lang w:eastAsia="pt-BR"/>
        </w:rPr>
        <w:t>NiO</w:t>
      </w:r>
      <w:proofErr w:type="spellEnd"/>
      <w:r w:rsidRPr="009E3682">
        <w:rPr>
          <w:rFonts w:ascii="Times" w:hAnsi="Times" w:cs="Times"/>
          <w:sz w:val="20"/>
          <w:szCs w:val="20"/>
          <w:lang w:eastAsia="pt-BR"/>
        </w:rPr>
        <w:t xml:space="preserve"> para as amostras 24-Si e 48 Si sugerem que o tempo de tratamento afeta não só a constituição da sílica externa, mas também interfere na própria estrutura dos filossilicatos. Esse fato está em consonância com nossos experimentos de espectroscopia no ultravioleta por refletância difusa (não apresentados), em que os espectros UV para a NiPS e 0-Si apresentaram-se semelhantes, enquanto a 24-Si e a 48-Si correlacionaram-se.</w:t>
      </w:r>
    </w:p>
    <w:p w14:paraId="3BC90114" w14:textId="51BB892E" w:rsidR="00DD3606" w:rsidRPr="00E25DDC" w:rsidRDefault="00DD3606" w:rsidP="00CE3CC8">
      <w:pPr>
        <w:pStyle w:val="TAMainText"/>
        <w:spacing w:line="240" w:lineRule="auto"/>
        <w:ind w:firstLine="0"/>
        <w:rPr>
          <w:rFonts w:ascii="Times New Roman" w:hAnsi="Times New Roman"/>
          <w:b/>
          <w:i/>
          <w:vertAlign w:val="subscript"/>
          <w:lang w:val="pt-BR"/>
        </w:rPr>
      </w:pPr>
      <w:bookmarkStart w:id="2" w:name="_Hlk130562933"/>
      <w:r w:rsidRPr="00E25DDC">
        <w:rPr>
          <w:rFonts w:ascii="Times New Roman" w:hAnsi="Times New Roman"/>
          <w:b/>
          <w:i/>
          <w:lang w:val="pt-BR"/>
        </w:rPr>
        <w:t>Redução termoprogramada com H</w:t>
      </w:r>
      <w:r w:rsidRPr="00E25DDC">
        <w:rPr>
          <w:rFonts w:ascii="Times New Roman" w:hAnsi="Times New Roman"/>
          <w:b/>
          <w:i/>
          <w:vertAlign w:val="subscript"/>
          <w:lang w:val="pt-BR"/>
        </w:rPr>
        <w:t>2</w:t>
      </w:r>
      <w:bookmarkEnd w:id="2"/>
    </w:p>
    <w:p w14:paraId="35EA0C1D" w14:textId="77777777" w:rsidR="001A4A98" w:rsidRDefault="001A4A98" w:rsidP="00CE3CC8">
      <w:pPr>
        <w:pStyle w:val="TAMainText"/>
        <w:spacing w:line="240" w:lineRule="auto"/>
        <w:ind w:firstLine="0"/>
        <w:rPr>
          <w:rFonts w:ascii="Times New Roman" w:hAnsi="Times New Roman"/>
          <w:i/>
          <w:vertAlign w:val="subscript"/>
          <w:lang w:val="pt-BR"/>
        </w:rPr>
      </w:pPr>
    </w:p>
    <w:p w14:paraId="600F7B05" w14:textId="30034617" w:rsidR="001A4A98" w:rsidRPr="00C05536" w:rsidRDefault="51225D74" w:rsidP="00CE3CC8">
      <w:pPr>
        <w:pStyle w:val="TAMainText"/>
        <w:spacing w:line="240" w:lineRule="auto"/>
        <w:ind w:firstLine="0"/>
        <w:rPr>
          <w:lang w:val="pt-BR"/>
        </w:rPr>
      </w:pPr>
      <w:r w:rsidRPr="51225D74">
        <w:rPr>
          <w:lang w:val="pt-BR"/>
        </w:rPr>
        <w:t xml:space="preserve">     Os perfis de TPR dos materiais estudados estão apresentados na </w:t>
      </w:r>
      <w:r w:rsidRPr="00C05536">
        <w:rPr>
          <w:lang w:val="pt-BR"/>
        </w:rPr>
        <w:t>Figura 3. Os dados obtidos pós deconvolução dos picos e quantificação via regressão linear estão dispostos na Tabela 1.</w:t>
      </w:r>
    </w:p>
    <w:p w14:paraId="0F7A40AA" w14:textId="559C4815" w:rsidR="001A4A98" w:rsidRPr="006E33D9" w:rsidRDefault="005D67FE" w:rsidP="009E3682">
      <w:pPr>
        <w:pStyle w:val="TAMainText"/>
        <w:spacing w:line="240" w:lineRule="auto"/>
        <w:ind w:firstLine="0"/>
        <w:rPr>
          <w:lang w:val="pt-BR"/>
        </w:rPr>
      </w:pPr>
      <w:r w:rsidRPr="00C05536">
        <w:rPr>
          <w:lang w:val="pt-BR"/>
        </w:rPr>
        <w:t xml:space="preserve">     </w:t>
      </w:r>
      <w:r w:rsidR="00DB2E94" w:rsidRPr="00C05536">
        <w:rPr>
          <w:lang w:val="pt-BR"/>
        </w:rPr>
        <w:t xml:space="preserve">Com base na Figura 3, constata-se que os catalisadores apresentam mais de um tipo de interação </w:t>
      </w:r>
      <w:proofErr w:type="spellStart"/>
      <w:r w:rsidR="00DB2E94" w:rsidRPr="00C05536">
        <w:rPr>
          <w:lang w:val="pt-BR"/>
        </w:rPr>
        <w:t>Ni-Si</w:t>
      </w:r>
      <w:proofErr w:type="spellEnd"/>
      <w:r w:rsidR="00DB2E94" w:rsidRPr="00C05536">
        <w:rPr>
          <w:lang w:val="pt-BR"/>
        </w:rPr>
        <w:t>. Além disso, as temperaturas e o padrão de redução</w:t>
      </w:r>
      <w:r w:rsidR="00DB2E94" w:rsidRPr="51225D74">
        <w:rPr>
          <w:lang w:val="pt-BR"/>
        </w:rPr>
        <w:t xml:space="preserve"> estão coerentes com a formação de estrutura de filossilicatos de níquel, conforme discutido por DRX. A priori, destaca-se um evento de redução centrado em 400-500°C atribuído à decomposição </w:t>
      </w:r>
      <w:r w:rsidR="00DB2E94" w:rsidRPr="00C05536">
        <w:rPr>
          <w:lang w:val="pt-BR"/>
        </w:rPr>
        <w:t>dos filossilicatos de níquel 1:1. A posteriori, um segundo evento é observado com máximo na região entre 600 e 670 °C e foi atribuído à redução dos NiPS com estrutura 2:1 [5,</w:t>
      </w:r>
      <w:r w:rsidR="00E25DDC">
        <w:rPr>
          <w:lang w:val="pt-BR"/>
        </w:rPr>
        <w:t xml:space="preserve"> </w:t>
      </w:r>
      <w:r w:rsidR="00DB2E94" w:rsidRPr="00C05536">
        <w:rPr>
          <w:lang w:val="pt-BR"/>
        </w:rPr>
        <w:t>9]</w:t>
      </w:r>
      <w:r w:rsidRPr="00C05536">
        <w:rPr>
          <w:lang w:val="pt-BR"/>
        </w:rPr>
        <w:t>.</w:t>
      </w:r>
    </w:p>
    <w:p w14:paraId="6531A9BD" w14:textId="43C8EFBD" w:rsidR="00E85F1C" w:rsidRDefault="00E85F1C" w:rsidP="00CE3CC8">
      <w:pPr>
        <w:spacing w:line="240" w:lineRule="auto"/>
        <w:jc w:val="center"/>
        <w:rPr>
          <w:rFonts w:ascii="Times New Roman" w:hAnsi="Times New Roman" w:cs="Times New Roman"/>
          <w:b/>
          <w:bCs/>
          <w:sz w:val="18"/>
          <w:szCs w:val="18"/>
        </w:rPr>
      </w:pPr>
      <w:r>
        <w:rPr>
          <w:rFonts w:ascii="Times New Roman" w:hAnsi="Times New Roman" w:cs="Times New Roman"/>
          <w:b/>
          <w:bCs/>
          <w:noProof/>
          <w:sz w:val="18"/>
          <w:szCs w:val="18"/>
        </w:rPr>
        <w:drawing>
          <wp:inline distT="0" distB="0" distL="0" distR="0" wp14:anchorId="4FCEEE94" wp14:editId="75EBD2D2">
            <wp:extent cx="3034145" cy="2549148"/>
            <wp:effectExtent l="0" t="0" r="0" b="381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6578" cy="2551192"/>
                    </a:xfrm>
                    <a:prstGeom prst="rect">
                      <a:avLst/>
                    </a:prstGeom>
                    <a:noFill/>
                  </pic:spPr>
                </pic:pic>
              </a:graphicData>
            </a:graphic>
          </wp:inline>
        </w:drawing>
      </w:r>
    </w:p>
    <w:p w14:paraId="2DA6163B" w14:textId="227A01A8" w:rsidR="004316EE" w:rsidRPr="008E488C" w:rsidRDefault="51225D74" w:rsidP="008E488C">
      <w:pPr>
        <w:pStyle w:val="VAFigureCaption"/>
        <w:spacing w:before="0" w:after="240" w:line="240" w:lineRule="auto"/>
        <w:rPr>
          <w:rFonts w:ascii="Times New Roman" w:hAnsi="Times New Roman"/>
          <w:lang w:val="pt-BR"/>
        </w:rPr>
      </w:pPr>
      <w:r w:rsidRPr="51225D74">
        <w:rPr>
          <w:rFonts w:ascii="Times New Roman" w:hAnsi="Times New Roman"/>
          <w:b/>
          <w:bCs/>
          <w:lang w:val="pt-BR"/>
        </w:rPr>
        <w:t>Figura 3.</w:t>
      </w:r>
      <w:r w:rsidRPr="51225D74">
        <w:rPr>
          <w:rFonts w:ascii="Times New Roman" w:hAnsi="Times New Roman"/>
          <w:lang w:val="pt-BR"/>
        </w:rPr>
        <w:t xml:space="preserve"> Perfis de TPR das amostras calcinadas. As linhas ciano são obtidas por deconvolução do sinal utilizando expressão gaussiana modificada. A linha vermelha mostra a diferença entre o </w:t>
      </w:r>
      <w:r w:rsidRPr="00C05536">
        <w:rPr>
          <w:rFonts w:ascii="Times New Roman" w:hAnsi="Times New Roman"/>
          <w:lang w:val="pt-BR"/>
        </w:rPr>
        <w:t>valor calculado e o experimental.</w:t>
      </w:r>
    </w:p>
    <w:p w14:paraId="3CBA3F78" w14:textId="7305FC48" w:rsidR="004316EE" w:rsidRPr="00C05536" w:rsidRDefault="51225D74" w:rsidP="00CE3CC8">
      <w:pPr>
        <w:pStyle w:val="VDTableTitle"/>
        <w:spacing w:after="120" w:line="240" w:lineRule="auto"/>
        <w:jc w:val="both"/>
        <w:rPr>
          <w:rFonts w:ascii="Times New Roman" w:hAnsi="Times New Roman"/>
          <w:lang w:val="pt-BR"/>
        </w:rPr>
      </w:pPr>
      <w:r w:rsidRPr="00C05536">
        <w:rPr>
          <w:rFonts w:ascii="Times New Roman" w:hAnsi="Times New Roman"/>
          <w:b/>
          <w:bCs/>
          <w:lang w:val="pt-BR"/>
        </w:rPr>
        <w:t xml:space="preserve">Tabela 1. </w:t>
      </w:r>
      <w:r w:rsidRPr="00C05536">
        <w:rPr>
          <w:rFonts w:ascii="Times New Roman" w:hAnsi="Times New Roman"/>
          <w:lang w:val="pt-BR"/>
        </w:rPr>
        <w:t>Consumo de H</w:t>
      </w:r>
      <w:r w:rsidRPr="00C05536">
        <w:rPr>
          <w:rFonts w:ascii="Times New Roman" w:hAnsi="Times New Roman"/>
          <w:vertAlign w:val="subscript"/>
          <w:lang w:val="pt-BR"/>
        </w:rPr>
        <w:t>2</w:t>
      </w:r>
      <w:r w:rsidRPr="00C05536">
        <w:rPr>
          <w:rFonts w:ascii="Times New Roman" w:hAnsi="Times New Roman"/>
          <w:lang w:val="pt-BR"/>
        </w:rPr>
        <w:t xml:space="preserve"> calculado e razão m/m de níquel redutível por massa de catalisador total. A quantificação foi feita por regressão linear de uma curva de calibração feita com padrão de </w:t>
      </w:r>
      <w:proofErr w:type="spellStart"/>
      <w:r w:rsidRPr="00C05536">
        <w:rPr>
          <w:rFonts w:ascii="Times New Roman" w:hAnsi="Times New Roman"/>
          <w:lang w:val="pt-BR"/>
        </w:rPr>
        <w:t>CuO</w:t>
      </w:r>
      <w:proofErr w:type="spellEnd"/>
      <w:r w:rsidRPr="00C05536">
        <w:rPr>
          <w:rFonts w:ascii="Times New Roman" w:hAnsi="Times New Roman"/>
          <w:lang w:val="pt-BR"/>
        </w:rPr>
        <w:t xml:space="preserve"> em diferentes concentrações.</w:t>
      </w:r>
    </w:p>
    <w:tbl>
      <w:tblPr>
        <w:tblW w:w="41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6"/>
        <w:gridCol w:w="1134"/>
        <w:gridCol w:w="1276"/>
      </w:tblGrid>
      <w:tr w:rsidR="00687814" w:rsidRPr="008B3C26" w14:paraId="1A6B6E27" w14:textId="237515FC" w:rsidTr="00687814">
        <w:trPr>
          <w:trHeight w:val="394"/>
          <w:jc w:val="center"/>
        </w:trPr>
        <w:tc>
          <w:tcPr>
            <w:tcW w:w="1696" w:type="dxa"/>
            <w:vAlign w:val="center"/>
          </w:tcPr>
          <w:p w14:paraId="5021BDAD" w14:textId="62194DF4" w:rsidR="00687814" w:rsidRPr="00C05536" w:rsidRDefault="00687814" w:rsidP="005C1D47">
            <w:pPr>
              <w:pStyle w:val="TCTableBody"/>
              <w:spacing w:after="0" w:line="240" w:lineRule="auto"/>
              <w:jc w:val="center"/>
              <w:rPr>
                <w:b/>
                <w:bCs/>
              </w:rPr>
            </w:pPr>
            <w:proofErr w:type="spellStart"/>
            <w:r w:rsidRPr="00C05536">
              <w:rPr>
                <w:b/>
                <w:bCs/>
              </w:rPr>
              <w:t>Catalisador</w:t>
            </w:r>
            <w:proofErr w:type="spellEnd"/>
          </w:p>
        </w:tc>
        <w:tc>
          <w:tcPr>
            <w:tcW w:w="1134" w:type="dxa"/>
            <w:vAlign w:val="center"/>
          </w:tcPr>
          <w:p w14:paraId="128A4360" w14:textId="032DB6E2" w:rsidR="00687814" w:rsidRPr="00C05536" w:rsidRDefault="00687814" w:rsidP="005C1D47">
            <w:pPr>
              <w:pStyle w:val="TCTableBody"/>
              <w:spacing w:after="0" w:line="240" w:lineRule="auto"/>
              <w:jc w:val="center"/>
              <w:rPr>
                <w:b/>
                <w:bCs/>
              </w:rPr>
            </w:pPr>
            <w:proofErr w:type="spellStart"/>
            <w:r w:rsidRPr="00C05536">
              <w:rPr>
                <w:b/>
                <w:bCs/>
              </w:rPr>
              <w:t>Consumo</w:t>
            </w:r>
            <w:proofErr w:type="spellEnd"/>
            <w:r w:rsidRPr="00C05536">
              <w:rPr>
                <w:b/>
                <w:bCs/>
              </w:rPr>
              <w:t xml:space="preserve"> de H</w:t>
            </w:r>
            <w:r w:rsidRPr="00C05536">
              <w:rPr>
                <w:b/>
                <w:bCs/>
                <w:vertAlign w:val="subscript"/>
              </w:rPr>
              <w:t>2</w:t>
            </w:r>
            <w:r w:rsidRPr="00C05536">
              <w:rPr>
                <w:b/>
                <w:bCs/>
              </w:rPr>
              <w:t xml:space="preserve"> (mmol)</w:t>
            </w:r>
          </w:p>
        </w:tc>
        <w:tc>
          <w:tcPr>
            <w:tcW w:w="1276" w:type="dxa"/>
            <w:vAlign w:val="center"/>
          </w:tcPr>
          <w:p w14:paraId="5D477BF6" w14:textId="55306DEF" w:rsidR="00687814" w:rsidRPr="00C05536" w:rsidRDefault="00687814" w:rsidP="005C1D47">
            <w:pPr>
              <w:pStyle w:val="TCTableBody"/>
              <w:spacing w:after="0" w:line="240" w:lineRule="auto"/>
              <w:jc w:val="center"/>
              <w:rPr>
                <w:b/>
                <w:bCs/>
              </w:rPr>
            </w:pPr>
            <w:proofErr w:type="spellStart"/>
            <w:r w:rsidRPr="00C05536">
              <w:rPr>
                <w:b/>
                <w:bCs/>
              </w:rPr>
              <w:t>mNi</w:t>
            </w:r>
            <w:proofErr w:type="spellEnd"/>
            <w:r w:rsidRPr="00C05536">
              <w:rPr>
                <w:b/>
                <w:bCs/>
              </w:rPr>
              <w:t>/</w:t>
            </w:r>
            <w:proofErr w:type="spellStart"/>
            <w:r w:rsidRPr="00C05536">
              <w:rPr>
                <w:b/>
                <w:bCs/>
              </w:rPr>
              <w:t>mCat</w:t>
            </w:r>
            <w:proofErr w:type="spellEnd"/>
            <w:r w:rsidRPr="00C05536">
              <w:rPr>
                <w:b/>
                <w:bCs/>
              </w:rPr>
              <w:t xml:space="preserve"> (%)</w:t>
            </w:r>
          </w:p>
        </w:tc>
      </w:tr>
      <w:tr w:rsidR="00687814" w:rsidRPr="00C05536" w14:paraId="19363428" w14:textId="56696B09" w:rsidTr="00687814">
        <w:trPr>
          <w:trHeight w:val="454"/>
          <w:jc w:val="center"/>
        </w:trPr>
        <w:tc>
          <w:tcPr>
            <w:tcW w:w="1696" w:type="dxa"/>
            <w:tcBorders>
              <w:bottom w:val="single" w:sz="6" w:space="0" w:color="auto"/>
            </w:tcBorders>
            <w:vAlign w:val="center"/>
          </w:tcPr>
          <w:p w14:paraId="266D8338" w14:textId="3A80CC4C" w:rsidR="00687814" w:rsidRPr="00C05536" w:rsidRDefault="00687814" w:rsidP="005C1D47">
            <w:pPr>
              <w:pStyle w:val="TCTableBody"/>
              <w:spacing w:after="0" w:line="240" w:lineRule="auto"/>
              <w:jc w:val="center"/>
            </w:pPr>
            <w:proofErr w:type="spellStart"/>
            <w:r w:rsidRPr="00C05536">
              <w:t>Si@NiPS</w:t>
            </w:r>
            <w:proofErr w:type="spellEnd"/>
          </w:p>
        </w:tc>
        <w:tc>
          <w:tcPr>
            <w:tcW w:w="1134" w:type="dxa"/>
            <w:tcBorders>
              <w:bottom w:val="single" w:sz="6" w:space="0" w:color="auto"/>
            </w:tcBorders>
            <w:vAlign w:val="center"/>
          </w:tcPr>
          <w:p w14:paraId="5967D821" w14:textId="00857758" w:rsidR="00687814" w:rsidRPr="00C05536" w:rsidRDefault="00687814" w:rsidP="005C1D47">
            <w:pPr>
              <w:pStyle w:val="TCTableBody"/>
              <w:spacing w:after="0" w:line="240" w:lineRule="auto"/>
              <w:jc w:val="center"/>
            </w:pPr>
            <w:r w:rsidRPr="00C05536">
              <w:t>0,157</w:t>
            </w:r>
          </w:p>
        </w:tc>
        <w:tc>
          <w:tcPr>
            <w:tcW w:w="1276" w:type="dxa"/>
            <w:tcBorders>
              <w:bottom w:val="single" w:sz="6" w:space="0" w:color="auto"/>
            </w:tcBorders>
          </w:tcPr>
          <w:p w14:paraId="7FDB4014" w14:textId="5F8999BF" w:rsidR="00687814" w:rsidRPr="00C05536" w:rsidRDefault="00687814" w:rsidP="005C1D47">
            <w:pPr>
              <w:pStyle w:val="TCTableBody"/>
              <w:spacing w:after="0" w:line="240" w:lineRule="auto"/>
              <w:jc w:val="center"/>
            </w:pPr>
            <w:r w:rsidRPr="00C05536">
              <w:t>13,14</w:t>
            </w:r>
          </w:p>
        </w:tc>
      </w:tr>
      <w:tr w:rsidR="00687814" w:rsidRPr="00C05536" w14:paraId="505DF521" w14:textId="3C33AE0E" w:rsidTr="00687814">
        <w:trPr>
          <w:trHeight w:val="454"/>
          <w:jc w:val="center"/>
        </w:trPr>
        <w:tc>
          <w:tcPr>
            <w:tcW w:w="1696" w:type="dxa"/>
            <w:tcBorders>
              <w:bottom w:val="single" w:sz="6" w:space="0" w:color="auto"/>
            </w:tcBorders>
            <w:vAlign w:val="center"/>
          </w:tcPr>
          <w:p w14:paraId="25D8D42E" w14:textId="17D239AC" w:rsidR="00687814" w:rsidRPr="00C05536" w:rsidRDefault="00687814" w:rsidP="005C1D47">
            <w:pPr>
              <w:pStyle w:val="TCTableBody"/>
              <w:spacing w:after="0" w:line="240" w:lineRule="auto"/>
              <w:jc w:val="center"/>
            </w:pPr>
            <w:r w:rsidRPr="00C05536">
              <w:t>0-Si@NiPS@SiO</w:t>
            </w:r>
            <w:r w:rsidRPr="00C05536">
              <w:rPr>
                <w:vertAlign w:val="subscript"/>
              </w:rPr>
              <w:t>2</w:t>
            </w:r>
          </w:p>
        </w:tc>
        <w:tc>
          <w:tcPr>
            <w:tcW w:w="1134" w:type="dxa"/>
            <w:tcBorders>
              <w:bottom w:val="single" w:sz="6" w:space="0" w:color="auto"/>
            </w:tcBorders>
            <w:vAlign w:val="center"/>
          </w:tcPr>
          <w:p w14:paraId="5319FCE0" w14:textId="18528E64" w:rsidR="00687814" w:rsidRPr="00C05536" w:rsidRDefault="00687814" w:rsidP="005C1D47">
            <w:pPr>
              <w:pStyle w:val="TCTableBody"/>
              <w:spacing w:after="0" w:line="240" w:lineRule="auto"/>
              <w:jc w:val="center"/>
            </w:pPr>
            <w:r w:rsidRPr="00C05536">
              <w:t>0,149</w:t>
            </w:r>
          </w:p>
        </w:tc>
        <w:tc>
          <w:tcPr>
            <w:tcW w:w="1276" w:type="dxa"/>
            <w:tcBorders>
              <w:bottom w:val="single" w:sz="6" w:space="0" w:color="auto"/>
            </w:tcBorders>
          </w:tcPr>
          <w:p w14:paraId="2706F126" w14:textId="1CB3527D" w:rsidR="00687814" w:rsidRPr="00C05536" w:rsidRDefault="00687814" w:rsidP="005C1D47">
            <w:pPr>
              <w:pStyle w:val="TCTableBody"/>
              <w:spacing w:after="0" w:line="240" w:lineRule="auto"/>
              <w:jc w:val="center"/>
            </w:pPr>
            <w:r w:rsidRPr="00C05536">
              <w:t>12,46</w:t>
            </w:r>
          </w:p>
        </w:tc>
      </w:tr>
      <w:tr w:rsidR="00687814" w:rsidRPr="00C05536" w14:paraId="7660101A" w14:textId="6AD7A5B4" w:rsidTr="00687814">
        <w:trPr>
          <w:trHeight w:val="454"/>
          <w:jc w:val="center"/>
        </w:trPr>
        <w:tc>
          <w:tcPr>
            <w:tcW w:w="1696" w:type="dxa"/>
            <w:tcBorders>
              <w:bottom w:val="single" w:sz="6" w:space="0" w:color="auto"/>
            </w:tcBorders>
            <w:vAlign w:val="center"/>
          </w:tcPr>
          <w:p w14:paraId="3F91C0EA" w14:textId="49937E69" w:rsidR="00687814" w:rsidRPr="00C05536" w:rsidRDefault="00687814" w:rsidP="005C1D47">
            <w:pPr>
              <w:pStyle w:val="TCTableBody"/>
              <w:spacing w:after="0" w:line="240" w:lineRule="auto"/>
              <w:jc w:val="center"/>
            </w:pPr>
            <w:r w:rsidRPr="00C05536">
              <w:t>24-Si@NiPS@SiO</w:t>
            </w:r>
            <w:r w:rsidRPr="00C05536">
              <w:rPr>
                <w:vertAlign w:val="subscript"/>
              </w:rPr>
              <w:t>2</w:t>
            </w:r>
          </w:p>
        </w:tc>
        <w:tc>
          <w:tcPr>
            <w:tcW w:w="1134" w:type="dxa"/>
            <w:tcBorders>
              <w:bottom w:val="single" w:sz="6" w:space="0" w:color="auto"/>
            </w:tcBorders>
            <w:vAlign w:val="center"/>
          </w:tcPr>
          <w:p w14:paraId="5BF71EB6" w14:textId="359FC1EB" w:rsidR="00687814" w:rsidRPr="00C05536" w:rsidRDefault="00687814" w:rsidP="005C1D47">
            <w:pPr>
              <w:pStyle w:val="TCTableBody"/>
              <w:spacing w:after="0" w:line="240" w:lineRule="auto"/>
              <w:jc w:val="center"/>
            </w:pPr>
            <w:r w:rsidRPr="00C05536">
              <w:t>0,105</w:t>
            </w:r>
          </w:p>
        </w:tc>
        <w:tc>
          <w:tcPr>
            <w:tcW w:w="1276" w:type="dxa"/>
            <w:tcBorders>
              <w:bottom w:val="single" w:sz="6" w:space="0" w:color="auto"/>
            </w:tcBorders>
          </w:tcPr>
          <w:p w14:paraId="32620B81" w14:textId="26B6F1D1" w:rsidR="00687814" w:rsidRPr="00C05536" w:rsidRDefault="00687814" w:rsidP="005C1D47">
            <w:pPr>
              <w:pStyle w:val="TCTableBody"/>
              <w:spacing w:after="0" w:line="240" w:lineRule="auto"/>
              <w:jc w:val="center"/>
            </w:pPr>
            <w:r w:rsidRPr="00C05536">
              <w:t>8,80</w:t>
            </w:r>
          </w:p>
        </w:tc>
      </w:tr>
      <w:tr w:rsidR="00687814" w:rsidRPr="00C05536" w14:paraId="5EDEB2B3" w14:textId="57289C6C" w:rsidTr="00687814">
        <w:trPr>
          <w:trHeight w:val="454"/>
          <w:jc w:val="center"/>
        </w:trPr>
        <w:tc>
          <w:tcPr>
            <w:tcW w:w="1696" w:type="dxa"/>
            <w:tcBorders>
              <w:bottom w:val="single" w:sz="6" w:space="0" w:color="auto"/>
            </w:tcBorders>
            <w:vAlign w:val="center"/>
          </w:tcPr>
          <w:p w14:paraId="27D188CE" w14:textId="030DAC6F" w:rsidR="00687814" w:rsidRPr="00C05536" w:rsidRDefault="00687814" w:rsidP="005C1D47">
            <w:pPr>
              <w:pStyle w:val="TCTableBody"/>
              <w:spacing w:after="0" w:line="240" w:lineRule="auto"/>
              <w:jc w:val="center"/>
            </w:pPr>
            <w:r w:rsidRPr="00C05536">
              <w:t>48-Si@NiPS@SiO</w:t>
            </w:r>
            <w:r w:rsidRPr="00C05536">
              <w:rPr>
                <w:vertAlign w:val="subscript"/>
              </w:rPr>
              <w:t>2</w:t>
            </w:r>
          </w:p>
        </w:tc>
        <w:tc>
          <w:tcPr>
            <w:tcW w:w="1134" w:type="dxa"/>
            <w:tcBorders>
              <w:bottom w:val="single" w:sz="6" w:space="0" w:color="auto"/>
            </w:tcBorders>
            <w:vAlign w:val="center"/>
          </w:tcPr>
          <w:p w14:paraId="6324EB73" w14:textId="6ABC9732" w:rsidR="00687814" w:rsidRPr="00C05536" w:rsidRDefault="00687814" w:rsidP="005C1D47">
            <w:pPr>
              <w:pStyle w:val="TCTableBody"/>
              <w:spacing w:after="0" w:line="240" w:lineRule="auto"/>
              <w:jc w:val="center"/>
            </w:pPr>
            <w:r w:rsidRPr="00C05536">
              <w:t>0,125</w:t>
            </w:r>
          </w:p>
        </w:tc>
        <w:tc>
          <w:tcPr>
            <w:tcW w:w="1276" w:type="dxa"/>
            <w:tcBorders>
              <w:bottom w:val="single" w:sz="6" w:space="0" w:color="auto"/>
            </w:tcBorders>
          </w:tcPr>
          <w:p w14:paraId="1A6990A4" w14:textId="4D683750" w:rsidR="00687814" w:rsidRPr="00C05536" w:rsidRDefault="00687814" w:rsidP="005C1D47">
            <w:pPr>
              <w:pStyle w:val="TCTableBody"/>
              <w:spacing w:after="0" w:line="240" w:lineRule="auto"/>
              <w:jc w:val="center"/>
            </w:pPr>
            <w:r w:rsidRPr="00C05536">
              <w:t>10,51</w:t>
            </w:r>
          </w:p>
        </w:tc>
      </w:tr>
    </w:tbl>
    <w:p w14:paraId="2F802A85" w14:textId="77777777" w:rsidR="004316EE" w:rsidRDefault="004316EE" w:rsidP="00CE3CC8">
      <w:pPr>
        <w:pStyle w:val="TAMainText"/>
        <w:spacing w:line="240" w:lineRule="auto"/>
        <w:ind w:firstLine="0"/>
        <w:rPr>
          <w:lang w:val="pt-BR"/>
        </w:rPr>
      </w:pPr>
    </w:p>
    <w:p w14:paraId="6EC7DEC6" w14:textId="3DA78185" w:rsidR="008E488C" w:rsidRPr="00C05536" w:rsidRDefault="008E488C" w:rsidP="008E488C">
      <w:pPr>
        <w:pStyle w:val="TAMainText"/>
        <w:spacing w:line="240" w:lineRule="auto"/>
        <w:ind w:firstLine="0"/>
        <w:rPr>
          <w:lang w:val="pt-BR"/>
        </w:rPr>
      </w:pPr>
      <w:r>
        <w:rPr>
          <w:lang w:val="pt-BR"/>
        </w:rPr>
        <w:t xml:space="preserve">     </w:t>
      </w:r>
      <w:r w:rsidRPr="00C05536">
        <w:rPr>
          <w:lang w:val="pt-BR"/>
        </w:rPr>
        <w:t xml:space="preserve">Observa-se ainda que o tempo em hidrólise provoca uma alteração na proporção entre as duas estruturas NiPS, modificando a razão entre os eventos. Como a ligação </w:t>
      </w:r>
      <w:proofErr w:type="spellStart"/>
      <w:r w:rsidRPr="00C05536">
        <w:rPr>
          <w:lang w:val="pt-BR"/>
        </w:rPr>
        <w:t>Ni-Si</w:t>
      </w:r>
      <w:proofErr w:type="spellEnd"/>
      <w:r w:rsidRPr="00C05536">
        <w:rPr>
          <w:lang w:val="pt-BR"/>
        </w:rPr>
        <w:t xml:space="preserve"> é mais intensa na estrutura 2:1, espera-se que com a redução dos materiais 24-Si e 48-Si, nanopartículas menores e mais dispersas sejam geradas na superfície das esferas Stöber. Tal fato permite inferir que o processo de hidrólise provoca uma mudança organizacional da estrutura, em consonância </w:t>
      </w:r>
      <w:r>
        <w:rPr>
          <w:lang w:val="pt-BR"/>
        </w:rPr>
        <w:t xml:space="preserve">com </w:t>
      </w:r>
      <w:r>
        <w:rPr>
          <w:lang w:val="pt-BR"/>
        </w:rPr>
        <w:lastRenderedPageBreak/>
        <w:t>os dados de DRX, o que pode ter impactos na atividade e na estabilidade dos catalisadores.</w:t>
      </w:r>
    </w:p>
    <w:p w14:paraId="01176891" w14:textId="4C8C3B61" w:rsidR="008E488C" w:rsidRPr="008E488C" w:rsidRDefault="008E488C" w:rsidP="008E488C">
      <w:pPr>
        <w:pStyle w:val="TAMainText"/>
        <w:spacing w:after="240" w:line="240" w:lineRule="auto"/>
        <w:ind w:firstLine="0"/>
        <w:rPr>
          <w:lang w:val="pt-BR"/>
        </w:rPr>
      </w:pPr>
      <w:r w:rsidRPr="00C05536">
        <w:rPr>
          <w:lang w:val="pt-BR"/>
        </w:rPr>
        <w:t xml:space="preserve">     Em derradeiro, analisando a Tabela 1, verifica-se que o tempo em hidrólise pode ter lixiviado parte do níquel fracamente ligado ao suporte, evidenciado pelo menor valor obtido para a 24-Si e a 48</w:t>
      </w:r>
      <w:r>
        <w:rPr>
          <w:lang w:val="pt-BR"/>
        </w:rPr>
        <w:t>-S</w:t>
      </w:r>
      <w:r w:rsidRPr="00C05536">
        <w:rPr>
          <w:lang w:val="pt-BR"/>
        </w:rPr>
        <w:t xml:space="preserve">i, evitando que aquele iniciasse processos de nucleação e sinterização, o que corrobora a hipótese da reorganização da estrutura e fortalecimento da ligação </w:t>
      </w:r>
      <w:proofErr w:type="spellStart"/>
      <w:r w:rsidRPr="00C05536">
        <w:rPr>
          <w:lang w:val="pt-BR"/>
        </w:rPr>
        <w:t>Si-Ni</w:t>
      </w:r>
      <w:proofErr w:type="spellEnd"/>
      <w:r w:rsidRPr="00C05536">
        <w:rPr>
          <w:lang w:val="pt-BR"/>
        </w:rPr>
        <w:t xml:space="preserve">. Outra hipótese seria a presença de uma ligação </w:t>
      </w:r>
      <w:proofErr w:type="spellStart"/>
      <w:r w:rsidRPr="00C05536">
        <w:rPr>
          <w:lang w:val="pt-BR"/>
        </w:rPr>
        <w:t>Si-Ni</w:t>
      </w:r>
      <w:proofErr w:type="spellEnd"/>
      <w:r w:rsidRPr="00C05536">
        <w:rPr>
          <w:lang w:val="pt-BR"/>
        </w:rPr>
        <w:t xml:space="preserve"> tão forte que as condições de TPR não foram suficientes para reduzir o metal.</w:t>
      </w:r>
    </w:p>
    <w:p w14:paraId="0D3F5207" w14:textId="4F339202" w:rsidR="0014343C" w:rsidRDefault="0014343C" w:rsidP="00CE3CC8">
      <w:pPr>
        <w:pStyle w:val="TAMainText"/>
        <w:spacing w:line="240" w:lineRule="auto"/>
        <w:ind w:firstLine="0"/>
        <w:rPr>
          <w:b/>
          <w:i/>
          <w:lang w:val="pt-BR"/>
        </w:rPr>
      </w:pPr>
      <w:r w:rsidRPr="00E25DDC">
        <w:rPr>
          <w:b/>
          <w:i/>
          <w:lang w:val="pt-BR"/>
        </w:rPr>
        <w:t>Microscopia eletrônica de transmissão de alta resolução (HRTEM</w:t>
      </w:r>
      <w:r w:rsidR="00C17CA3">
        <w:rPr>
          <w:b/>
          <w:i/>
          <w:lang w:val="pt-BR"/>
        </w:rPr>
        <w:t>)</w:t>
      </w:r>
    </w:p>
    <w:p w14:paraId="1FEA5FD6" w14:textId="77777777" w:rsidR="00B87938" w:rsidRDefault="00B87938" w:rsidP="00CE3CC8">
      <w:pPr>
        <w:pStyle w:val="TAMainText"/>
        <w:spacing w:line="240" w:lineRule="auto"/>
        <w:ind w:firstLine="0"/>
        <w:rPr>
          <w:b/>
          <w:i/>
          <w:lang w:val="pt-BR"/>
        </w:rPr>
      </w:pPr>
    </w:p>
    <w:p w14:paraId="19E36551" w14:textId="55D0584B" w:rsidR="00B87938" w:rsidRPr="00B87938" w:rsidRDefault="007E7168" w:rsidP="00CE3CC8">
      <w:pPr>
        <w:pStyle w:val="TAMainText"/>
        <w:spacing w:line="240" w:lineRule="auto"/>
        <w:ind w:firstLine="0"/>
        <w:rPr>
          <w:bCs/>
          <w:iCs/>
          <w:lang w:val="pt-BR"/>
        </w:rPr>
      </w:pPr>
      <w:r>
        <w:rPr>
          <w:bCs/>
          <w:iCs/>
          <w:lang w:val="pt-BR"/>
        </w:rPr>
        <w:t xml:space="preserve">      </w:t>
      </w:r>
      <w:r w:rsidR="00B87938">
        <w:rPr>
          <w:bCs/>
          <w:iCs/>
          <w:lang w:val="pt-BR"/>
        </w:rPr>
        <w:t>As micro</w:t>
      </w:r>
      <w:r>
        <w:rPr>
          <w:bCs/>
          <w:iCs/>
          <w:lang w:val="pt-BR"/>
        </w:rPr>
        <w:t>grafias de transmissão em alta resolução, encontram-se dispostas na Figura 4.</w:t>
      </w:r>
    </w:p>
    <w:p w14:paraId="685B64DA" w14:textId="77777777" w:rsidR="0014343C" w:rsidRPr="00C05536" w:rsidRDefault="0014343C" w:rsidP="00CE3CC8">
      <w:pPr>
        <w:pStyle w:val="TAMainText"/>
        <w:spacing w:line="240" w:lineRule="auto"/>
        <w:ind w:firstLine="0"/>
        <w:rPr>
          <w:i/>
          <w:lang w:val="pt-BR"/>
        </w:rPr>
      </w:pPr>
    </w:p>
    <w:p w14:paraId="42946CCD" w14:textId="39A0081F" w:rsidR="0014343C" w:rsidRDefault="00851D52" w:rsidP="00851D52">
      <w:pPr>
        <w:pStyle w:val="TAMainText"/>
        <w:spacing w:line="240" w:lineRule="auto"/>
        <w:ind w:firstLine="0"/>
        <w:jc w:val="center"/>
        <w:rPr>
          <w:i/>
          <w:vertAlign w:val="subscript"/>
          <w:lang w:val="pt-BR"/>
        </w:rPr>
      </w:pPr>
      <w:r>
        <w:rPr>
          <w:i/>
          <w:noProof/>
          <w:vertAlign w:val="subscript"/>
          <w:lang w:val="pt-BR"/>
        </w:rPr>
        <w:drawing>
          <wp:inline distT="0" distB="0" distL="0" distR="0" wp14:anchorId="0EE6D446" wp14:editId="28F691F7">
            <wp:extent cx="2663687" cy="2593517"/>
            <wp:effectExtent l="0" t="0" r="3810" b="0"/>
            <wp:docPr id="52106739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798" cy="2597519"/>
                    </a:xfrm>
                    <a:prstGeom prst="rect">
                      <a:avLst/>
                    </a:prstGeom>
                    <a:noFill/>
                  </pic:spPr>
                </pic:pic>
              </a:graphicData>
            </a:graphic>
          </wp:inline>
        </w:drawing>
      </w:r>
    </w:p>
    <w:p w14:paraId="1F33A6AE" w14:textId="3E74FDDB" w:rsidR="001F07F6" w:rsidRDefault="001F07F6" w:rsidP="00CE3CC8">
      <w:pPr>
        <w:pStyle w:val="TAMainText"/>
        <w:spacing w:line="240" w:lineRule="auto"/>
        <w:ind w:firstLine="0"/>
        <w:rPr>
          <w:i/>
          <w:vertAlign w:val="subscript"/>
          <w:lang w:val="pt-BR"/>
        </w:rPr>
      </w:pPr>
    </w:p>
    <w:p w14:paraId="30E7C2A3" w14:textId="39AAA2B2" w:rsidR="00C17CA3" w:rsidRPr="001169DF" w:rsidRDefault="00C17CA3" w:rsidP="00C17CA3">
      <w:pPr>
        <w:pStyle w:val="VAFigureCaption"/>
        <w:spacing w:before="0" w:line="240" w:lineRule="auto"/>
        <w:rPr>
          <w:rFonts w:ascii="Times New Roman" w:hAnsi="Times New Roman"/>
          <w:lang w:val="pt-BR"/>
        </w:rPr>
      </w:pPr>
      <w:r w:rsidRPr="00C05536">
        <w:rPr>
          <w:rFonts w:ascii="Times New Roman" w:hAnsi="Times New Roman"/>
          <w:b/>
          <w:bCs/>
          <w:lang w:val="pt-BR"/>
        </w:rPr>
        <w:t>Figura 4.</w:t>
      </w:r>
      <w:r w:rsidRPr="00C05536">
        <w:rPr>
          <w:rFonts w:ascii="Times New Roman" w:hAnsi="Times New Roman"/>
          <w:lang w:val="pt-BR"/>
        </w:rPr>
        <w:t xml:space="preserve"> </w:t>
      </w:r>
      <w:r w:rsidR="00AD1C8F">
        <w:rPr>
          <w:rFonts w:ascii="Times New Roman" w:hAnsi="Times New Roman"/>
          <w:lang w:val="pt-BR"/>
        </w:rPr>
        <w:t>Imagens obtidas por STEM e HRTEM</w:t>
      </w:r>
      <w:r w:rsidR="00AA4DCD">
        <w:rPr>
          <w:rFonts w:ascii="Times New Roman" w:hAnsi="Times New Roman"/>
          <w:lang w:val="pt-BR"/>
        </w:rPr>
        <w:t xml:space="preserve"> (quadrados em zoom)</w:t>
      </w:r>
      <w:r w:rsidR="00AD1C8F">
        <w:rPr>
          <w:rFonts w:ascii="Times New Roman" w:hAnsi="Times New Roman"/>
          <w:lang w:val="pt-BR"/>
        </w:rPr>
        <w:t xml:space="preserve"> dos materiais calcinados e reduzidos</w:t>
      </w:r>
      <w:r w:rsidR="00A717A8">
        <w:rPr>
          <w:rFonts w:ascii="Times New Roman" w:hAnsi="Times New Roman"/>
          <w:lang w:val="pt-BR"/>
        </w:rPr>
        <w:t>. As esferas grandes e as estruturas disformes são relativas à fase SiO</w:t>
      </w:r>
      <w:r w:rsidR="00A717A8">
        <w:rPr>
          <w:rFonts w:ascii="Times New Roman" w:hAnsi="Times New Roman"/>
          <w:vertAlign w:val="subscript"/>
          <w:lang w:val="pt-BR"/>
        </w:rPr>
        <w:t>2</w:t>
      </w:r>
      <w:r w:rsidR="00A717A8">
        <w:rPr>
          <w:rFonts w:ascii="Times New Roman" w:hAnsi="Times New Roman"/>
          <w:lang w:val="pt-BR"/>
        </w:rPr>
        <w:t xml:space="preserve">, </w:t>
      </w:r>
      <w:r w:rsidR="001169DF">
        <w:rPr>
          <w:rFonts w:ascii="Times New Roman" w:hAnsi="Times New Roman"/>
          <w:lang w:val="pt-BR"/>
        </w:rPr>
        <w:t>os pequenos pontos pretos são relativos à fase Ni</w:t>
      </w:r>
      <w:r w:rsidR="001169DF">
        <w:rPr>
          <w:rFonts w:ascii="Times New Roman" w:hAnsi="Times New Roman"/>
          <w:vertAlign w:val="superscript"/>
          <w:lang w:val="pt-BR"/>
        </w:rPr>
        <w:t>0</w:t>
      </w:r>
      <w:r w:rsidR="001169DF">
        <w:rPr>
          <w:rFonts w:ascii="Times New Roman" w:hAnsi="Times New Roman"/>
          <w:lang w:val="pt-BR"/>
        </w:rPr>
        <w:t>.</w:t>
      </w:r>
    </w:p>
    <w:p w14:paraId="7A001A71" w14:textId="77777777" w:rsidR="004F625C" w:rsidRDefault="004F625C" w:rsidP="00CE3CC8">
      <w:pPr>
        <w:pStyle w:val="TAMainText"/>
        <w:spacing w:line="240" w:lineRule="auto"/>
        <w:ind w:firstLine="0"/>
        <w:rPr>
          <w:iCs/>
          <w:lang w:val="pt-BR"/>
        </w:rPr>
      </w:pPr>
    </w:p>
    <w:p w14:paraId="1946ABFB" w14:textId="2B472AF4" w:rsidR="00084CAD" w:rsidRPr="00370D78" w:rsidRDefault="00754016" w:rsidP="00CE3CC8">
      <w:pPr>
        <w:pStyle w:val="TAMainText"/>
        <w:spacing w:line="240" w:lineRule="auto"/>
        <w:ind w:firstLine="0"/>
        <w:rPr>
          <w:iCs/>
          <w:lang w:val="pt-BR"/>
        </w:rPr>
      </w:pPr>
      <w:r>
        <w:rPr>
          <w:iCs/>
          <w:lang w:val="pt-BR"/>
        </w:rPr>
        <w:t xml:space="preserve">     Com base nas micrografias, constata-se que houve formação de estruturas core@shell em todos os casos estu</w:t>
      </w:r>
      <w:r w:rsidR="00B43273">
        <w:rPr>
          <w:iCs/>
          <w:lang w:val="pt-BR"/>
        </w:rPr>
        <w:t>da</w:t>
      </w:r>
      <w:r>
        <w:rPr>
          <w:iCs/>
          <w:lang w:val="pt-BR"/>
        </w:rPr>
        <w:t>dos</w:t>
      </w:r>
      <w:r w:rsidR="00B43273">
        <w:rPr>
          <w:iCs/>
          <w:lang w:val="pt-BR"/>
        </w:rPr>
        <w:t xml:space="preserve"> – grandes esferas de SiO</w:t>
      </w:r>
      <w:r w:rsidR="00B43273">
        <w:rPr>
          <w:iCs/>
          <w:vertAlign w:val="subscript"/>
          <w:lang w:val="pt-BR"/>
        </w:rPr>
        <w:t>2</w:t>
      </w:r>
      <w:r w:rsidR="00B43273">
        <w:rPr>
          <w:iCs/>
          <w:lang w:val="pt-BR"/>
        </w:rPr>
        <w:t xml:space="preserve"> encrustadas com nanopartículas de níquel de tamanho diminuto</w:t>
      </w:r>
      <w:r w:rsidR="004F4957">
        <w:rPr>
          <w:iCs/>
          <w:lang w:val="pt-BR"/>
        </w:rPr>
        <w:t>.</w:t>
      </w:r>
      <w:r>
        <w:rPr>
          <w:iCs/>
          <w:lang w:val="pt-BR"/>
        </w:rPr>
        <w:t xml:space="preserve"> Ademais, observa-se que para a amostra Si-0</w:t>
      </w:r>
      <w:r w:rsidR="00CB090B">
        <w:rPr>
          <w:iCs/>
          <w:lang w:val="pt-BR"/>
        </w:rPr>
        <w:t xml:space="preserve"> há um número </w:t>
      </w:r>
      <w:r w:rsidR="004F4957">
        <w:rPr>
          <w:iCs/>
          <w:lang w:val="pt-BR"/>
        </w:rPr>
        <w:t xml:space="preserve">significativo das estruturas disformes, indicando que o tempo de hidrólise </w:t>
      </w:r>
      <w:r w:rsidR="00C40E71">
        <w:rPr>
          <w:iCs/>
          <w:lang w:val="pt-BR"/>
        </w:rPr>
        <w:t>é importante para a formação de uma estrutura esférica. Para a Si-48, observa-se uma perda d</w:t>
      </w:r>
      <w:r w:rsidR="0081684E">
        <w:rPr>
          <w:iCs/>
          <w:lang w:val="pt-BR"/>
        </w:rPr>
        <w:t xml:space="preserve">a simetria esférica e boa aglutinação das partículas, talvez resultante de reações de ligação cruzada e polimerização. Por sua vez, </w:t>
      </w:r>
      <w:r w:rsidR="009E62E4">
        <w:rPr>
          <w:iCs/>
          <w:lang w:val="pt-BR"/>
        </w:rPr>
        <w:t xml:space="preserve">tanto a NiPS quanto a Si-24 apresentaram um perfil com boa simetria esférica e </w:t>
      </w:r>
      <w:r w:rsidR="005E3308">
        <w:rPr>
          <w:iCs/>
          <w:lang w:val="pt-BR"/>
        </w:rPr>
        <w:t xml:space="preserve">dispersão do Ni. Todavia, </w:t>
      </w:r>
      <w:r w:rsidR="00370D78">
        <w:rPr>
          <w:iCs/>
          <w:lang w:val="pt-BR"/>
        </w:rPr>
        <w:t>n</w:t>
      </w:r>
      <w:r w:rsidR="005E3308">
        <w:rPr>
          <w:iCs/>
          <w:lang w:val="pt-BR"/>
        </w:rPr>
        <w:t>a 24-Si</w:t>
      </w:r>
      <w:r w:rsidR="00370D78">
        <w:rPr>
          <w:iCs/>
          <w:lang w:val="pt-BR"/>
        </w:rPr>
        <w:t xml:space="preserve"> e 48-Si, é possível constatar que há (em algumas partículas) um recobrimento do Ni, evidenciando a presença de estruturas sanduíche. </w:t>
      </w:r>
    </w:p>
    <w:p w14:paraId="21F2DC82" w14:textId="61E6F274" w:rsidR="0014343C" w:rsidRPr="008E1218" w:rsidRDefault="002D0829" w:rsidP="008E1218">
      <w:pPr>
        <w:pStyle w:val="TAMainText"/>
        <w:spacing w:after="240" w:line="240" w:lineRule="auto"/>
        <w:ind w:firstLine="0"/>
        <w:rPr>
          <w:b/>
          <w:i/>
          <w:lang w:val="pt-BR"/>
        </w:rPr>
      </w:pPr>
      <w:r w:rsidRPr="00E25DDC">
        <w:rPr>
          <w:b/>
          <w:i/>
          <w:lang w:val="pt-BR"/>
        </w:rPr>
        <w:t xml:space="preserve">Reação superficial termoprogramada na DRM (TPSR-DRM) e </w:t>
      </w:r>
      <w:r w:rsidR="0014343C" w:rsidRPr="00E25DDC">
        <w:rPr>
          <w:b/>
          <w:i/>
          <w:lang w:val="pt-BR"/>
        </w:rPr>
        <w:t>Decomposição termoprogramada do CH</w:t>
      </w:r>
      <w:r w:rsidR="0014343C" w:rsidRPr="00E25DDC">
        <w:rPr>
          <w:b/>
          <w:i/>
          <w:vertAlign w:val="subscript"/>
          <w:lang w:val="pt-BR"/>
        </w:rPr>
        <w:t>4</w:t>
      </w:r>
      <w:r w:rsidR="0014343C" w:rsidRPr="00E25DDC">
        <w:rPr>
          <w:b/>
          <w:i/>
          <w:lang w:val="pt-BR"/>
        </w:rPr>
        <w:t xml:space="preserve"> (TPC-CH</w:t>
      </w:r>
      <w:r w:rsidR="0014343C" w:rsidRPr="00E25DDC">
        <w:rPr>
          <w:b/>
          <w:i/>
          <w:vertAlign w:val="subscript"/>
          <w:lang w:val="pt-BR"/>
        </w:rPr>
        <w:t>4</w:t>
      </w:r>
      <w:r w:rsidR="0014343C" w:rsidRPr="00E25DDC">
        <w:rPr>
          <w:b/>
          <w:i/>
          <w:lang w:val="pt-BR"/>
        </w:rPr>
        <w:t>)</w:t>
      </w:r>
    </w:p>
    <w:p w14:paraId="78AC29AC" w14:textId="37AAA1D1" w:rsidR="002D0829" w:rsidRPr="00C05536" w:rsidRDefault="51225D74" w:rsidP="00CE3CC8">
      <w:pPr>
        <w:pStyle w:val="TAMainText"/>
        <w:spacing w:line="240" w:lineRule="auto"/>
        <w:ind w:firstLine="0"/>
        <w:rPr>
          <w:lang w:val="pt-BR"/>
        </w:rPr>
      </w:pPr>
      <w:r w:rsidRPr="00C05536">
        <w:rPr>
          <w:lang w:val="pt-BR"/>
        </w:rPr>
        <w:t xml:space="preserve">     Os experimentos de TPSR-DRM e TPC-CH</w:t>
      </w:r>
      <w:r w:rsidRPr="00C05536">
        <w:rPr>
          <w:vertAlign w:val="subscript"/>
          <w:lang w:val="pt-BR"/>
        </w:rPr>
        <w:t>4</w:t>
      </w:r>
      <w:r w:rsidRPr="00C05536">
        <w:rPr>
          <w:lang w:val="pt-BR"/>
        </w:rPr>
        <w:t xml:space="preserve"> estão dispostos na Figura </w:t>
      </w:r>
      <w:r w:rsidR="00263C30">
        <w:rPr>
          <w:lang w:val="pt-BR"/>
        </w:rPr>
        <w:t>5</w:t>
      </w:r>
      <w:r w:rsidRPr="00C05536">
        <w:rPr>
          <w:lang w:val="pt-BR"/>
        </w:rPr>
        <w:t>. Apenas os resultados gráficos para a NiPS@SiO</w:t>
      </w:r>
      <w:r w:rsidRPr="00C05536">
        <w:rPr>
          <w:vertAlign w:val="subscript"/>
          <w:lang w:val="pt-BR"/>
        </w:rPr>
        <w:t>2</w:t>
      </w:r>
      <w:r w:rsidRPr="00C05536">
        <w:rPr>
          <w:lang w:val="pt-BR"/>
        </w:rPr>
        <w:t xml:space="preserve"> foram apresentados visto que os demais materiais apresentaram o mesmo perfil, alterando-se apenas a temperatura associada aos eventos. A tabela 2, apresenta comparação dos resultados obtidos para os catalisadores.</w:t>
      </w:r>
    </w:p>
    <w:p w14:paraId="57DDB97F" w14:textId="5164A8BE" w:rsidR="0014343C" w:rsidRPr="00C05536" w:rsidRDefault="002D0829" w:rsidP="00CE3CC8">
      <w:pPr>
        <w:spacing w:line="240" w:lineRule="auto"/>
        <w:jc w:val="center"/>
      </w:pPr>
      <w:r w:rsidRPr="00C05536">
        <w:rPr>
          <w:noProof/>
        </w:rPr>
        <w:drawing>
          <wp:inline distT="0" distB="0" distL="0" distR="0" wp14:anchorId="18D8B3AA" wp14:editId="553A4701">
            <wp:extent cx="3465830" cy="1932166"/>
            <wp:effectExtent l="0" t="0" r="0" b="0"/>
            <wp:docPr id="992976331" name="Imagem 99297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0929" cy="1935009"/>
                    </a:xfrm>
                    <a:prstGeom prst="rect">
                      <a:avLst/>
                    </a:prstGeom>
                    <a:noFill/>
                  </pic:spPr>
                </pic:pic>
              </a:graphicData>
            </a:graphic>
          </wp:inline>
        </w:drawing>
      </w:r>
    </w:p>
    <w:p w14:paraId="533875D4" w14:textId="5478E3DE" w:rsidR="002D0829" w:rsidRPr="00C05536" w:rsidRDefault="51225D74" w:rsidP="00CE3CC8">
      <w:pPr>
        <w:pStyle w:val="VAFigureCaption"/>
        <w:spacing w:before="0" w:line="240" w:lineRule="auto"/>
        <w:rPr>
          <w:rFonts w:ascii="Times New Roman" w:hAnsi="Times New Roman"/>
          <w:lang w:val="pt-BR"/>
        </w:rPr>
      </w:pPr>
      <w:r w:rsidRPr="00C05536">
        <w:rPr>
          <w:rFonts w:ascii="Times New Roman" w:hAnsi="Times New Roman"/>
          <w:b/>
          <w:bCs/>
          <w:lang w:val="pt-BR"/>
        </w:rPr>
        <w:t xml:space="preserve">Figura </w:t>
      </w:r>
      <w:r w:rsidR="00263C30">
        <w:rPr>
          <w:rFonts w:ascii="Times New Roman" w:hAnsi="Times New Roman"/>
          <w:b/>
          <w:bCs/>
          <w:lang w:val="pt-BR"/>
        </w:rPr>
        <w:t>5</w:t>
      </w:r>
      <w:r w:rsidRPr="00C05536">
        <w:rPr>
          <w:rFonts w:ascii="Times New Roman" w:hAnsi="Times New Roman"/>
          <w:b/>
          <w:bCs/>
          <w:lang w:val="pt-BR"/>
        </w:rPr>
        <w:t>.</w:t>
      </w:r>
      <w:r w:rsidRPr="00C05536">
        <w:rPr>
          <w:rFonts w:ascii="Times New Roman" w:hAnsi="Times New Roman"/>
          <w:lang w:val="pt-BR"/>
        </w:rPr>
        <w:t xml:space="preserve"> Perfis de TPSR-DRM e TPC-CH</w:t>
      </w:r>
      <w:r w:rsidRPr="00C05536">
        <w:rPr>
          <w:rFonts w:ascii="Times New Roman" w:hAnsi="Times New Roman"/>
          <w:vertAlign w:val="subscript"/>
          <w:lang w:val="pt-BR"/>
        </w:rPr>
        <w:t>4</w:t>
      </w:r>
      <w:r w:rsidRPr="00C05536">
        <w:rPr>
          <w:rFonts w:ascii="Times New Roman" w:hAnsi="Times New Roman"/>
          <w:lang w:val="pt-BR"/>
        </w:rPr>
        <w:t xml:space="preserve"> para o catalisador NiPS@SiO</w:t>
      </w:r>
      <w:r w:rsidRPr="00C05536">
        <w:rPr>
          <w:rFonts w:ascii="Times New Roman" w:hAnsi="Times New Roman"/>
          <w:vertAlign w:val="subscript"/>
          <w:lang w:val="pt-BR"/>
        </w:rPr>
        <w:t>2</w:t>
      </w:r>
      <w:r w:rsidRPr="00C05536">
        <w:rPr>
          <w:rFonts w:ascii="Times New Roman" w:hAnsi="Times New Roman"/>
          <w:lang w:val="pt-BR"/>
        </w:rPr>
        <w:t>. Os demais materiais apresentaram perfil similar.</w:t>
      </w:r>
    </w:p>
    <w:p w14:paraId="16337B48" w14:textId="0B6964CA" w:rsidR="002E399A" w:rsidRPr="00C05536" w:rsidRDefault="002E399A" w:rsidP="00CE3CC8">
      <w:pPr>
        <w:pStyle w:val="TAMainText"/>
        <w:spacing w:line="240" w:lineRule="auto"/>
        <w:ind w:firstLine="0"/>
        <w:rPr>
          <w:lang w:val="pt-BR"/>
        </w:rPr>
      </w:pPr>
    </w:p>
    <w:p w14:paraId="7FE18C2D" w14:textId="77777777" w:rsidR="005D3B73" w:rsidRDefault="51225D74" w:rsidP="00CE3CC8">
      <w:pPr>
        <w:pStyle w:val="TAMainText"/>
        <w:spacing w:line="240" w:lineRule="auto"/>
        <w:ind w:firstLine="0"/>
        <w:rPr>
          <w:lang w:val="pt-BR"/>
        </w:rPr>
      </w:pPr>
      <w:r w:rsidRPr="00C05536">
        <w:rPr>
          <w:lang w:val="pt-BR"/>
        </w:rPr>
        <w:t xml:space="preserve">     Partindo-se do princípio de que a etapa lenta da DRM seria a quebra</w:t>
      </w:r>
      <w:r w:rsidRPr="51225D74">
        <w:rPr>
          <w:lang w:val="pt-BR"/>
        </w:rPr>
        <w:t xml:space="preserve"> da ligação C-H em sítios Ni</w:t>
      </w:r>
      <w:r w:rsidRPr="51225D74">
        <w:rPr>
          <w:vertAlign w:val="superscript"/>
          <w:lang w:val="pt-BR"/>
        </w:rPr>
        <w:t>0</w:t>
      </w:r>
      <w:r w:rsidRPr="51225D74">
        <w:rPr>
          <w:lang w:val="pt-BR"/>
        </w:rPr>
        <w:t>, os experimentos TPC-CH</w:t>
      </w:r>
      <w:r w:rsidRPr="51225D74">
        <w:rPr>
          <w:vertAlign w:val="subscript"/>
          <w:lang w:val="pt-BR"/>
        </w:rPr>
        <w:t>4</w:t>
      </w:r>
      <w:r w:rsidRPr="51225D74">
        <w:rPr>
          <w:lang w:val="pt-BR"/>
        </w:rPr>
        <w:t xml:space="preserve"> dão uma ideia tanto da atividade dos materiais quanto da facilidade de acesso do CH</w:t>
      </w:r>
      <w:r w:rsidRPr="51225D74">
        <w:rPr>
          <w:vertAlign w:val="subscript"/>
          <w:lang w:val="pt-BR"/>
        </w:rPr>
        <w:t>4</w:t>
      </w:r>
      <w:r w:rsidRPr="51225D74">
        <w:rPr>
          <w:lang w:val="pt-BR"/>
        </w:rPr>
        <w:t xml:space="preserve"> aos sítios ativos [</w:t>
      </w:r>
      <w:r w:rsidR="0050413F">
        <w:rPr>
          <w:lang w:val="pt-BR"/>
        </w:rPr>
        <w:t>7</w:t>
      </w:r>
      <w:r w:rsidRPr="51225D74">
        <w:rPr>
          <w:lang w:val="pt-BR"/>
        </w:rPr>
        <w:t>]</w:t>
      </w:r>
      <w:r w:rsidR="005D67FE">
        <w:rPr>
          <w:lang w:val="pt-BR"/>
        </w:rPr>
        <w:t xml:space="preserve">. </w:t>
      </w:r>
      <w:r w:rsidR="005D3B73">
        <w:rPr>
          <w:lang w:val="pt-BR"/>
        </w:rPr>
        <w:t xml:space="preserve"> </w:t>
      </w:r>
    </w:p>
    <w:p w14:paraId="2CA99B44" w14:textId="0A3C3362" w:rsidR="00F3787F" w:rsidRDefault="005D3B73" w:rsidP="00CE3CC8">
      <w:pPr>
        <w:pStyle w:val="TAMainText"/>
        <w:spacing w:line="240" w:lineRule="auto"/>
        <w:ind w:firstLine="0"/>
        <w:rPr>
          <w:lang w:val="pt-BR"/>
        </w:rPr>
      </w:pPr>
      <w:r>
        <w:rPr>
          <w:lang w:val="pt-BR"/>
        </w:rPr>
        <w:t xml:space="preserve">     </w:t>
      </w:r>
      <w:r w:rsidR="51225D74" w:rsidRPr="51225D74">
        <w:rPr>
          <w:lang w:val="pt-BR"/>
        </w:rPr>
        <w:t xml:space="preserve">Verifica-se que </w:t>
      </w:r>
      <w:r w:rsidR="00ED33C8">
        <w:rPr>
          <w:lang w:val="pt-BR"/>
        </w:rPr>
        <w:t>o recobrimento com SiO</w:t>
      </w:r>
      <w:r w:rsidR="00ED33C8">
        <w:rPr>
          <w:vertAlign w:val="subscript"/>
          <w:lang w:val="pt-BR"/>
        </w:rPr>
        <w:t>2</w:t>
      </w:r>
      <w:r w:rsidR="00ED33C8">
        <w:rPr>
          <w:lang w:val="pt-BR"/>
        </w:rPr>
        <w:t xml:space="preserve"> promove um aumento da temperatura de ignição, comparando-se a NiPS </w:t>
      </w:r>
      <w:r w:rsidR="00C87542">
        <w:rPr>
          <w:lang w:val="pt-BR"/>
        </w:rPr>
        <w:t>à 0-Si</w:t>
      </w:r>
      <w:r w:rsidR="006161DC">
        <w:rPr>
          <w:lang w:val="pt-BR"/>
        </w:rPr>
        <w:t xml:space="preserve">. Todavia, com adição da etapa de hidrólise/estruturação, tem-se uma diminuição na temperatura de clivagem da ligação C-H. </w:t>
      </w:r>
      <w:r w:rsidR="008A0348" w:rsidRPr="51225D74">
        <w:rPr>
          <w:lang w:val="pt-BR"/>
        </w:rPr>
        <w:t xml:space="preserve">Isso pode ter relação com um efeito mecânico de confinamento, desestabilizando o estado de transição de forma mais </w:t>
      </w:r>
      <w:r w:rsidR="008A0348" w:rsidRPr="00C05536">
        <w:rPr>
          <w:lang w:val="pt-BR"/>
        </w:rPr>
        <w:t xml:space="preserve">eficiente, numa espécie de nano reator de dimensões entre as partículas Stöber e a </w:t>
      </w:r>
      <w:r w:rsidR="008A0348" w:rsidRPr="004D386C">
        <w:rPr>
          <w:i/>
          <w:iCs/>
          <w:lang w:val="pt-BR"/>
        </w:rPr>
        <w:t>shell</w:t>
      </w:r>
      <w:r w:rsidR="008A0348" w:rsidRPr="00C05536">
        <w:rPr>
          <w:lang w:val="pt-BR"/>
        </w:rPr>
        <w:t xml:space="preserve"> externa de SiO</w:t>
      </w:r>
      <w:r w:rsidR="008A0348" w:rsidRPr="00C05536">
        <w:rPr>
          <w:vertAlign w:val="subscript"/>
          <w:lang w:val="pt-BR"/>
        </w:rPr>
        <w:t>2</w:t>
      </w:r>
      <w:r w:rsidR="008A0348" w:rsidRPr="00C05536">
        <w:rPr>
          <w:lang w:val="pt-BR"/>
        </w:rPr>
        <w:t>. Es</w:t>
      </w:r>
      <w:r w:rsidR="008A0348">
        <w:rPr>
          <w:lang w:val="pt-BR"/>
        </w:rPr>
        <w:t>s</w:t>
      </w:r>
      <w:r w:rsidR="008A0348" w:rsidRPr="00C05536">
        <w:rPr>
          <w:lang w:val="pt-BR"/>
        </w:rPr>
        <w:t>a “prisão”, pode atuar ou por um</w:t>
      </w:r>
      <w:r w:rsidR="005F6669">
        <w:rPr>
          <w:lang w:val="pt-BR"/>
        </w:rPr>
        <w:t>a</w:t>
      </w:r>
      <w:r w:rsidR="008A0348" w:rsidRPr="00C05536">
        <w:rPr>
          <w:lang w:val="pt-BR"/>
        </w:rPr>
        <w:t xml:space="preserve"> simpl</w:t>
      </w:r>
      <w:r w:rsidR="005F6669">
        <w:rPr>
          <w:lang w:val="pt-BR"/>
        </w:rPr>
        <w:t>es interação mecânica</w:t>
      </w:r>
      <w:r w:rsidR="008A0348" w:rsidRPr="00C05536">
        <w:rPr>
          <w:lang w:val="pt-BR"/>
        </w:rPr>
        <w:t xml:space="preserve"> ou por povoamento de orbitais antiligante do CH</w:t>
      </w:r>
      <w:r w:rsidR="008A0348" w:rsidRPr="00C05536">
        <w:rPr>
          <w:vertAlign w:val="subscript"/>
          <w:lang w:val="pt-BR"/>
        </w:rPr>
        <w:t>4</w:t>
      </w:r>
      <w:r w:rsidR="008A0348" w:rsidRPr="00C05536">
        <w:rPr>
          <w:lang w:val="pt-BR"/>
        </w:rPr>
        <w:t>/CO</w:t>
      </w:r>
      <w:r w:rsidR="008A0348" w:rsidRPr="00C05536">
        <w:rPr>
          <w:vertAlign w:val="subscript"/>
          <w:lang w:val="pt-BR"/>
        </w:rPr>
        <w:t>2</w:t>
      </w:r>
      <w:r w:rsidR="008A0348" w:rsidRPr="00C05536">
        <w:rPr>
          <w:lang w:val="pt-BR"/>
        </w:rPr>
        <w:t>, diminuindo a energia necessária para o prosseguimento do caminho reacional [10].</w:t>
      </w:r>
    </w:p>
    <w:p w14:paraId="24D7D021" w14:textId="65173B35" w:rsidR="002E399A" w:rsidRPr="00C05536" w:rsidRDefault="007D7267" w:rsidP="00CE3CC8">
      <w:pPr>
        <w:pStyle w:val="TAMainText"/>
        <w:spacing w:line="240" w:lineRule="auto"/>
        <w:ind w:firstLine="0"/>
        <w:rPr>
          <w:lang w:val="pt-BR"/>
        </w:rPr>
      </w:pPr>
      <w:r>
        <w:rPr>
          <w:lang w:val="pt-BR"/>
        </w:rPr>
        <w:t xml:space="preserve">     </w:t>
      </w:r>
      <w:r w:rsidR="51225D74" w:rsidRPr="51225D74">
        <w:rPr>
          <w:lang w:val="pt-BR"/>
        </w:rPr>
        <w:t xml:space="preserve">Por sua vez, sabe-se também que em condições de DRM, segundo a termodinâmica, essa </w:t>
      </w:r>
      <w:r w:rsidR="51225D74" w:rsidRPr="00C05536">
        <w:rPr>
          <w:lang w:val="pt-BR"/>
        </w:rPr>
        <w:t>reação é a principal responsável pela geração de coque, embora tal carbono apresente baixa capacidade desativante, se comparada à de outras como a reação de Boudouard [</w:t>
      </w:r>
      <w:r w:rsidR="00C71085">
        <w:rPr>
          <w:lang w:val="pt-BR"/>
        </w:rPr>
        <w:t>8</w:t>
      </w:r>
      <w:r w:rsidR="51225D74" w:rsidRPr="00C05536">
        <w:rPr>
          <w:lang w:val="pt-BR"/>
        </w:rPr>
        <w:t>]</w:t>
      </w:r>
      <w:r w:rsidR="005D67FE" w:rsidRPr="00C05536">
        <w:rPr>
          <w:lang w:val="pt-BR"/>
        </w:rPr>
        <w:t xml:space="preserve">. </w:t>
      </w:r>
      <w:r w:rsidR="51225D74" w:rsidRPr="00C05536">
        <w:rPr>
          <w:lang w:val="pt-BR"/>
        </w:rPr>
        <w:t>Nesse viés, espera-se maior produção de coque para o</w:t>
      </w:r>
      <w:r>
        <w:rPr>
          <w:lang w:val="pt-BR"/>
        </w:rPr>
        <w:t>s</w:t>
      </w:r>
      <w:r w:rsidR="51225D74" w:rsidRPr="00C05536">
        <w:rPr>
          <w:lang w:val="pt-BR"/>
        </w:rPr>
        <w:t xml:space="preserve"> catalisador</w:t>
      </w:r>
      <w:r>
        <w:rPr>
          <w:lang w:val="pt-BR"/>
        </w:rPr>
        <w:t>es</w:t>
      </w:r>
      <w:r w:rsidR="51225D74" w:rsidRPr="00C05536">
        <w:rPr>
          <w:lang w:val="pt-BR"/>
        </w:rPr>
        <w:t xml:space="preserve"> </w:t>
      </w:r>
      <w:proofErr w:type="spellStart"/>
      <w:proofErr w:type="gramStart"/>
      <w:r w:rsidR="51225D74" w:rsidRPr="00C05536">
        <w:rPr>
          <w:lang w:val="pt-BR"/>
        </w:rPr>
        <w:t>Si</w:t>
      </w:r>
      <w:proofErr w:type="gramEnd"/>
      <w:r w:rsidR="51225D74" w:rsidRPr="00C05536">
        <w:rPr>
          <w:lang w:val="pt-BR"/>
        </w:rPr>
        <w:t>@NiPs</w:t>
      </w:r>
      <w:proofErr w:type="spellEnd"/>
      <w:r>
        <w:rPr>
          <w:lang w:val="pt-BR"/>
        </w:rPr>
        <w:t xml:space="preserve"> e 24-Si</w:t>
      </w:r>
      <w:r w:rsidR="00051E76">
        <w:rPr>
          <w:lang w:val="pt-BR"/>
        </w:rPr>
        <w:t>, devendo esses, apresentar grande contribuição do efeito de confinamento para suportar desativações. Isso será investigado nas próximas sessões.</w:t>
      </w:r>
    </w:p>
    <w:p w14:paraId="3C0621CE" w14:textId="041612AD" w:rsidR="000536F7" w:rsidRPr="00B0265A" w:rsidRDefault="51225D74" w:rsidP="000536F7">
      <w:pPr>
        <w:pStyle w:val="TAMainText"/>
        <w:spacing w:line="240" w:lineRule="auto"/>
        <w:ind w:firstLine="0"/>
        <w:rPr>
          <w:lang w:val="pt-BR"/>
        </w:rPr>
      </w:pPr>
      <w:r w:rsidRPr="00C05536">
        <w:rPr>
          <w:lang w:val="pt-BR"/>
        </w:rPr>
        <w:t xml:space="preserve">     Por sua vez, os experimentos em regime transiente de temperatura na DRM, indicam </w:t>
      </w:r>
      <w:r w:rsidR="002B098B">
        <w:rPr>
          <w:lang w:val="pt-BR"/>
        </w:rPr>
        <w:t>uma tendencia diversa: as amostras 0-Si e 48-Si apresentaram menores temperaturas de ativação</w:t>
      </w:r>
      <w:r w:rsidRPr="51225D74">
        <w:rPr>
          <w:lang w:val="pt-BR"/>
        </w:rPr>
        <w:t>.</w:t>
      </w:r>
      <w:r w:rsidR="002B098B">
        <w:rPr>
          <w:lang w:val="pt-BR"/>
        </w:rPr>
        <w:t xml:space="preserve"> Ora, </w:t>
      </w:r>
      <w:r w:rsidR="0074154A">
        <w:rPr>
          <w:lang w:val="pt-BR"/>
        </w:rPr>
        <w:t>nesse caso, tem-se a presença do CO</w:t>
      </w:r>
      <w:r w:rsidR="0074154A">
        <w:rPr>
          <w:vertAlign w:val="subscript"/>
          <w:lang w:val="pt-BR"/>
        </w:rPr>
        <w:t>2</w:t>
      </w:r>
      <w:r w:rsidR="0074154A">
        <w:rPr>
          <w:lang w:val="pt-BR"/>
        </w:rPr>
        <w:t xml:space="preserve">, </w:t>
      </w:r>
      <w:r w:rsidR="0074154A">
        <w:rPr>
          <w:lang w:val="pt-BR"/>
        </w:rPr>
        <w:lastRenderedPageBreak/>
        <w:t xml:space="preserve">molécula com capacidade oxidativa. </w:t>
      </w:r>
      <w:r w:rsidR="00B0265A">
        <w:rPr>
          <w:lang w:val="pt-BR"/>
        </w:rPr>
        <w:t xml:space="preserve">Possivelmente um número maior de espécies de níquel foi reoxidada a estados catiônicos, favorecendo mecanismos de combustão e possibilitando o </w:t>
      </w:r>
      <w:r w:rsidR="000232B0">
        <w:rPr>
          <w:lang w:val="pt-BR"/>
        </w:rPr>
        <w:t>início</w:t>
      </w:r>
      <w:r w:rsidR="00B0265A">
        <w:rPr>
          <w:lang w:val="pt-BR"/>
        </w:rPr>
        <w:t xml:space="preserve"> da DRM em temperaturas inferiores (até por questões de equilíbrio químico – excesso de CO</w:t>
      </w:r>
      <w:r w:rsidR="00B0265A">
        <w:rPr>
          <w:vertAlign w:val="subscript"/>
          <w:lang w:val="pt-BR"/>
        </w:rPr>
        <w:t>2</w:t>
      </w:r>
      <w:r w:rsidR="00B0265A">
        <w:rPr>
          <w:lang w:val="pt-BR"/>
        </w:rPr>
        <w:t xml:space="preserve">). </w:t>
      </w:r>
      <w:r w:rsidR="000232B0">
        <w:rPr>
          <w:lang w:val="pt-BR"/>
        </w:rPr>
        <w:t>Ambos os experimentos</w:t>
      </w:r>
      <w:r w:rsidR="00B0265A">
        <w:rPr>
          <w:lang w:val="pt-BR"/>
        </w:rPr>
        <w:t xml:space="preserve"> </w:t>
      </w:r>
      <w:r w:rsidR="000232B0">
        <w:rPr>
          <w:lang w:val="pt-BR"/>
        </w:rPr>
        <w:t>se coadunam</w:t>
      </w:r>
      <w:r w:rsidR="00B0265A">
        <w:rPr>
          <w:lang w:val="pt-BR"/>
        </w:rPr>
        <w:t xml:space="preserve"> para um</w:t>
      </w:r>
      <w:r w:rsidR="000232B0">
        <w:rPr>
          <w:lang w:val="pt-BR"/>
        </w:rPr>
        <w:t xml:space="preserve">a hipótese: a ligação </w:t>
      </w:r>
      <w:proofErr w:type="spellStart"/>
      <w:r w:rsidR="000232B0">
        <w:rPr>
          <w:lang w:val="pt-BR"/>
        </w:rPr>
        <w:t>Si-Ni</w:t>
      </w:r>
      <w:proofErr w:type="spellEnd"/>
      <w:r w:rsidR="000232B0">
        <w:rPr>
          <w:lang w:val="pt-BR"/>
        </w:rPr>
        <w:t xml:space="preserve"> nas amostras NiPS e 24-Si deve ser mais intensa, de forma geral, que nas demais amostras.</w:t>
      </w:r>
    </w:p>
    <w:p w14:paraId="15B9F7CB" w14:textId="77777777" w:rsidR="00051E76" w:rsidRDefault="00051E76" w:rsidP="000536F7">
      <w:pPr>
        <w:pStyle w:val="TAMainText"/>
        <w:spacing w:line="240" w:lineRule="auto"/>
        <w:ind w:firstLine="0"/>
        <w:rPr>
          <w:lang w:val="pt-BR"/>
        </w:rPr>
      </w:pPr>
    </w:p>
    <w:p w14:paraId="4FF7B448" w14:textId="0DFEB27E" w:rsidR="000536F7" w:rsidRPr="00AD5EF9" w:rsidRDefault="000536F7" w:rsidP="000536F7">
      <w:pPr>
        <w:pStyle w:val="VDTableTitle"/>
        <w:spacing w:after="120" w:line="240" w:lineRule="auto"/>
        <w:jc w:val="both"/>
        <w:rPr>
          <w:rFonts w:ascii="Times New Roman" w:hAnsi="Times New Roman"/>
          <w:lang w:val="pt-BR"/>
        </w:rPr>
      </w:pPr>
      <w:r w:rsidRPr="006E33D9">
        <w:rPr>
          <w:rFonts w:ascii="Times New Roman" w:hAnsi="Times New Roman"/>
          <w:b/>
          <w:bCs/>
          <w:lang w:val="pt-BR"/>
        </w:rPr>
        <w:t xml:space="preserve">Tabela 2. </w:t>
      </w:r>
      <w:r w:rsidRPr="006E33D9">
        <w:rPr>
          <w:rFonts w:ascii="Times New Roman" w:hAnsi="Times New Roman"/>
          <w:lang w:val="pt-BR"/>
        </w:rPr>
        <w:t>Temperatura</w:t>
      </w:r>
      <w:r w:rsidRPr="51225D74">
        <w:rPr>
          <w:rFonts w:ascii="Times New Roman" w:hAnsi="Times New Roman"/>
          <w:lang w:val="pt-BR"/>
        </w:rPr>
        <w:t xml:space="preserve"> para os eventos verificados nos experimentos de TPSR-DRM e TPC-CH</w:t>
      </w:r>
      <w:r w:rsidRPr="51225D74">
        <w:rPr>
          <w:rFonts w:ascii="Times New Roman" w:hAnsi="Times New Roman"/>
          <w:vertAlign w:val="subscript"/>
          <w:lang w:val="pt-BR"/>
        </w:rPr>
        <w:t>4</w:t>
      </w:r>
    </w:p>
    <w:tbl>
      <w:tblPr>
        <w:tblW w:w="368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6"/>
        <w:gridCol w:w="851"/>
        <w:gridCol w:w="1134"/>
      </w:tblGrid>
      <w:tr w:rsidR="00A57919" w:rsidRPr="00072C7A" w14:paraId="12C9789F" w14:textId="77777777" w:rsidTr="00A57919">
        <w:trPr>
          <w:jc w:val="center"/>
        </w:trPr>
        <w:tc>
          <w:tcPr>
            <w:tcW w:w="1696" w:type="dxa"/>
            <w:vAlign w:val="center"/>
          </w:tcPr>
          <w:p w14:paraId="6CCC1F85" w14:textId="77777777" w:rsidR="00A57919" w:rsidRPr="00103F34" w:rsidRDefault="00A57919" w:rsidP="00C30D7C">
            <w:pPr>
              <w:pStyle w:val="TCTableBody"/>
              <w:spacing w:after="0" w:line="240" w:lineRule="auto"/>
              <w:jc w:val="center"/>
              <w:rPr>
                <w:b/>
                <w:bCs/>
                <w:lang w:val="pt-BR"/>
              </w:rPr>
            </w:pPr>
            <w:r w:rsidRPr="00103F34">
              <w:rPr>
                <w:b/>
                <w:bCs/>
                <w:lang w:val="pt-BR"/>
              </w:rPr>
              <w:t>Catalisador</w:t>
            </w:r>
          </w:p>
        </w:tc>
        <w:tc>
          <w:tcPr>
            <w:tcW w:w="851" w:type="dxa"/>
            <w:vAlign w:val="center"/>
          </w:tcPr>
          <w:p w14:paraId="6DE22AB3" w14:textId="77777777" w:rsidR="00A57919" w:rsidRPr="00103F34" w:rsidRDefault="00A57919" w:rsidP="00C30D7C">
            <w:pPr>
              <w:pStyle w:val="TCTableBody"/>
              <w:spacing w:after="0" w:line="240" w:lineRule="auto"/>
              <w:jc w:val="center"/>
              <w:rPr>
                <w:b/>
                <w:bCs/>
                <w:lang w:val="pt-BR"/>
              </w:rPr>
            </w:pPr>
            <w:r>
              <w:rPr>
                <w:b/>
                <w:bCs/>
                <w:lang w:val="pt-BR"/>
              </w:rPr>
              <w:t>TPC ativação (°C)</w:t>
            </w:r>
          </w:p>
        </w:tc>
        <w:tc>
          <w:tcPr>
            <w:tcW w:w="1134" w:type="dxa"/>
            <w:vAlign w:val="center"/>
          </w:tcPr>
          <w:p w14:paraId="732FFB52" w14:textId="6BC4CB95" w:rsidR="00A57919" w:rsidRDefault="00A57919" w:rsidP="00C30D7C">
            <w:pPr>
              <w:pStyle w:val="TCTableBody"/>
              <w:spacing w:after="0" w:line="240" w:lineRule="auto"/>
              <w:jc w:val="center"/>
              <w:rPr>
                <w:b/>
                <w:bCs/>
                <w:lang w:val="pt-BR"/>
              </w:rPr>
            </w:pPr>
            <w:r>
              <w:rPr>
                <w:b/>
                <w:bCs/>
                <w:lang w:val="pt-BR"/>
              </w:rPr>
              <w:t xml:space="preserve">TPSR </w:t>
            </w:r>
            <w:r w:rsidR="00D41CAF">
              <w:rPr>
                <w:b/>
                <w:bCs/>
                <w:lang w:val="pt-BR"/>
              </w:rPr>
              <w:t>ativação</w:t>
            </w:r>
            <w:r>
              <w:rPr>
                <w:b/>
                <w:bCs/>
                <w:lang w:val="pt-BR"/>
              </w:rPr>
              <w:t xml:space="preserve"> (°C)</w:t>
            </w:r>
          </w:p>
        </w:tc>
      </w:tr>
      <w:tr w:rsidR="00A57919" w:rsidRPr="00072C7A" w14:paraId="14A1E05D" w14:textId="77777777" w:rsidTr="00A57919">
        <w:trPr>
          <w:trHeight w:val="454"/>
          <w:jc w:val="center"/>
        </w:trPr>
        <w:tc>
          <w:tcPr>
            <w:tcW w:w="1696" w:type="dxa"/>
            <w:tcBorders>
              <w:bottom w:val="single" w:sz="6" w:space="0" w:color="auto"/>
            </w:tcBorders>
            <w:vAlign w:val="center"/>
          </w:tcPr>
          <w:p w14:paraId="56251ABE" w14:textId="77777777" w:rsidR="00A57919" w:rsidRDefault="00A57919" w:rsidP="00C30D7C">
            <w:pPr>
              <w:pStyle w:val="TCTableBody"/>
              <w:spacing w:after="0" w:line="240" w:lineRule="auto"/>
              <w:jc w:val="center"/>
              <w:rPr>
                <w:lang w:val="pt-BR"/>
              </w:rPr>
            </w:pPr>
            <w:proofErr w:type="spellStart"/>
            <w:r>
              <w:rPr>
                <w:lang w:val="pt-BR"/>
              </w:rPr>
              <w:t>Si@NiPS</w:t>
            </w:r>
            <w:proofErr w:type="spellEnd"/>
          </w:p>
        </w:tc>
        <w:tc>
          <w:tcPr>
            <w:tcW w:w="851" w:type="dxa"/>
            <w:tcBorders>
              <w:bottom w:val="single" w:sz="6" w:space="0" w:color="auto"/>
            </w:tcBorders>
            <w:vAlign w:val="center"/>
          </w:tcPr>
          <w:p w14:paraId="687FC097" w14:textId="77777777" w:rsidR="00A57919" w:rsidRDefault="00A57919" w:rsidP="00C30D7C">
            <w:pPr>
              <w:pStyle w:val="TCTableBody"/>
              <w:spacing w:after="0" w:line="240" w:lineRule="auto"/>
              <w:jc w:val="center"/>
              <w:rPr>
                <w:lang w:val="pt-BR"/>
              </w:rPr>
            </w:pPr>
            <w:r w:rsidRPr="00767928">
              <w:t>248,1</w:t>
            </w:r>
          </w:p>
        </w:tc>
        <w:tc>
          <w:tcPr>
            <w:tcW w:w="1134" w:type="dxa"/>
            <w:tcBorders>
              <w:bottom w:val="single" w:sz="6" w:space="0" w:color="auto"/>
            </w:tcBorders>
            <w:vAlign w:val="center"/>
          </w:tcPr>
          <w:p w14:paraId="5AB2B3A0" w14:textId="77777777" w:rsidR="00A57919" w:rsidRPr="003A200D" w:rsidRDefault="00A57919" w:rsidP="00C30D7C">
            <w:pPr>
              <w:pStyle w:val="TCTableBody"/>
              <w:spacing w:after="0" w:line="240" w:lineRule="auto"/>
              <w:jc w:val="center"/>
            </w:pPr>
            <w:r w:rsidRPr="002170F8">
              <w:t>301,5</w:t>
            </w:r>
          </w:p>
        </w:tc>
      </w:tr>
      <w:tr w:rsidR="00A57919" w:rsidRPr="00072C7A" w14:paraId="3BA5E0F0" w14:textId="77777777" w:rsidTr="00A57919">
        <w:trPr>
          <w:trHeight w:val="454"/>
          <w:jc w:val="center"/>
        </w:trPr>
        <w:tc>
          <w:tcPr>
            <w:tcW w:w="1696" w:type="dxa"/>
            <w:tcBorders>
              <w:bottom w:val="single" w:sz="6" w:space="0" w:color="auto"/>
            </w:tcBorders>
            <w:vAlign w:val="center"/>
          </w:tcPr>
          <w:p w14:paraId="2128FE18" w14:textId="77777777" w:rsidR="00A57919" w:rsidRPr="00AD332C" w:rsidRDefault="00A57919" w:rsidP="00C30D7C">
            <w:pPr>
              <w:pStyle w:val="TCTableBody"/>
              <w:spacing w:after="0" w:line="240" w:lineRule="auto"/>
              <w:jc w:val="center"/>
              <w:rPr>
                <w:lang w:val="pt-BR"/>
              </w:rPr>
            </w:pPr>
            <w:r>
              <w:rPr>
                <w:lang w:val="pt-BR"/>
              </w:rPr>
              <w:t>0-Si@NiPS@SiO</w:t>
            </w:r>
            <w:r>
              <w:rPr>
                <w:vertAlign w:val="subscript"/>
                <w:lang w:val="pt-BR"/>
              </w:rPr>
              <w:t>2</w:t>
            </w:r>
          </w:p>
        </w:tc>
        <w:tc>
          <w:tcPr>
            <w:tcW w:w="851" w:type="dxa"/>
            <w:tcBorders>
              <w:bottom w:val="single" w:sz="6" w:space="0" w:color="auto"/>
            </w:tcBorders>
            <w:vAlign w:val="center"/>
          </w:tcPr>
          <w:p w14:paraId="3CA89BF0" w14:textId="77777777" w:rsidR="00A57919" w:rsidRDefault="00A57919" w:rsidP="00C30D7C">
            <w:pPr>
              <w:pStyle w:val="TCTableBody"/>
              <w:spacing w:after="0" w:line="240" w:lineRule="auto"/>
              <w:jc w:val="center"/>
              <w:rPr>
                <w:lang w:val="pt-BR"/>
              </w:rPr>
            </w:pPr>
            <w:r>
              <w:rPr>
                <w:lang w:val="pt-BR"/>
              </w:rPr>
              <w:t>278,8</w:t>
            </w:r>
          </w:p>
        </w:tc>
        <w:tc>
          <w:tcPr>
            <w:tcW w:w="1134" w:type="dxa"/>
            <w:tcBorders>
              <w:bottom w:val="single" w:sz="6" w:space="0" w:color="auto"/>
            </w:tcBorders>
            <w:vAlign w:val="center"/>
          </w:tcPr>
          <w:p w14:paraId="772E05EA" w14:textId="77777777" w:rsidR="00A57919" w:rsidRPr="003A200D" w:rsidRDefault="00A57919" w:rsidP="00C30D7C">
            <w:pPr>
              <w:pStyle w:val="TCTableBody"/>
              <w:spacing w:after="0" w:line="240" w:lineRule="auto"/>
              <w:jc w:val="center"/>
            </w:pPr>
            <w:r w:rsidRPr="002170F8">
              <w:t>290,1</w:t>
            </w:r>
          </w:p>
        </w:tc>
      </w:tr>
      <w:tr w:rsidR="00A57919" w:rsidRPr="00072C7A" w14:paraId="1D394654" w14:textId="77777777" w:rsidTr="00A57919">
        <w:trPr>
          <w:trHeight w:val="454"/>
          <w:jc w:val="center"/>
        </w:trPr>
        <w:tc>
          <w:tcPr>
            <w:tcW w:w="1696" w:type="dxa"/>
            <w:tcBorders>
              <w:bottom w:val="single" w:sz="6" w:space="0" w:color="auto"/>
            </w:tcBorders>
            <w:vAlign w:val="center"/>
          </w:tcPr>
          <w:p w14:paraId="65B325A3" w14:textId="77777777" w:rsidR="00A57919" w:rsidRDefault="00A57919" w:rsidP="00C30D7C">
            <w:pPr>
              <w:pStyle w:val="TCTableBody"/>
              <w:spacing w:after="0" w:line="240" w:lineRule="auto"/>
              <w:jc w:val="center"/>
              <w:rPr>
                <w:lang w:val="pt-BR"/>
              </w:rPr>
            </w:pPr>
            <w:r>
              <w:rPr>
                <w:lang w:val="pt-BR"/>
              </w:rPr>
              <w:t>24-Si@NiPS@SiO</w:t>
            </w:r>
            <w:r>
              <w:rPr>
                <w:vertAlign w:val="subscript"/>
                <w:lang w:val="pt-BR"/>
              </w:rPr>
              <w:t>2</w:t>
            </w:r>
          </w:p>
        </w:tc>
        <w:tc>
          <w:tcPr>
            <w:tcW w:w="851" w:type="dxa"/>
            <w:tcBorders>
              <w:bottom w:val="single" w:sz="6" w:space="0" w:color="auto"/>
            </w:tcBorders>
            <w:vAlign w:val="center"/>
          </w:tcPr>
          <w:p w14:paraId="24B7BEE0" w14:textId="36915BA2" w:rsidR="00A57919" w:rsidRDefault="00A57919" w:rsidP="00C30D7C">
            <w:pPr>
              <w:pStyle w:val="TCTableBody"/>
              <w:spacing w:after="0" w:line="240" w:lineRule="auto"/>
              <w:jc w:val="center"/>
              <w:rPr>
                <w:lang w:val="pt-BR"/>
              </w:rPr>
            </w:pPr>
            <w:r>
              <w:rPr>
                <w:lang w:val="pt-BR"/>
              </w:rPr>
              <w:t>230,5</w:t>
            </w:r>
          </w:p>
        </w:tc>
        <w:tc>
          <w:tcPr>
            <w:tcW w:w="1134" w:type="dxa"/>
            <w:tcBorders>
              <w:bottom w:val="single" w:sz="6" w:space="0" w:color="auto"/>
            </w:tcBorders>
            <w:vAlign w:val="center"/>
          </w:tcPr>
          <w:p w14:paraId="187009EB" w14:textId="77777777" w:rsidR="00A57919" w:rsidRPr="003A200D" w:rsidRDefault="00A57919" w:rsidP="00C30D7C">
            <w:pPr>
              <w:pStyle w:val="TCTableBody"/>
              <w:spacing w:after="0" w:line="240" w:lineRule="auto"/>
              <w:jc w:val="center"/>
            </w:pPr>
            <w:r w:rsidRPr="002170F8">
              <w:t>278,4</w:t>
            </w:r>
          </w:p>
        </w:tc>
      </w:tr>
      <w:tr w:rsidR="00A57919" w:rsidRPr="00072C7A" w14:paraId="60C504D4" w14:textId="77777777" w:rsidTr="00A57919">
        <w:trPr>
          <w:trHeight w:val="454"/>
          <w:jc w:val="center"/>
        </w:trPr>
        <w:tc>
          <w:tcPr>
            <w:tcW w:w="1696" w:type="dxa"/>
            <w:tcBorders>
              <w:bottom w:val="single" w:sz="6" w:space="0" w:color="auto"/>
            </w:tcBorders>
            <w:vAlign w:val="center"/>
          </w:tcPr>
          <w:p w14:paraId="394BC2B5" w14:textId="77777777" w:rsidR="00A57919" w:rsidRDefault="00A57919" w:rsidP="00C30D7C">
            <w:pPr>
              <w:pStyle w:val="TCTableBody"/>
              <w:spacing w:after="0" w:line="240" w:lineRule="auto"/>
              <w:jc w:val="center"/>
              <w:rPr>
                <w:lang w:val="pt-BR"/>
              </w:rPr>
            </w:pPr>
            <w:r>
              <w:rPr>
                <w:lang w:val="pt-BR"/>
              </w:rPr>
              <w:t>48-Si@NiPS@SiO</w:t>
            </w:r>
            <w:r>
              <w:rPr>
                <w:vertAlign w:val="subscript"/>
                <w:lang w:val="pt-BR"/>
              </w:rPr>
              <w:t>2</w:t>
            </w:r>
          </w:p>
        </w:tc>
        <w:tc>
          <w:tcPr>
            <w:tcW w:w="851" w:type="dxa"/>
            <w:tcBorders>
              <w:bottom w:val="single" w:sz="6" w:space="0" w:color="auto"/>
            </w:tcBorders>
            <w:vAlign w:val="center"/>
          </w:tcPr>
          <w:p w14:paraId="2A796A74" w14:textId="0072E3E5" w:rsidR="00A57919" w:rsidRDefault="00235872" w:rsidP="00C30D7C">
            <w:pPr>
              <w:pStyle w:val="TCTableBody"/>
              <w:spacing w:after="0" w:line="240" w:lineRule="auto"/>
              <w:jc w:val="center"/>
              <w:rPr>
                <w:lang w:val="pt-BR"/>
              </w:rPr>
            </w:pPr>
            <w:r>
              <w:rPr>
                <w:lang w:val="pt-BR"/>
              </w:rPr>
              <w:t>----</w:t>
            </w:r>
          </w:p>
        </w:tc>
        <w:tc>
          <w:tcPr>
            <w:tcW w:w="1134" w:type="dxa"/>
            <w:tcBorders>
              <w:bottom w:val="single" w:sz="6" w:space="0" w:color="auto"/>
            </w:tcBorders>
            <w:vAlign w:val="center"/>
          </w:tcPr>
          <w:p w14:paraId="02611090" w14:textId="77777777" w:rsidR="00A57919" w:rsidRPr="003A200D" w:rsidRDefault="00A57919" w:rsidP="00C30D7C">
            <w:pPr>
              <w:pStyle w:val="TCTableBody"/>
              <w:spacing w:after="0" w:line="240" w:lineRule="auto"/>
              <w:jc w:val="center"/>
            </w:pPr>
            <w:r w:rsidRPr="002170F8">
              <w:t>253,5</w:t>
            </w:r>
          </w:p>
        </w:tc>
      </w:tr>
    </w:tbl>
    <w:p w14:paraId="11801C4F" w14:textId="0DFEB27E" w:rsidR="000536F7" w:rsidRDefault="000536F7" w:rsidP="004D386C">
      <w:pPr>
        <w:pStyle w:val="TAMainText"/>
        <w:spacing w:line="240" w:lineRule="auto"/>
        <w:ind w:firstLine="0"/>
        <w:rPr>
          <w:lang w:val="pt-BR"/>
        </w:rPr>
      </w:pPr>
    </w:p>
    <w:p w14:paraId="2FEA5E38" w14:textId="597E05D7" w:rsidR="004D386C" w:rsidRPr="008E1218" w:rsidRDefault="004D386C" w:rsidP="008E1218">
      <w:pPr>
        <w:pStyle w:val="TAMainText"/>
        <w:spacing w:after="240" w:line="240" w:lineRule="auto"/>
        <w:ind w:firstLine="0"/>
        <w:rPr>
          <w:b/>
          <w:i/>
          <w:lang w:val="pt-BR"/>
        </w:rPr>
      </w:pPr>
      <w:r w:rsidRPr="009A04BD">
        <w:rPr>
          <w:b/>
          <w:i/>
          <w:lang w:val="pt-BR"/>
        </w:rPr>
        <w:t>Avaliação catalítica – DRM a baixas temperaturas</w:t>
      </w:r>
    </w:p>
    <w:p w14:paraId="3F820CE7" w14:textId="43850631" w:rsidR="000536F7" w:rsidRDefault="000536F7" w:rsidP="00CE3CC8">
      <w:pPr>
        <w:pStyle w:val="TAMainText"/>
        <w:spacing w:line="240" w:lineRule="auto"/>
        <w:ind w:firstLine="0"/>
        <w:rPr>
          <w:lang w:val="pt-BR"/>
        </w:rPr>
      </w:pPr>
      <w:r>
        <w:rPr>
          <w:lang w:val="pt-BR"/>
        </w:rPr>
        <w:t xml:space="preserve">    </w:t>
      </w:r>
      <w:r w:rsidR="004D386C">
        <w:rPr>
          <w:lang w:val="pt-BR"/>
        </w:rPr>
        <w:t xml:space="preserve">Os dados relativos aos experimentos </w:t>
      </w:r>
      <w:r>
        <w:rPr>
          <w:lang w:val="pt-BR"/>
        </w:rPr>
        <w:t xml:space="preserve">de longa duração na DRM estão dispostos na Figura </w:t>
      </w:r>
      <w:r w:rsidR="00263C30">
        <w:rPr>
          <w:lang w:val="pt-BR"/>
        </w:rPr>
        <w:t>6</w:t>
      </w:r>
      <w:r>
        <w:rPr>
          <w:lang w:val="pt-BR"/>
        </w:rPr>
        <w:t>.</w:t>
      </w:r>
    </w:p>
    <w:p w14:paraId="6A9C2C7D" w14:textId="542A4834" w:rsidR="0014343C" w:rsidRDefault="004D386C" w:rsidP="00CE3CC8">
      <w:pPr>
        <w:pStyle w:val="TAMainText"/>
        <w:spacing w:line="240" w:lineRule="auto"/>
        <w:ind w:firstLine="0"/>
        <w:rPr>
          <w:lang w:val="pt-BR"/>
        </w:rPr>
      </w:pPr>
      <w:r>
        <w:rPr>
          <w:lang w:val="pt-BR"/>
        </w:rPr>
        <w:t xml:space="preserve">    </w:t>
      </w:r>
      <w:r w:rsidR="000536F7">
        <w:rPr>
          <w:lang w:val="pt-BR"/>
        </w:rPr>
        <w:t>Os testes catalíticos</w:t>
      </w:r>
      <w:r w:rsidR="006C19F1">
        <w:rPr>
          <w:lang w:val="pt-BR"/>
        </w:rPr>
        <w:t xml:space="preserve"> em condições de baixa temperatura evidenciaram que o tempo de hidrólise influencia significativamente a atividade dos materiais e sua resistência à desativação. Devido à alta potencialidade a ocorrer reações de coqueamento na DRM, espera-se que essa seja a principal condição de desativação dos materiais.</w:t>
      </w:r>
    </w:p>
    <w:p w14:paraId="1BFE4E78" w14:textId="77777777" w:rsidR="000232B0" w:rsidRDefault="000232B0" w:rsidP="000232B0">
      <w:pPr>
        <w:pStyle w:val="TAMainText"/>
        <w:spacing w:line="240" w:lineRule="auto"/>
        <w:ind w:firstLine="0"/>
        <w:rPr>
          <w:lang w:val="pt-BR"/>
        </w:rPr>
      </w:pPr>
      <w:r>
        <w:rPr>
          <w:lang w:val="pt-BR"/>
        </w:rPr>
        <w:t xml:space="preserve">     Por sua vez, segundo Li (2014)</w:t>
      </w:r>
      <w:r w:rsidRPr="00B507A5">
        <w:rPr>
          <w:lang w:val="pt-BR"/>
        </w:rPr>
        <w:t>,</w:t>
      </w:r>
      <w:r>
        <w:rPr>
          <w:lang w:val="pt-BR"/>
        </w:rPr>
        <w:t xml:space="preserve"> o tamanho da </w:t>
      </w:r>
      <w:r w:rsidRPr="009C6702">
        <w:rPr>
          <w:i/>
          <w:lang w:val="pt-BR"/>
        </w:rPr>
        <w:t>shell</w:t>
      </w:r>
      <w:r>
        <w:rPr>
          <w:lang w:val="pt-BR"/>
        </w:rPr>
        <w:t xml:space="preserve"> está intrinsicamente ligado à resistência dos catalisadores: estruturas muito finas são frágeis e podem romper após tratamento térmico expondo as partículas e favorecendo aglutinações; as muito espessas podem dificultar a </w:t>
      </w:r>
      <w:r w:rsidRPr="00C05536">
        <w:rPr>
          <w:lang w:val="pt-BR"/>
        </w:rPr>
        <w:t xml:space="preserve">eliminação do carbono gerado, promovendo o entupimento dos poros e sinterização das nanopartículas de catalisador gerando inacesso aos sítios ativos. </w:t>
      </w:r>
      <w:r>
        <w:rPr>
          <w:lang w:val="pt-BR"/>
        </w:rPr>
        <w:t xml:space="preserve">O próprio silício lixiviado poderia recombinar-se formando estruturas complexas e impedindo o acesso ao níquel. </w:t>
      </w:r>
    </w:p>
    <w:p w14:paraId="4012601F" w14:textId="03041706" w:rsidR="000232B0" w:rsidRDefault="000232B0" w:rsidP="00CE3CC8">
      <w:pPr>
        <w:pStyle w:val="TAMainText"/>
        <w:spacing w:line="240" w:lineRule="auto"/>
        <w:ind w:firstLine="0"/>
        <w:rPr>
          <w:lang w:val="pt-BR"/>
        </w:rPr>
      </w:pPr>
      <w:r>
        <w:rPr>
          <w:lang w:val="pt-BR"/>
        </w:rPr>
        <w:t xml:space="preserve">     </w:t>
      </w:r>
      <w:r w:rsidRPr="00C05536">
        <w:rPr>
          <w:lang w:val="pt-BR"/>
        </w:rPr>
        <w:t xml:space="preserve">Logo, os dados da Figura </w:t>
      </w:r>
      <w:r w:rsidR="00263C30">
        <w:rPr>
          <w:lang w:val="pt-BR"/>
        </w:rPr>
        <w:t>6</w:t>
      </w:r>
      <w:r>
        <w:rPr>
          <w:lang w:val="pt-BR"/>
        </w:rPr>
        <w:t xml:space="preserve"> e os experimentos de HRTEM,</w:t>
      </w:r>
      <w:r w:rsidRPr="00C05536">
        <w:rPr>
          <w:lang w:val="pt-BR"/>
        </w:rPr>
        <w:t xml:space="preserve"> parecem corroborar esses resultados: o tempo de hidrólise/estruturação intermediário promoveu melhora na performance catalítica em relação à </w:t>
      </w:r>
      <w:proofErr w:type="spellStart"/>
      <w:r w:rsidRPr="00C05536">
        <w:rPr>
          <w:lang w:val="pt-BR"/>
        </w:rPr>
        <w:t>Si@NiPS</w:t>
      </w:r>
      <w:proofErr w:type="spellEnd"/>
      <w:r w:rsidRPr="00C05536">
        <w:rPr>
          <w:lang w:val="pt-BR"/>
        </w:rPr>
        <w:t xml:space="preserve">, enquanto ambos os extremos </w:t>
      </w:r>
      <w:r>
        <w:rPr>
          <w:lang w:val="pt-BR"/>
        </w:rPr>
        <w:t xml:space="preserve">apresentaram perdas tanto em termos de atividade quanto desativação. Além disso, as imagens de HRTEM demonstram que estruturas deformadas começam a aparecer de forma significativa com o aumento do tempo de hidrólise. Tais estruturas colaboram para uma perda de atividade e para a diminuição do efeito protetor core@shell (confinamento). </w:t>
      </w:r>
    </w:p>
    <w:p w14:paraId="44BC4986" w14:textId="0C696304" w:rsidR="00967B35" w:rsidRDefault="00967B35" w:rsidP="00CE3CC8">
      <w:pPr>
        <w:pStyle w:val="TAMainText"/>
        <w:spacing w:line="240" w:lineRule="auto"/>
        <w:ind w:firstLine="0"/>
        <w:rPr>
          <w:lang w:val="pt-BR"/>
        </w:rPr>
      </w:pPr>
      <w:r>
        <w:rPr>
          <w:lang w:val="pt-BR"/>
        </w:rPr>
        <w:t xml:space="preserve">     </w:t>
      </w:r>
      <w:r>
        <w:rPr>
          <w:lang w:val="pt-BR"/>
        </w:rPr>
        <w:t>Verifica-se ainda, que a 24-Si@NiPS@SiO</w:t>
      </w:r>
      <w:r>
        <w:rPr>
          <w:vertAlign w:val="subscript"/>
          <w:lang w:val="pt-BR"/>
        </w:rPr>
        <w:t>2</w:t>
      </w:r>
      <w:r>
        <w:rPr>
          <w:lang w:val="pt-BR"/>
        </w:rPr>
        <w:t xml:space="preserve"> também apresentou um maior rendimento à H</w:t>
      </w:r>
      <w:r>
        <w:rPr>
          <w:lang w:val="pt-BR"/>
        </w:rPr>
        <w:softHyphen/>
      </w:r>
      <w:r>
        <w:rPr>
          <w:vertAlign w:val="subscript"/>
          <w:lang w:val="pt-BR"/>
        </w:rPr>
        <w:t>2</w:t>
      </w:r>
      <w:r>
        <w:rPr>
          <w:lang w:val="pt-BR"/>
        </w:rPr>
        <w:t xml:space="preserve">, evidenciando que o </w:t>
      </w:r>
      <w:r>
        <w:rPr>
          <w:lang w:val="pt-BR"/>
        </w:rPr>
        <w:t xml:space="preserve">aumento de conversão foi direcionado à produção de elementos úteis, além de não apresentar sinais de desativação ao longo das 16h de experimento. Esse cenário é intensificado quando os valores de conversão são colocados em termos relativos à massa de níquel redutível, uma vez </w:t>
      </w:r>
      <w:r w:rsidRPr="00D90868">
        <w:rPr>
          <w:lang w:val="pt-BR"/>
        </w:rPr>
        <w:t xml:space="preserve">que a 24-Si apresentou o menor valor se comparada as demais (Ver </w:t>
      </w:r>
      <w:r>
        <w:rPr>
          <w:lang w:val="pt-BR"/>
        </w:rPr>
        <w:t>T</w:t>
      </w:r>
      <w:r w:rsidRPr="00D90868">
        <w:rPr>
          <w:lang w:val="pt-BR"/>
        </w:rPr>
        <w:t>abela</w:t>
      </w:r>
      <w:r>
        <w:rPr>
          <w:lang w:val="pt-BR"/>
        </w:rPr>
        <w:t xml:space="preserve"> 1</w:t>
      </w:r>
      <w:r w:rsidRPr="00D90868">
        <w:rPr>
          <w:lang w:val="pt-BR"/>
        </w:rPr>
        <w:t>).</w:t>
      </w:r>
      <w:r>
        <w:rPr>
          <w:lang w:val="pt-BR"/>
        </w:rPr>
        <w:t xml:space="preserve"> </w:t>
      </w:r>
    </w:p>
    <w:p w14:paraId="7CD2231A" w14:textId="4FD7BA32" w:rsidR="001D417D" w:rsidRDefault="001D417D" w:rsidP="000232B0">
      <w:pPr>
        <w:pStyle w:val="SemEspaamento"/>
        <w:jc w:val="center"/>
        <w:rPr>
          <w:i/>
        </w:rPr>
      </w:pPr>
      <w:r>
        <w:rPr>
          <w:noProof/>
        </w:rPr>
        <w:drawing>
          <wp:inline distT="0" distB="0" distL="0" distR="0" wp14:anchorId="220EDF4A" wp14:editId="167F7A48">
            <wp:extent cx="3282862" cy="5176300"/>
            <wp:effectExtent l="0" t="0" r="0" b="5715"/>
            <wp:docPr id="16" name="Imagem 16"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Uma imagem contendo Texto&#10;&#10;Descrição gerad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4516" cy="5273514"/>
                    </a:xfrm>
                    <a:prstGeom prst="rect">
                      <a:avLst/>
                    </a:prstGeom>
                    <a:noFill/>
                  </pic:spPr>
                </pic:pic>
              </a:graphicData>
            </a:graphic>
          </wp:inline>
        </w:drawing>
      </w:r>
    </w:p>
    <w:p w14:paraId="272FACFF" w14:textId="2621EB6A" w:rsidR="00C87542" w:rsidRPr="00C87542" w:rsidRDefault="51225D74" w:rsidP="00C87542">
      <w:pPr>
        <w:pStyle w:val="VAFigureCaption"/>
        <w:spacing w:before="0" w:after="240" w:line="240" w:lineRule="auto"/>
        <w:rPr>
          <w:rFonts w:ascii="Times New Roman" w:hAnsi="Times New Roman"/>
          <w:lang w:val="pt-BR"/>
        </w:rPr>
      </w:pPr>
      <w:r w:rsidRPr="51225D74">
        <w:rPr>
          <w:rFonts w:ascii="Times New Roman" w:hAnsi="Times New Roman"/>
          <w:b/>
          <w:bCs/>
          <w:lang w:val="pt-BR"/>
        </w:rPr>
        <w:t xml:space="preserve">Figura </w:t>
      </w:r>
      <w:r w:rsidR="00263C30">
        <w:rPr>
          <w:rFonts w:ascii="Times New Roman" w:hAnsi="Times New Roman"/>
          <w:b/>
          <w:bCs/>
          <w:lang w:val="pt-BR"/>
        </w:rPr>
        <w:t>6</w:t>
      </w:r>
      <w:r w:rsidRPr="51225D74">
        <w:rPr>
          <w:rFonts w:ascii="Times New Roman" w:hAnsi="Times New Roman"/>
          <w:b/>
          <w:bCs/>
          <w:lang w:val="pt-BR"/>
        </w:rPr>
        <w:t>.</w:t>
      </w:r>
      <w:r w:rsidRPr="51225D74">
        <w:rPr>
          <w:rFonts w:ascii="Times New Roman" w:hAnsi="Times New Roman"/>
          <w:lang w:val="pt-BR"/>
        </w:rPr>
        <w:t xml:space="preserve"> Testes catalíticos na DRM em condições severas. Parâmetros utilizados: T= 700°C, GHSV = 60.000 NL</w:t>
      </w:r>
      <w:r w:rsidR="00A66174">
        <w:rPr>
          <w:rFonts w:ascii="Times New Roman" w:hAnsi="Times New Roman"/>
          <w:lang w:val="pt-BR"/>
        </w:rPr>
        <w:t>,</w:t>
      </w:r>
      <w:r w:rsidRPr="51225D74">
        <w:rPr>
          <w:rFonts w:ascii="Times New Roman" w:hAnsi="Times New Roman"/>
          <w:lang w:val="pt-BR"/>
        </w:rPr>
        <w:t xml:space="preserve"> P = 1 atm</w:t>
      </w:r>
      <w:r w:rsidR="00A66174">
        <w:rPr>
          <w:rFonts w:ascii="Times New Roman" w:hAnsi="Times New Roman"/>
          <w:lang w:val="pt-BR"/>
        </w:rPr>
        <w:t>.</w:t>
      </w:r>
    </w:p>
    <w:p w14:paraId="6F82BB27" w14:textId="61C192BC" w:rsidR="00967B35" w:rsidRDefault="00282D06" w:rsidP="00CE3CC8">
      <w:pPr>
        <w:pStyle w:val="TAMainText"/>
        <w:spacing w:line="240" w:lineRule="auto"/>
        <w:ind w:firstLine="0"/>
        <w:rPr>
          <w:lang w:val="pt-BR"/>
        </w:rPr>
      </w:pPr>
      <w:r>
        <w:rPr>
          <w:lang w:val="pt-BR"/>
        </w:rPr>
        <w:t xml:space="preserve">     </w:t>
      </w:r>
      <w:r w:rsidR="51225D74" w:rsidRPr="51225D74">
        <w:rPr>
          <w:lang w:val="pt-BR"/>
        </w:rPr>
        <w:t>Sabe-se ainda que a presença de H</w:t>
      </w:r>
      <w:r w:rsidR="51225D74" w:rsidRPr="51225D74">
        <w:rPr>
          <w:vertAlign w:val="subscript"/>
          <w:lang w:val="pt-BR"/>
        </w:rPr>
        <w:t>2</w:t>
      </w:r>
      <w:r w:rsidR="51225D74" w:rsidRPr="51225D74">
        <w:rPr>
          <w:lang w:val="pt-BR"/>
        </w:rPr>
        <w:t xml:space="preserve">O na mistura reacional gera problemas significativos para os catalisadores confinados, promovendo perda de interação </w:t>
      </w:r>
      <w:proofErr w:type="spellStart"/>
      <w:r w:rsidR="51225D74" w:rsidRPr="51225D74">
        <w:rPr>
          <w:lang w:val="pt-BR"/>
        </w:rPr>
        <w:t>Ni-Si</w:t>
      </w:r>
      <w:proofErr w:type="spellEnd"/>
      <w:r w:rsidR="00E10A6A">
        <w:rPr>
          <w:lang w:val="pt-BR"/>
        </w:rPr>
        <w:t xml:space="preserve"> e, inclusive, deformação da shell [5]. </w:t>
      </w:r>
      <w:r w:rsidR="51225D74" w:rsidRPr="51225D74">
        <w:rPr>
          <w:lang w:val="pt-BR"/>
        </w:rPr>
        <w:t>Verifica-se que para a 24-Si@NiPS@SiO</w:t>
      </w:r>
      <w:r w:rsidR="51225D74" w:rsidRPr="51225D74">
        <w:rPr>
          <w:vertAlign w:val="subscript"/>
          <w:lang w:val="pt-BR"/>
        </w:rPr>
        <w:t>2</w:t>
      </w:r>
      <w:r w:rsidR="51225D74" w:rsidRPr="51225D74">
        <w:rPr>
          <w:lang w:val="pt-BR"/>
        </w:rPr>
        <w:t xml:space="preserve"> maior razão H</w:t>
      </w:r>
      <w:r w:rsidR="51225D74" w:rsidRPr="51225D74">
        <w:rPr>
          <w:vertAlign w:val="subscript"/>
          <w:lang w:val="pt-BR"/>
        </w:rPr>
        <w:t>2</w:t>
      </w:r>
      <w:r w:rsidR="51225D74" w:rsidRPr="51225D74">
        <w:rPr>
          <w:lang w:val="pt-BR"/>
        </w:rPr>
        <w:t xml:space="preserve">/CO, o que </w:t>
      </w:r>
      <w:r w:rsidR="51225D74" w:rsidRPr="004568AC">
        <w:rPr>
          <w:lang w:val="pt-BR"/>
        </w:rPr>
        <w:t xml:space="preserve">pode ser indicativo </w:t>
      </w:r>
      <w:r w:rsidR="51225D74" w:rsidRPr="00C05536">
        <w:rPr>
          <w:lang w:val="pt-BR"/>
        </w:rPr>
        <w:t xml:space="preserve">de menor favorecimento da reação reversa de </w:t>
      </w:r>
      <w:r w:rsidR="51225D74" w:rsidRPr="00000557">
        <w:rPr>
          <w:i/>
          <w:lang w:val="pt-BR"/>
        </w:rPr>
        <w:t>Shift</w:t>
      </w:r>
      <w:r w:rsidR="51225D74" w:rsidRPr="00C05536">
        <w:rPr>
          <w:lang w:val="pt-BR"/>
        </w:rPr>
        <w:t xml:space="preserve"> (</w:t>
      </w:r>
      <w:proofErr w:type="spellStart"/>
      <w:r w:rsidR="51225D74" w:rsidRPr="00C05536">
        <w:rPr>
          <w:lang w:val="pt-BR"/>
        </w:rPr>
        <w:t>rWGS</w:t>
      </w:r>
      <w:proofErr w:type="spellEnd"/>
      <w:r w:rsidR="51225D74" w:rsidRPr="00C05536">
        <w:rPr>
          <w:lang w:val="pt-BR"/>
        </w:rPr>
        <w:t xml:space="preserve">) [12]. Isso pode ter contribuído para a manutenção da atividade ao longo </w:t>
      </w:r>
      <w:r w:rsidR="51225D74" w:rsidRPr="51225D74">
        <w:rPr>
          <w:lang w:val="pt-BR"/>
        </w:rPr>
        <w:t>dos experimentos. A maior quantidade de vapor (H</w:t>
      </w:r>
      <w:r w:rsidR="51225D74" w:rsidRPr="51225D74">
        <w:rPr>
          <w:vertAlign w:val="subscript"/>
          <w:lang w:val="pt-BR"/>
        </w:rPr>
        <w:t>2</w:t>
      </w:r>
      <w:r w:rsidR="51225D74" w:rsidRPr="51225D74">
        <w:rPr>
          <w:lang w:val="pt-BR"/>
        </w:rPr>
        <w:t>O) pode contribuir também para a corrosão do SiO</w:t>
      </w:r>
      <w:r w:rsidR="51225D74" w:rsidRPr="51225D74">
        <w:rPr>
          <w:vertAlign w:val="subscript"/>
          <w:lang w:val="pt-BR"/>
        </w:rPr>
        <w:t>2</w:t>
      </w:r>
      <w:r w:rsidR="51225D74" w:rsidRPr="51225D74">
        <w:rPr>
          <w:lang w:val="pt-BR"/>
        </w:rPr>
        <w:t>, perdendo-se o efeito de confinamento e a proteção contra crescimento de C</w:t>
      </w:r>
      <w:r w:rsidR="51225D74" w:rsidRPr="51225D74">
        <w:rPr>
          <w:vertAlign w:val="subscript"/>
          <w:lang w:val="pt-BR"/>
        </w:rPr>
        <w:t>s</w:t>
      </w:r>
      <w:r w:rsidR="00E10A6A">
        <w:rPr>
          <w:vertAlign w:val="subscript"/>
          <w:lang w:val="pt-BR"/>
        </w:rPr>
        <w:t xml:space="preserve"> </w:t>
      </w:r>
      <w:r w:rsidR="00E10A6A">
        <w:rPr>
          <w:lang w:val="pt-BR"/>
        </w:rPr>
        <w:t>[5].</w:t>
      </w:r>
    </w:p>
    <w:p w14:paraId="1EA750B9" w14:textId="77777777" w:rsidR="000232B0" w:rsidRDefault="00EF6AD3" w:rsidP="008E1218">
      <w:pPr>
        <w:pStyle w:val="TAMainText"/>
        <w:spacing w:after="240" w:line="240" w:lineRule="auto"/>
        <w:ind w:firstLine="0"/>
        <w:rPr>
          <w:b/>
          <w:i/>
          <w:vertAlign w:val="subscript"/>
          <w:lang w:val="pt-BR"/>
        </w:rPr>
      </w:pPr>
      <w:r w:rsidRPr="009C6702">
        <w:rPr>
          <w:b/>
          <w:i/>
          <w:lang w:val="pt-BR"/>
        </w:rPr>
        <w:lastRenderedPageBreak/>
        <w:t>Oxidação termoprogramada com O</w:t>
      </w:r>
      <w:r w:rsidRPr="009C6702">
        <w:rPr>
          <w:b/>
          <w:i/>
          <w:vertAlign w:val="subscript"/>
          <w:lang w:val="pt-BR"/>
        </w:rPr>
        <w:t>2</w:t>
      </w:r>
    </w:p>
    <w:p w14:paraId="3975554D" w14:textId="17090C37" w:rsidR="008F15A1" w:rsidRPr="000232B0" w:rsidRDefault="00A66174" w:rsidP="00CE3CC8">
      <w:pPr>
        <w:pStyle w:val="TAMainText"/>
        <w:spacing w:line="240" w:lineRule="auto"/>
        <w:ind w:firstLine="0"/>
        <w:rPr>
          <w:b/>
          <w:i/>
          <w:vertAlign w:val="subscript"/>
          <w:lang w:val="pt-BR"/>
        </w:rPr>
      </w:pPr>
      <w:r>
        <w:rPr>
          <w:lang w:val="pt-BR"/>
        </w:rPr>
        <w:t xml:space="preserve">     </w:t>
      </w:r>
      <w:r w:rsidR="51225D74" w:rsidRPr="00C05536">
        <w:rPr>
          <w:lang w:val="pt-BR"/>
        </w:rPr>
        <w:t xml:space="preserve">Os experimentos de TPO estão apresentados na Figura </w:t>
      </w:r>
      <w:r w:rsidR="00263C30">
        <w:rPr>
          <w:lang w:val="pt-BR"/>
        </w:rPr>
        <w:t>7</w:t>
      </w:r>
      <w:r w:rsidR="51225D74" w:rsidRPr="00C05536">
        <w:rPr>
          <w:lang w:val="pt-BR"/>
        </w:rPr>
        <w:t>. Os dados obtidos por análise matemática desses, encontram-se dispostos na Tabela 3.</w:t>
      </w:r>
    </w:p>
    <w:p w14:paraId="21841B25" w14:textId="20903101" w:rsidR="007826DC" w:rsidRDefault="51225D74" w:rsidP="00CE3CC8">
      <w:pPr>
        <w:pStyle w:val="TAMainText"/>
        <w:spacing w:line="240" w:lineRule="auto"/>
        <w:ind w:firstLine="0"/>
        <w:rPr>
          <w:lang w:val="pt-BR"/>
        </w:rPr>
      </w:pPr>
      <w:r w:rsidRPr="00C05536">
        <w:rPr>
          <w:lang w:val="pt-BR"/>
        </w:rPr>
        <w:t xml:space="preserve">     Comparando-se as estruturas sanduíche à NiPS@SiO</w:t>
      </w:r>
      <w:r w:rsidRPr="00C05536">
        <w:rPr>
          <w:vertAlign w:val="subscript"/>
          <w:lang w:val="pt-BR"/>
        </w:rPr>
        <w:t>2</w:t>
      </w:r>
      <w:r w:rsidRPr="00C05536">
        <w:rPr>
          <w:lang w:val="pt-BR"/>
        </w:rPr>
        <w:t xml:space="preserve">, observa-se que a </w:t>
      </w:r>
      <w:r w:rsidRPr="009466CA">
        <w:rPr>
          <w:i/>
          <w:lang w:val="pt-BR"/>
        </w:rPr>
        <w:t>shell</w:t>
      </w:r>
      <w:r w:rsidRPr="00C05536">
        <w:rPr>
          <w:lang w:val="pt-BR"/>
        </w:rPr>
        <w:t xml:space="preserve"> externa às NiPS</w:t>
      </w:r>
      <w:r w:rsidRPr="51225D74">
        <w:rPr>
          <w:lang w:val="pt-BR"/>
        </w:rPr>
        <w:t xml:space="preserve"> promove uma diminuição nas taxas de conversão de CH</w:t>
      </w:r>
      <w:r w:rsidRPr="51225D74">
        <w:rPr>
          <w:vertAlign w:val="subscript"/>
          <w:lang w:val="pt-BR"/>
        </w:rPr>
        <w:t>4</w:t>
      </w:r>
      <w:r w:rsidRPr="51225D74">
        <w:rPr>
          <w:lang w:val="pt-BR"/>
        </w:rPr>
        <w:t xml:space="preserve"> à C</w:t>
      </w:r>
      <w:r w:rsidRPr="51225D74">
        <w:rPr>
          <w:vertAlign w:val="subscript"/>
          <w:lang w:val="pt-BR"/>
        </w:rPr>
        <w:t>s</w:t>
      </w:r>
      <w:r w:rsidRPr="51225D74">
        <w:rPr>
          <w:lang w:val="pt-BR"/>
        </w:rPr>
        <w:t>, evidenciado pelo menor valor da área TPO. A partir disso, pode-se inferir que a</w:t>
      </w:r>
      <w:r w:rsidRPr="009466CA">
        <w:rPr>
          <w:i/>
          <w:lang w:val="pt-BR"/>
        </w:rPr>
        <w:t xml:space="preserve"> shell</w:t>
      </w:r>
      <w:r w:rsidRPr="51225D74">
        <w:rPr>
          <w:lang w:val="pt-BR"/>
        </w:rPr>
        <w:t xml:space="preserve"> de porosidade e espessura adequados, atua como uma barreira protetora, dificultando reações de formação de carbono. Pode-se estabelecer também um paralelo entre o TPO e o TPC-CH</w:t>
      </w:r>
      <w:r w:rsidRPr="51225D74">
        <w:rPr>
          <w:vertAlign w:val="subscript"/>
          <w:lang w:val="pt-BR"/>
        </w:rPr>
        <w:t>4</w:t>
      </w:r>
      <w:r w:rsidRPr="51225D74">
        <w:rPr>
          <w:lang w:val="pt-BR"/>
        </w:rPr>
        <w:t xml:space="preserve">: nas condições de análise, a reação de craqueamento do carbono passa a ser mais significativa do ponto de vista </w:t>
      </w:r>
      <w:r w:rsidRPr="00C925D9">
        <w:rPr>
          <w:lang w:val="pt-BR"/>
        </w:rPr>
        <w:t>termodinâmico [</w:t>
      </w:r>
      <w:r w:rsidR="00C71085">
        <w:rPr>
          <w:lang w:val="pt-BR"/>
        </w:rPr>
        <w:t>8</w:t>
      </w:r>
      <w:r w:rsidRPr="00C925D9">
        <w:rPr>
          <w:lang w:val="pt-BR"/>
        </w:rPr>
        <w:t xml:space="preserve">]. </w:t>
      </w:r>
    </w:p>
    <w:p w14:paraId="4475D908" w14:textId="2B681C25" w:rsidR="00101DF7" w:rsidRDefault="00084605" w:rsidP="00CE3CC8">
      <w:pPr>
        <w:pStyle w:val="TAMainText"/>
        <w:spacing w:line="240" w:lineRule="auto"/>
        <w:ind w:firstLine="0"/>
        <w:rPr>
          <w:lang w:val="pt-BR"/>
        </w:rPr>
      </w:pPr>
      <w:r>
        <w:rPr>
          <w:lang w:val="pt-BR"/>
        </w:rPr>
        <w:t xml:space="preserve">     </w:t>
      </w:r>
      <w:r w:rsidR="00101DF7">
        <w:rPr>
          <w:lang w:val="pt-BR"/>
        </w:rPr>
        <w:t>Nesse ínterim, como a NiPS, apresenta tanto uma maior produção de carbono quanto uma maior atividade na TPC-CH</w:t>
      </w:r>
      <w:r w:rsidR="00101DF7">
        <w:rPr>
          <w:vertAlign w:val="subscript"/>
          <w:lang w:val="pt-BR"/>
        </w:rPr>
        <w:t>4</w:t>
      </w:r>
      <w:r w:rsidR="00101DF7">
        <w:rPr>
          <w:lang w:val="pt-BR"/>
        </w:rPr>
        <w:t xml:space="preserve">, isso indica que o carbono gerado deve ser proveniente dessa via. </w:t>
      </w:r>
    </w:p>
    <w:p w14:paraId="3AA16FE3" w14:textId="0DFE0872" w:rsidR="00EF6AD3" w:rsidRDefault="00767483" w:rsidP="00CE3CC8">
      <w:pPr>
        <w:spacing w:line="240" w:lineRule="auto"/>
        <w:jc w:val="center"/>
      </w:pPr>
      <w:r w:rsidRPr="00767483">
        <w:drawing>
          <wp:inline distT="0" distB="0" distL="0" distR="0" wp14:anchorId="6596C02C" wp14:editId="25D5CF1A">
            <wp:extent cx="2121408" cy="2609125"/>
            <wp:effectExtent l="0" t="0" r="0" b="1270"/>
            <wp:docPr id="10" name="Imagem 9" descr="Uma imagem contendo Forma&#10;&#10;Descrição gerada automaticamente">
              <a:extLst xmlns:a="http://schemas.openxmlformats.org/drawingml/2006/main">
                <a:ext uri="{FF2B5EF4-FFF2-40B4-BE49-F238E27FC236}">
                  <a16:creationId xmlns:a16="http://schemas.microsoft.com/office/drawing/2014/main" id="{FCA421F6-003A-D778-76BF-3BBDA791F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descr="Uma imagem contendo Forma&#10;&#10;Descrição gerada automaticamente">
                      <a:extLst>
                        <a:ext uri="{FF2B5EF4-FFF2-40B4-BE49-F238E27FC236}">
                          <a16:creationId xmlns:a16="http://schemas.microsoft.com/office/drawing/2014/main" id="{FCA421F6-003A-D778-76BF-3BBDA791FF51}"/>
                        </a:ext>
                      </a:extLst>
                    </pic:cNvPr>
                    <pic:cNvPicPr>
                      <a:picLocks noChangeAspect="1"/>
                    </pic:cNvPicPr>
                  </pic:nvPicPr>
                  <pic:blipFill rotWithShape="1">
                    <a:blip r:embed="rId16"/>
                    <a:srcRect t="9015"/>
                    <a:stretch/>
                  </pic:blipFill>
                  <pic:spPr bwMode="auto">
                    <a:xfrm>
                      <a:off x="0" y="0"/>
                      <a:ext cx="2121408" cy="2609125"/>
                    </a:xfrm>
                    <a:prstGeom prst="rect">
                      <a:avLst/>
                    </a:prstGeom>
                    <a:ln>
                      <a:noFill/>
                    </a:ln>
                    <a:extLst>
                      <a:ext uri="{53640926-AAD7-44D8-BBD7-CCE9431645EC}">
                        <a14:shadowObscured xmlns:a14="http://schemas.microsoft.com/office/drawing/2010/main"/>
                      </a:ext>
                    </a:extLst>
                  </pic:spPr>
                </pic:pic>
              </a:graphicData>
            </a:graphic>
          </wp:inline>
        </w:drawing>
      </w:r>
    </w:p>
    <w:p w14:paraId="283D305A" w14:textId="00EF17D9" w:rsidR="00EF6AD3" w:rsidRPr="00C05536" w:rsidRDefault="51225D74" w:rsidP="00CE3CC8">
      <w:pPr>
        <w:pStyle w:val="VAFigureCaption"/>
        <w:spacing w:before="0" w:line="240" w:lineRule="auto"/>
        <w:rPr>
          <w:rFonts w:ascii="Times New Roman" w:hAnsi="Times New Roman"/>
          <w:lang w:val="pt-BR"/>
        </w:rPr>
      </w:pPr>
      <w:r w:rsidRPr="00C05536">
        <w:rPr>
          <w:rFonts w:ascii="Times New Roman" w:hAnsi="Times New Roman"/>
          <w:b/>
          <w:bCs/>
          <w:lang w:val="pt-BR"/>
        </w:rPr>
        <w:t xml:space="preserve">Figura </w:t>
      </w:r>
      <w:r w:rsidR="00263C30">
        <w:rPr>
          <w:rFonts w:ascii="Times New Roman" w:hAnsi="Times New Roman"/>
          <w:b/>
          <w:bCs/>
          <w:lang w:val="pt-BR"/>
        </w:rPr>
        <w:t>7</w:t>
      </w:r>
      <w:r w:rsidRPr="00C05536">
        <w:rPr>
          <w:rFonts w:ascii="Times New Roman" w:hAnsi="Times New Roman"/>
          <w:b/>
          <w:bCs/>
          <w:lang w:val="pt-BR"/>
        </w:rPr>
        <w:t>.</w:t>
      </w:r>
      <w:r w:rsidRPr="00C05536">
        <w:rPr>
          <w:rFonts w:ascii="Times New Roman" w:hAnsi="Times New Roman"/>
          <w:lang w:val="pt-BR"/>
        </w:rPr>
        <w:t xml:space="preserve"> Perfis de TPO para os catalisadores estudados. O sinal MS foi multiplicado por 10</w:t>
      </w:r>
      <w:r w:rsidRPr="002C6C67">
        <w:rPr>
          <w:rFonts w:ascii="Times New Roman" w:hAnsi="Times New Roman"/>
          <w:vertAlign w:val="superscript"/>
          <w:lang w:val="pt-BR"/>
        </w:rPr>
        <w:t>11</w:t>
      </w:r>
      <w:r w:rsidRPr="00C05536">
        <w:rPr>
          <w:rFonts w:ascii="Times New Roman" w:hAnsi="Times New Roman"/>
          <w:lang w:val="pt-BR"/>
        </w:rPr>
        <w:t xml:space="preserve"> para melhor visualização dos eventos de consumo do O</w:t>
      </w:r>
      <w:r w:rsidRPr="00C05536">
        <w:rPr>
          <w:rFonts w:ascii="Times New Roman" w:hAnsi="Times New Roman"/>
          <w:vertAlign w:val="subscript"/>
          <w:lang w:val="pt-BR"/>
        </w:rPr>
        <w:t>2</w:t>
      </w:r>
      <w:r w:rsidRPr="00C05536">
        <w:rPr>
          <w:rFonts w:ascii="Times New Roman" w:hAnsi="Times New Roman"/>
          <w:lang w:val="pt-BR"/>
        </w:rPr>
        <w:t>.</w:t>
      </w:r>
    </w:p>
    <w:p w14:paraId="1834CF49" w14:textId="77777777" w:rsidR="00EF6AD3" w:rsidRPr="00C05536" w:rsidRDefault="00EF6AD3" w:rsidP="00CE3CC8">
      <w:pPr>
        <w:pStyle w:val="TAMainText"/>
        <w:spacing w:line="240" w:lineRule="auto"/>
        <w:ind w:firstLine="0"/>
        <w:rPr>
          <w:lang w:val="pt-BR"/>
        </w:rPr>
      </w:pPr>
    </w:p>
    <w:p w14:paraId="472E87BA" w14:textId="1AC5E20B" w:rsidR="00E574D0" w:rsidRPr="00E038AF" w:rsidRDefault="51225D74" w:rsidP="00CE3CC8">
      <w:pPr>
        <w:pStyle w:val="VDTableTitle"/>
        <w:spacing w:after="120" w:line="240" w:lineRule="auto"/>
        <w:jc w:val="both"/>
        <w:rPr>
          <w:rFonts w:ascii="Times New Roman" w:hAnsi="Times New Roman"/>
          <w:lang w:val="pt-BR"/>
        </w:rPr>
      </w:pPr>
      <w:r w:rsidRPr="00C05536">
        <w:rPr>
          <w:rFonts w:ascii="Times New Roman" w:hAnsi="Times New Roman"/>
          <w:b/>
          <w:bCs/>
          <w:lang w:val="pt-BR"/>
        </w:rPr>
        <w:t xml:space="preserve">Tabela 3. </w:t>
      </w:r>
      <w:r w:rsidRPr="00C05536">
        <w:rPr>
          <w:rFonts w:ascii="Times New Roman" w:hAnsi="Times New Roman"/>
          <w:lang w:val="pt-BR"/>
        </w:rPr>
        <w:t>Sinal</w:t>
      </w:r>
      <w:r w:rsidRPr="51225D74">
        <w:rPr>
          <w:rFonts w:ascii="Times New Roman" w:hAnsi="Times New Roman"/>
          <w:lang w:val="pt-BR"/>
        </w:rPr>
        <w:t xml:space="preserve"> MS-TPO integrado e normalizado por mmol de CH</w:t>
      </w:r>
      <w:r w:rsidRPr="51225D74">
        <w:rPr>
          <w:rFonts w:ascii="Times New Roman" w:hAnsi="Times New Roman"/>
          <w:vertAlign w:val="subscript"/>
          <w:lang w:val="pt-BR"/>
        </w:rPr>
        <w:t>4</w:t>
      </w:r>
      <w:r w:rsidRPr="51225D74">
        <w:rPr>
          <w:rFonts w:ascii="Times New Roman" w:hAnsi="Times New Roman"/>
          <w:lang w:val="pt-BR"/>
        </w:rPr>
        <w:t xml:space="preserve"> convertido nos testes em condições de baixa temperatura</w:t>
      </w:r>
    </w:p>
    <w:tbl>
      <w:tblPr>
        <w:tblW w:w="43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6"/>
        <w:gridCol w:w="1276"/>
        <w:gridCol w:w="1418"/>
      </w:tblGrid>
      <w:tr w:rsidR="00CB4349" w:rsidRPr="00072C7A" w14:paraId="3EE4EC4E" w14:textId="78089C00" w:rsidTr="00CB4349">
        <w:trPr>
          <w:jc w:val="center"/>
        </w:trPr>
        <w:tc>
          <w:tcPr>
            <w:tcW w:w="1696" w:type="dxa"/>
            <w:vAlign w:val="center"/>
          </w:tcPr>
          <w:p w14:paraId="5F19B3A0" w14:textId="663B52FC" w:rsidR="00CB4349" w:rsidRPr="00103F34" w:rsidRDefault="005E05A2" w:rsidP="005572D0">
            <w:pPr>
              <w:pStyle w:val="TCTableBody"/>
              <w:spacing w:after="0" w:line="240" w:lineRule="auto"/>
              <w:jc w:val="center"/>
              <w:rPr>
                <w:b/>
                <w:bCs/>
                <w:lang w:val="pt-BR"/>
              </w:rPr>
            </w:pPr>
            <w:r w:rsidRPr="00103F34">
              <w:rPr>
                <w:b/>
                <w:bCs/>
                <w:lang w:val="pt-BR"/>
              </w:rPr>
              <w:t>Catalisador</w:t>
            </w:r>
          </w:p>
        </w:tc>
        <w:tc>
          <w:tcPr>
            <w:tcW w:w="1276" w:type="dxa"/>
            <w:vAlign w:val="center"/>
          </w:tcPr>
          <w:p w14:paraId="780CDEC8" w14:textId="7042EE5B" w:rsidR="00CB4349" w:rsidRPr="00103F34" w:rsidRDefault="00CB4349" w:rsidP="005572D0">
            <w:pPr>
              <w:pStyle w:val="TCTableBody"/>
              <w:spacing w:after="0" w:line="240" w:lineRule="auto"/>
              <w:jc w:val="center"/>
              <w:rPr>
                <w:b/>
                <w:bCs/>
                <w:lang w:val="pt-BR"/>
              </w:rPr>
            </w:pPr>
            <w:r w:rsidRPr="00103F34">
              <w:rPr>
                <w:b/>
                <w:bCs/>
                <w:lang w:val="pt-BR"/>
              </w:rPr>
              <w:t>Sinal TPO integrado</w:t>
            </w:r>
          </w:p>
        </w:tc>
        <w:tc>
          <w:tcPr>
            <w:tcW w:w="1418" w:type="dxa"/>
            <w:vAlign w:val="center"/>
          </w:tcPr>
          <w:p w14:paraId="20CBA0CF" w14:textId="3D0C1A86" w:rsidR="00CB4349" w:rsidRPr="00103F34" w:rsidRDefault="00D90865" w:rsidP="005572D0">
            <w:pPr>
              <w:pStyle w:val="TCTableBody"/>
              <w:spacing w:after="0" w:line="240" w:lineRule="auto"/>
              <w:jc w:val="center"/>
              <w:rPr>
                <w:b/>
                <w:bCs/>
                <w:lang w:val="pt-BR"/>
              </w:rPr>
            </w:pPr>
            <w:r w:rsidRPr="00103F34">
              <w:rPr>
                <w:b/>
                <w:bCs/>
                <w:lang w:val="pt-BR"/>
              </w:rPr>
              <w:t>N-STPO/ mmol CH</w:t>
            </w:r>
            <w:r w:rsidRPr="00103F34">
              <w:rPr>
                <w:b/>
                <w:bCs/>
                <w:vertAlign w:val="subscript"/>
                <w:lang w:val="pt-BR"/>
              </w:rPr>
              <w:t>4</w:t>
            </w:r>
            <w:r w:rsidRPr="00103F34">
              <w:rPr>
                <w:b/>
                <w:bCs/>
                <w:lang w:val="pt-BR"/>
              </w:rPr>
              <w:t xml:space="preserve"> convertido</w:t>
            </w:r>
          </w:p>
        </w:tc>
      </w:tr>
      <w:tr w:rsidR="00D90865" w:rsidRPr="00072C7A" w14:paraId="7916197B" w14:textId="46823127">
        <w:trPr>
          <w:trHeight w:val="454"/>
          <w:jc w:val="center"/>
        </w:trPr>
        <w:tc>
          <w:tcPr>
            <w:tcW w:w="1696" w:type="dxa"/>
            <w:tcBorders>
              <w:bottom w:val="single" w:sz="6" w:space="0" w:color="auto"/>
            </w:tcBorders>
            <w:vAlign w:val="center"/>
          </w:tcPr>
          <w:p w14:paraId="6F4A54A2" w14:textId="77777777" w:rsidR="00D90865" w:rsidRDefault="00D90865" w:rsidP="005572D0">
            <w:pPr>
              <w:pStyle w:val="TCTableBody"/>
              <w:spacing w:after="0" w:line="240" w:lineRule="auto"/>
              <w:jc w:val="center"/>
              <w:rPr>
                <w:lang w:val="pt-BR"/>
              </w:rPr>
            </w:pPr>
            <w:proofErr w:type="spellStart"/>
            <w:r>
              <w:rPr>
                <w:lang w:val="pt-BR"/>
              </w:rPr>
              <w:t>Si@NiPS</w:t>
            </w:r>
            <w:proofErr w:type="spellEnd"/>
          </w:p>
        </w:tc>
        <w:tc>
          <w:tcPr>
            <w:tcW w:w="1276" w:type="dxa"/>
            <w:tcBorders>
              <w:bottom w:val="single" w:sz="6" w:space="0" w:color="auto"/>
            </w:tcBorders>
          </w:tcPr>
          <w:p w14:paraId="119DC510" w14:textId="195618A9" w:rsidR="00D90865" w:rsidRDefault="00D90865" w:rsidP="005572D0">
            <w:pPr>
              <w:pStyle w:val="TCTableBody"/>
              <w:spacing w:after="0" w:line="240" w:lineRule="auto"/>
              <w:jc w:val="center"/>
              <w:rPr>
                <w:lang w:val="pt-BR"/>
              </w:rPr>
            </w:pPr>
            <w:r w:rsidRPr="003A200D">
              <w:t>0,98917</w:t>
            </w:r>
          </w:p>
        </w:tc>
        <w:tc>
          <w:tcPr>
            <w:tcW w:w="1418" w:type="dxa"/>
            <w:tcBorders>
              <w:bottom w:val="single" w:sz="6" w:space="0" w:color="auto"/>
            </w:tcBorders>
          </w:tcPr>
          <w:p w14:paraId="6C9DB42D" w14:textId="17B8ED60" w:rsidR="00D90865" w:rsidRDefault="00D90865" w:rsidP="005572D0">
            <w:pPr>
              <w:pStyle w:val="TCTableBody"/>
              <w:spacing w:after="0" w:line="240" w:lineRule="auto"/>
              <w:jc w:val="center"/>
              <w:rPr>
                <w:lang w:val="pt-BR"/>
              </w:rPr>
            </w:pPr>
            <w:r w:rsidRPr="003A200D">
              <w:t>0,98917</w:t>
            </w:r>
          </w:p>
        </w:tc>
      </w:tr>
      <w:tr w:rsidR="00D90865" w:rsidRPr="00072C7A" w14:paraId="06467D76" w14:textId="71F9AFF7">
        <w:trPr>
          <w:trHeight w:val="454"/>
          <w:jc w:val="center"/>
        </w:trPr>
        <w:tc>
          <w:tcPr>
            <w:tcW w:w="1696" w:type="dxa"/>
            <w:tcBorders>
              <w:bottom w:val="single" w:sz="6" w:space="0" w:color="auto"/>
            </w:tcBorders>
            <w:vAlign w:val="center"/>
          </w:tcPr>
          <w:p w14:paraId="5FDC7CB1" w14:textId="77777777" w:rsidR="00D90865" w:rsidRPr="00AD332C" w:rsidRDefault="00D90865" w:rsidP="005572D0">
            <w:pPr>
              <w:pStyle w:val="TCTableBody"/>
              <w:spacing w:after="0" w:line="240" w:lineRule="auto"/>
              <w:jc w:val="center"/>
              <w:rPr>
                <w:lang w:val="pt-BR"/>
              </w:rPr>
            </w:pPr>
            <w:r>
              <w:rPr>
                <w:lang w:val="pt-BR"/>
              </w:rPr>
              <w:t>0-Si@NiPS@SiO</w:t>
            </w:r>
            <w:r>
              <w:rPr>
                <w:vertAlign w:val="subscript"/>
                <w:lang w:val="pt-BR"/>
              </w:rPr>
              <w:t>2</w:t>
            </w:r>
          </w:p>
        </w:tc>
        <w:tc>
          <w:tcPr>
            <w:tcW w:w="1276" w:type="dxa"/>
            <w:tcBorders>
              <w:bottom w:val="single" w:sz="6" w:space="0" w:color="auto"/>
            </w:tcBorders>
          </w:tcPr>
          <w:p w14:paraId="28A879A1" w14:textId="16FCCD7C" w:rsidR="00D90865" w:rsidRDefault="00D90865" w:rsidP="005572D0">
            <w:pPr>
              <w:pStyle w:val="TCTableBody"/>
              <w:spacing w:after="0" w:line="240" w:lineRule="auto"/>
              <w:jc w:val="center"/>
              <w:rPr>
                <w:lang w:val="pt-BR"/>
              </w:rPr>
            </w:pPr>
            <w:r w:rsidRPr="003A200D">
              <w:t>0,01857</w:t>
            </w:r>
          </w:p>
        </w:tc>
        <w:tc>
          <w:tcPr>
            <w:tcW w:w="1418" w:type="dxa"/>
            <w:tcBorders>
              <w:bottom w:val="single" w:sz="6" w:space="0" w:color="auto"/>
            </w:tcBorders>
          </w:tcPr>
          <w:p w14:paraId="624EDB78" w14:textId="7465F598" w:rsidR="00D90865" w:rsidRDefault="00D90865" w:rsidP="005572D0">
            <w:pPr>
              <w:pStyle w:val="TCTableBody"/>
              <w:spacing w:after="0" w:line="240" w:lineRule="auto"/>
              <w:jc w:val="center"/>
              <w:rPr>
                <w:lang w:val="pt-BR"/>
              </w:rPr>
            </w:pPr>
            <w:r w:rsidRPr="003A200D">
              <w:t>0,01857</w:t>
            </w:r>
          </w:p>
        </w:tc>
      </w:tr>
      <w:tr w:rsidR="00D90865" w:rsidRPr="00072C7A" w14:paraId="656DF390" w14:textId="4FB7B2EC">
        <w:trPr>
          <w:trHeight w:val="454"/>
          <w:jc w:val="center"/>
        </w:trPr>
        <w:tc>
          <w:tcPr>
            <w:tcW w:w="1696" w:type="dxa"/>
            <w:tcBorders>
              <w:bottom w:val="single" w:sz="6" w:space="0" w:color="auto"/>
            </w:tcBorders>
            <w:vAlign w:val="center"/>
          </w:tcPr>
          <w:p w14:paraId="5947DCCD" w14:textId="77777777" w:rsidR="00D90865" w:rsidRDefault="00D90865" w:rsidP="005572D0">
            <w:pPr>
              <w:pStyle w:val="TCTableBody"/>
              <w:spacing w:after="0" w:line="240" w:lineRule="auto"/>
              <w:jc w:val="center"/>
              <w:rPr>
                <w:lang w:val="pt-BR"/>
              </w:rPr>
            </w:pPr>
            <w:r>
              <w:rPr>
                <w:lang w:val="pt-BR"/>
              </w:rPr>
              <w:t>24-Si@NiPS@SiO</w:t>
            </w:r>
            <w:r>
              <w:rPr>
                <w:vertAlign w:val="subscript"/>
                <w:lang w:val="pt-BR"/>
              </w:rPr>
              <w:t>2</w:t>
            </w:r>
          </w:p>
        </w:tc>
        <w:tc>
          <w:tcPr>
            <w:tcW w:w="1276" w:type="dxa"/>
            <w:tcBorders>
              <w:bottom w:val="single" w:sz="6" w:space="0" w:color="auto"/>
            </w:tcBorders>
          </w:tcPr>
          <w:p w14:paraId="34EE8282" w14:textId="7B63C976" w:rsidR="00D90865" w:rsidRDefault="00D90865" w:rsidP="005572D0">
            <w:pPr>
              <w:pStyle w:val="TCTableBody"/>
              <w:spacing w:after="0" w:line="240" w:lineRule="auto"/>
              <w:jc w:val="center"/>
              <w:rPr>
                <w:lang w:val="pt-BR"/>
              </w:rPr>
            </w:pPr>
            <w:r w:rsidRPr="003A200D">
              <w:t>0,09098</w:t>
            </w:r>
          </w:p>
        </w:tc>
        <w:tc>
          <w:tcPr>
            <w:tcW w:w="1418" w:type="dxa"/>
            <w:tcBorders>
              <w:bottom w:val="single" w:sz="6" w:space="0" w:color="auto"/>
            </w:tcBorders>
          </w:tcPr>
          <w:p w14:paraId="3D118D7E" w14:textId="3CCDFACF" w:rsidR="00D90865" w:rsidRDefault="00D90865" w:rsidP="005572D0">
            <w:pPr>
              <w:pStyle w:val="TCTableBody"/>
              <w:spacing w:after="0" w:line="240" w:lineRule="auto"/>
              <w:jc w:val="center"/>
              <w:rPr>
                <w:lang w:val="pt-BR"/>
              </w:rPr>
            </w:pPr>
            <w:r w:rsidRPr="003A200D">
              <w:t>0,09098</w:t>
            </w:r>
          </w:p>
        </w:tc>
      </w:tr>
      <w:tr w:rsidR="00D90865" w:rsidRPr="00072C7A" w14:paraId="69D866B5" w14:textId="62071163">
        <w:trPr>
          <w:trHeight w:val="454"/>
          <w:jc w:val="center"/>
        </w:trPr>
        <w:tc>
          <w:tcPr>
            <w:tcW w:w="1696" w:type="dxa"/>
            <w:tcBorders>
              <w:bottom w:val="single" w:sz="6" w:space="0" w:color="auto"/>
            </w:tcBorders>
            <w:vAlign w:val="center"/>
          </w:tcPr>
          <w:p w14:paraId="4625BE84" w14:textId="77777777" w:rsidR="00D90865" w:rsidRDefault="00D90865" w:rsidP="005572D0">
            <w:pPr>
              <w:pStyle w:val="TCTableBody"/>
              <w:spacing w:after="0" w:line="240" w:lineRule="auto"/>
              <w:jc w:val="center"/>
              <w:rPr>
                <w:lang w:val="pt-BR"/>
              </w:rPr>
            </w:pPr>
            <w:r>
              <w:rPr>
                <w:lang w:val="pt-BR"/>
              </w:rPr>
              <w:t>48-Si@NiPS@SiO</w:t>
            </w:r>
            <w:r>
              <w:rPr>
                <w:vertAlign w:val="subscript"/>
                <w:lang w:val="pt-BR"/>
              </w:rPr>
              <w:t>2</w:t>
            </w:r>
          </w:p>
        </w:tc>
        <w:tc>
          <w:tcPr>
            <w:tcW w:w="1276" w:type="dxa"/>
            <w:tcBorders>
              <w:bottom w:val="single" w:sz="6" w:space="0" w:color="auto"/>
            </w:tcBorders>
          </w:tcPr>
          <w:p w14:paraId="310ABAAD" w14:textId="3E34B5A5" w:rsidR="00D90865" w:rsidRDefault="00D90865" w:rsidP="005572D0">
            <w:pPr>
              <w:pStyle w:val="TCTableBody"/>
              <w:spacing w:after="0" w:line="240" w:lineRule="auto"/>
              <w:jc w:val="center"/>
              <w:rPr>
                <w:lang w:val="pt-BR"/>
              </w:rPr>
            </w:pPr>
            <w:r w:rsidRPr="003A200D">
              <w:t>0,03101</w:t>
            </w:r>
          </w:p>
        </w:tc>
        <w:tc>
          <w:tcPr>
            <w:tcW w:w="1418" w:type="dxa"/>
            <w:tcBorders>
              <w:bottom w:val="single" w:sz="6" w:space="0" w:color="auto"/>
            </w:tcBorders>
          </w:tcPr>
          <w:p w14:paraId="03A847D5" w14:textId="53FEABCF" w:rsidR="00D90865" w:rsidRDefault="00D90865" w:rsidP="005572D0">
            <w:pPr>
              <w:pStyle w:val="TCTableBody"/>
              <w:spacing w:after="0" w:line="240" w:lineRule="auto"/>
              <w:jc w:val="center"/>
              <w:rPr>
                <w:lang w:val="pt-BR"/>
              </w:rPr>
            </w:pPr>
            <w:r w:rsidRPr="003A200D">
              <w:t>0,03101</w:t>
            </w:r>
          </w:p>
        </w:tc>
      </w:tr>
    </w:tbl>
    <w:p w14:paraId="481B1767" w14:textId="77777777" w:rsidR="000232B0" w:rsidRDefault="000232B0" w:rsidP="000232B0">
      <w:pPr>
        <w:pStyle w:val="TAMainText"/>
        <w:spacing w:line="240" w:lineRule="auto"/>
        <w:ind w:firstLine="0"/>
        <w:rPr>
          <w:lang w:val="pt-BR"/>
        </w:rPr>
      </w:pPr>
      <w:r>
        <w:rPr>
          <w:lang w:val="pt-BR"/>
        </w:rPr>
        <w:t xml:space="preserve">     </w:t>
      </w:r>
    </w:p>
    <w:p w14:paraId="17559D0D" w14:textId="336EFC3B" w:rsidR="000232B0" w:rsidRDefault="000232B0" w:rsidP="000232B0">
      <w:pPr>
        <w:pStyle w:val="TAMainText"/>
        <w:spacing w:line="240" w:lineRule="auto"/>
        <w:ind w:firstLine="0"/>
        <w:rPr>
          <w:lang w:val="pt-BR"/>
        </w:rPr>
      </w:pPr>
      <w:r>
        <w:rPr>
          <w:lang w:val="pt-BR"/>
        </w:rPr>
        <w:t xml:space="preserve">     Todavia, verifica-se que mesmo produzindo menos carbono, a 0-Si e a 0-48 apresentam decréscimo nas taxas de </w:t>
      </w:r>
      <w:r>
        <w:rPr>
          <w:lang w:val="pt-BR"/>
        </w:rPr>
        <w:t>conversão de CH</w:t>
      </w:r>
      <w:r>
        <w:rPr>
          <w:vertAlign w:val="subscript"/>
          <w:lang w:val="pt-BR"/>
        </w:rPr>
        <w:t>4</w:t>
      </w:r>
      <w:r>
        <w:rPr>
          <w:lang w:val="pt-BR"/>
        </w:rPr>
        <w:t xml:space="preserve">. Isso está alinhado com o afirmado por Li (2014): </w:t>
      </w:r>
      <w:proofErr w:type="spellStart"/>
      <w:r w:rsidRPr="005B4C24">
        <w:rPr>
          <w:i/>
          <w:iCs/>
          <w:lang w:val="pt-BR"/>
        </w:rPr>
        <w:t>shells</w:t>
      </w:r>
      <w:proofErr w:type="spellEnd"/>
      <w:r>
        <w:rPr>
          <w:lang w:val="pt-BR"/>
        </w:rPr>
        <w:t xml:space="preserve"> finas favorecem sinterização dos catalisadores; espessas, dificultam eliminação de carbono e uma pequena fração de coque é suficiente para obstruir os poros. Também, a presença de estruturas não core@shell </w:t>
      </w:r>
      <w:r w:rsidRPr="00263C30">
        <w:rPr>
          <w:lang w:val="pt-BR"/>
        </w:rPr>
        <w:t xml:space="preserve">(VER FIGURA </w:t>
      </w:r>
      <w:r w:rsidR="00263C30" w:rsidRPr="00263C30">
        <w:rPr>
          <w:lang w:val="pt-BR"/>
        </w:rPr>
        <w:t>4</w:t>
      </w:r>
      <w:r w:rsidRPr="00263C30">
        <w:rPr>
          <w:lang w:val="pt-BR"/>
        </w:rPr>
        <w:t>) tornam essas</w:t>
      </w:r>
      <w:r>
        <w:rPr>
          <w:lang w:val="pt-BR"/>
        </w:rPr>
        <w:t xml:space="preserve"> estruturas facilmente desativáveis</w:t>
      </w:r>
      <w:r w:rsidR="00767483">
        <w:rPr>
          <w:lang w:val="pt-BR"/>
        </w:rPr>
        <w:t>, de forma análoga</w:t>
      </w:r>
      <w:r>
        <w:rPr>
          <w:lang w:val="pt-BR"/>
        </w:rPr>
        <w:t xml:space="preserve"> a catalisadores Ni/SiO</w:t>
      </w:r>
      <w:r>
        <w:rPr>
          <w:vertAlign w:val="subscript"/>
          <w:lang w:val="pt-BR"/>
        </w:rPr>
        <w:t>2</w:t>
      </w:r>
      <w:r>
        <w:rPr>
          <w:lang w:val="pt-BR"/>
        </w:rPr>
        <w:t xml:space="preserve"> convencionais</w:t>
      </w:r>
      <w:r w:rsidR="00767483">
        <w:rPr>
          <w:lang w:val="pt-BR"/>
        </w:rPr>
        <w:t>.</w:t>
      </w:r>
    </w:p>
    <w:p w14:paraId="6DD017B0" w14:textId="02E188A8" w:rsidR="00A04863" w:rsidRPr="008E1218" w:rsidRDefault="000232B0" w:rsidP="00CE3CC8">
      <w:pPr>
        <w:pStyle w:val="TAMainText"/>
        <w:spacing w:line="240" w:lineRule="auto"/>
        <w:ind w:firstLine="0"/>
        <w:rPr>
          <w:lang w:val="pt-BR"/>
        </w:rPr>
      </w:pPr>
      <w:r>
        <w:rPr>
          <w:lang w:val="pt-BR"/>
        </w:rPr>
        <w:t xml:space="preserve">     A cerca disso, propõe-se que o processo de hidrólise/estruturação está associado tanto com a geração de nanopartículas mais dispersas (força da ligação </w:t>
      </w:r>
      <w:proofErr w:type="spellStart"/>
      <w:r>
        <w:rPr>
          <w:lang w:val="pt-BR"/>
        </w:rPr>
        <w:t>Ni-Si</w:t>
      </w:r>
      <w:proofErr w:type="spellEnd"/>
      <w:r>
        <w:rPr>
          <w:lang w:val="pt-BR"/>
        </w:rPr>
        <w:t xml:space="preserve"> e proporção de estruturas 1:1 e 2:1), quanto com as propriedades texturais da </w:t>
      </w:r>
      <w:r w:rsidRPr="009466CA">
        <w:rPr>
          <w:i/>
          <w:lang w:val="pt-BR"/>
        </w:rPr>
        <w:t>shell</w:t>
      </w:r>
      <w:r>
        <w:rPr>
          <w:lang w:val="pt-BR"/>
        </w:rPr>
        <w:t xml:space="preserve"> (espessura, resistência mecânica/térmica e porosidade). Nesse viés, tem-se um ponto ótimo de convergência entre ambos os fatores, situado em aproximadamente 24h de reação.</w:t>
      </w:r>
    </w:p>
    <w:p w14:paraId="20AA905D" w14:textId="7E8FCD9E" w:rsidR="00EA4E1B" w:rsidRPr="001F25B2" w:rsidRDefault="00EA4E1B" w:rsidP="00CE3CC8">
      <w:pPr>
        <w:pStyle w:val="Ttulo2"/>
        <w:rPr>
          <w:rFonts w:ascii="Helvetica" w:hAnsi="Helvetica" w:cs="Helvetica"/>
          <w:sz w:val="24"/>
          <w:szCs w:val="24"/>
        </w:rPr>
      </w:pPr>
      <w:r w:rsidRPr="001F25B2">
        <w:rPr>
          <w:rFonts w:ascii="Helvetica" w:hAnsi="Helvetica" w:cs="Helvetica"/>
          <w:sz w:val="24"/>
          <w:szCs w:val="24"/>
        </w:rPr>
        <w:t>Conclusões</w:t>
      </w:r>
    </w:p>
    <w:p w14:paraId="4A70FE93" w14:textId="714F216D" w:rsidR="00EA4E1B" w:rsidRPr="00EE5F8B" w:rsidRDefault="00D90868" w:rsidP="00CE3CC8">
      <w:pPr>
        <w:pStyle w:val="TAMainText"/>
        <w:spacing w:line="240" w:lineRule="auto"/>
        <w:ind w:firstLine="0"/>
        <w:rPr>
          <w:rFonts w:ascii="Times New Roman" w:hAnsi="Times New Roman"/>
          <w:lang w:val="pt-BR"/>
        </w:rPr>
      </w:pPr>
      <w:r>
        <w:rPr>
          <w:rFonts w:ascii="Times New Roman" w:hAnsi="Times New Roman"/>
          <w:lang w:val="pt-BR"/>
        </w:rPr>
        <w:t xml:space="preserve">     </w:t>
      </w:r>
      <w:r w:rsidR="000C515F">
        <w:rPr>
          <w:rFonts w:ascii="Times New Roman" w:hAnsi="Times New Roman"/>
          <w:lang w:val="pt-BR"/>
        </w:rPr>
        <w:t>Catalisadores baseados em filossilicatos de níquel foram</w:t>
      </w:r>
      <w:r w:rsidR="000A2922">
        <w:rPr>
          <w:rFonts w:ascii="Times New Roman" w:hAnsi="Times New Roman"/>
          <w:lang w:val="pt-BR"/>
        </w:rPr>
        <w:t xml:space="preserve">, com sucesso, sintetizados pelo método </w:t>
      </w:r>
      <w:r w:rsidR="00264120">
        <w:rPr>
          <w:rFonts w:ascii="Times New Roman" w:hAnsi="Times New Roman"/>
          <w:lang w:val="pt-BR"/>
        </w:rPr>
        <w:t>Stöber</w:t>
      </w:r>
      <w:r w:rsidR="000A2922">
        <w:rPr>
          <w:rFonts w:ascii="Times New Roman" w:hAnsi="Times New Roman"/>
          <w:lang w:val="pt-BR"/>
        </w:rPr>
        <w:t xml:space="preserve">-AE modificado. Observou-se ganhos significativos em termos de atividade e </w:t>
      </w:r>
      <w:r w:rsidR="00B845F7">
        <w:rPr>
          <w:rFonts w:ascii="Times New Roman" w:hAnsi="Times New Roman"/>
          <w:lang w:val="pt-BR"/>
        </w:rPr>
        <w:t>redução do coqueamento para os catalisadores duplamente confinados. Ademais, o tempo da etapa de hidrólise foi crucial para a performance dos materiais</w:t>
      </w:r>
      <w:r w:rsidR="00DC7DF6">
        <w:rPr>
          <w:rFonts w:ascii="Times New Roman" w:hAnsi="Times New Roman"/>
          <w:lang w:val="pt-BR"/>
        </w:rPr>
        <w:t>. Com 0</w:t>
      </w:r>
      <w:r w:rsidR="009466CA">
        <w:rPr>
          <w:rFonts w:ascii="Times New Roman" w:hAnsi="Times New Roman"/>
          <w:lang w:val="pt-BR"/>
        </w:rPr>
        <w:t xml:space="preserve"> </w:t>
      </w:r>
      <w:r w:rsidR="00DC7DF6">
        <w:rPr>
          <w:rFonts w:ascii="Times New Roman" w:hAnsi="Times New Roman"/>
          <w:lang w:val="pt-BR"/>
        </w:rPr>
        <w:t>h, embora haja supressão da formação de carbono, há perdas significativas de atividade e probabilidade de desativação por obstrução de poros</w:t>
      </w:r>
      <w:r w:rsidR="0099740F">
        <w:rPr>
          <w:rFonts w:ascii="Times New Roman" w:hAnsi="Times New Roman"/>
          <w:lang w:val="pt-BR"/>
        </w:rPr>
        <w:t xml:space="preserve">; com 48, aparentemente a shell apresenta-se demasiadamente decomposta, perdendo seu efeito de confinamento e </w:t>
      </w:r>
      <w:r w:rsidR="00EE5F8B">
        <w:rPr>
          <w:rFonts w:ascii="Times New Roman" w:hAnsi="Times New Roman"/>
          <w:lang w:val="pt-BR"/>
        </w:rPr>
        <w:t>permitindo o crescimento de carbono induzido por SiO</w:t>
      </w:r>
      <w:r w:rsidR="00EE5F8B">
        <w:rPr>
          <w:rFonts w:ascii="Times New Roman" w:hAnsi="Times New Roman"/>
          <w:vertAlign w:val="subscript"/>
          <w:lang w:val="pt-BR"/>
        </w:rPr>
        <w:t>2</w:t>
      </w:r>
      <w:r w:rsidR="00EE5F8B">
        <w:rPr>
          <w:rFonts w:ascii="Times New Roman" w:hAnsi="Times New Roman"/>
          <w:lang w:val="pt-BR"/>
        </w:rPr>
        <w:t>. Para 24</w:t>
      </w:r>
      <w:r w:rsidR="005C2BA4">
        <w:rPr>
          <w:rFonts w:ascii="Times New Roman" w:hAnsi="Times New Roman"/>
          <w:lang w:val="pt-BR"/>
        </w:rPr>
        <w:t xml:space="preserve"> </w:t>
      </w:r>
      <w:r w:rsidR="00EE5F8B">
        <w:rPr>
          <w:rFonts w:ascii="Times New Roman" w:hAnsi="Times New Roman"/>
          <w:lang w:val="pt-BR"/>
        </w:rPr>
        <w:t>h, tem-se equilíbrio entre ambos, além de obter material com altas taxas de conversão de CH</w:t>
      </w:r>
      <w:r w:rsidR="00EE5F8B">
        <w:rPr>
          <w:rFonts w:ascii="Times New Roman" w:hAnsi="Times New Roman"/>
          <w:vertAlign w:val="subscript"/>
          <w:lang w:val="pt-BR"/>
        </w:rPr>
        <w:t>4</w:t>
      </w:r>
      <w:r w:rsidR="00EE5F8B">
        <w:rPr>
          <w:rFonts w:ascii="Times New Roman" w:hAnsi="Times New Roman"/>
          <w:lang w:val="pt-BR"/>
        </w:rPr>
        <w:t xml:space="preserve"> e CO</w:t>
      </w:r>
      <w:r w:rsidR="00EE5F8B">
        <w:rPr>
          <w:rFonts w:ascii="Times New Roman" w:hAnsi="Times New Roman"/>
          <w:vertAlign w:val="subscript"/>
          <w:lang w:val="pt-BR"/>
        </w:rPr>
        <w:t>2</w:t>
      </w:r>
      <w:r w:rsidR="00EE5F8B">
        <w:rPr>
          <w:rFonts w:ascii="Times New Roman" w:hAnsi="Times New Roman"/>
          <w:lang w:val="pt-BR"/>
        </w:rPr>
        <w:t xml:space="preserve"> e bom rendimento à syngas, sendo um catalisador bastante promissor para estudos na DRM.</w:t>
      </w:r>
    </w:p>
    <w:p w14:paraId="6BE32F7B" w14:textId="4F456A38" w:rsidR="00EA4E1B" w:rsidRPr="001F25B2" w:rsidRDefault="00EA4E1B" w:rsidP="00CE3CC8">
      <w:pPr>
        <w:pStyle w:val="Ttulo2"/>
        <w:rPr>
          <w:rFonts w:ascii="Helvetica" w:hAnsi="Helvetica" w:cs="Helvetica"/>
          <w:sz w:val="24"/>
          <w:szCs w:val="24"/>
        </w:rPr>
      </w:pPr>
      <w:r w:rsidRPr="001F25B2">
        <w:rPr>
          <w:rFonts w:ascii="Helvetica" w:hAnsi="Helvetica" w:cs="Helvetica"/>
          <w:sz w:val="24"/>
          <w:szCs w:val="24"/>
        </w:rPr>
        <w:t>Agradecimentos</w:t>
      </w:r>
    </w:p>
    <w:p w14:paraId="05A178F9" w14:textId="04AB8E9B" w:rsidR="00EA4E1B" w:rsidRPr="001F25B2" w:rsidRDefault="00264120" w:rsidP="00CE3CC8">
      <w:pPr>
        <w:pStyle w:val="TAMainText"/>
        <w:spacing w:line="240" w:lineRule="auto"/>
        <w:rPr>
          <w:rFonts w:ascii="Times New Roman" w:hAnsi="Times New Roman"/>
          <w:lang w:val="pt-BR"/>
        </w:rPr>
      </w:pPr>
      <w:r>
        <w:rPr>
          <w:rFonts w:ascii="Times New Roman" w:hAnsi="Times New Roman"/>
          <w:lang w:val="pt-BR"/>
        </w:rPr>
        <w:t>Agradecimentos à Capes, CNPQ e FAPESB pelo apoio financeiro</w:t>
      </w:r>
      <w:r w:rsidR="003C5CAD">
        <w:rPr>
          <w:rFonts w:ascii="Times New Roman" w:hAnsi="Times New Roman"/>
          <w:lang w:val="pt-BR"/>
        </w:rPr>
        <w:t>. Agradecimentos aos laboratórios parceiros LABCAT e CBPF pelas análises conduzidas.</w:t>
      </w:r>
    </w:p>
    <w:p w14:paraId="158D911D" w14:textId="6C4267D4" w:rsidR="00EA4E1B" w:rsidRPr="008E1218" w:rsidRDefault="00EA4E1B" w:rsidP="008E1218">
      <w:pPr>
        <w:pStyle w:val="Ttulo2"/>
        <w:rPr>
          <w:rFonts w:ascii="Helvetica" w:hAnsi="Helvetica" w:cs="Helvetica"/>
          <w:sz w:val="24"/>
          <w:szCs w:val="24"/>
        </w:rPr>
      </w:pPr>
      <w:r w:rsidRPr="001F25B2">
        <w:rPr>
          <w:rFonts w:ascii="Helvetica" w:hAnsi="Helvetica" w:cs="Helvetica"/>
          <w:sz w:val="24"/>
          <w:szCs w:val="24"/>
        </w:rPr>
        <w:t>Referências</w:t>
      </w:r>
    </w:p>
    <w:p w14:paraId="32A57B27" w14:textId="6C9CED99" w:rsidR="00BD402B" w:rsidRPr="00623CE3" w:rsidRDefault="00BD402B" w:rsidP="00BD402B">
      <w:pPr>
        <w:pStyle w:val="TAMainText"/>
        <w:numPr>
          <w:ilvl w:val="0"/>
          <w:numId w:val="2"/>
        </w:numPr>
        <w:ind w:left="284" w:hanging="284"/>
      </w:pPr>
      <w:r w:rsidRPr="00623CE3">
        <w:t>Mao,</w:t>
      </w:r>
      <w:r w:rsidR="00263C30">
        <w:t xml:space="preserve"> </w:t>
      </w:r>
      <w:r w:rsidR="00263C30" w:rsidRPr="00623CE3">
        <w:t xml:space="preserve">Y. </w:t>
      </w:r>
      <w:r w:rsidRPr="00623CE3">
        <w:t xml:space="preserve"> et al., </w:t>
      </w:r>
      <w:r w:rsidR="1C7DA324" w:rsidRPr="00623CE3">
        <w:rPr>
          <w:rFonts w:eastAsia="Arial"/>
          <w:i/>
        </w:rPr>
        <w:t xml:space="preserve">Int. </w:t>
      </w:r>
      <w:r w:rsidR="7BFFE48E" w:rsidRPr="00623CE3">
        <w:rPr>
          <w:i/>
          <w:iCs/>
        </w:rPr>
        <w:t xml:space="preserve">J. </w:t>
      </w:r>
      <w:proofErr w:type="spellStart"/>
      <w:r w:rsidR="27D7EA91" w:rsidRPr="00623CE3">
        <w:rPr>
          <w:i/>
          <w:iCs/>
        </w:rPr>
        <w:t>Hydrog</w:t>
      </w:r>
      <w:proofErr w:type="spellEnd"/>
      <w:r w:rsidR="55141365" w:rsidRPr="00623CE3">
        <w:rPr>
          <w:i/>
          <w:iCs/>
        </w:rPr>
        <w:t>.</w:t>
      </w:r>
      <w:r w:rsidR="0DB7CD07" w:rsidRPr="00623CE3">
        <w:t xml:space="preserve"> </w:t>
      </w:r>
      <w:r w:rsidR="0DB7CD07" w:rsidRPr="00623CE3">
        <w:rPr>
          <w:b/>
          <w:bCs/>
        </w:rPr>
        <w:t>2023</w:t>
      </w:r>
      <w:r w:rsidR="0DB7CD07" w:rsidRPr="00623CE3">
        <w:t>, in press.</w:t>
      </w:r>
    </w:p>
    <w:p w14:paraId="117246C4" w14:textId="1B8E8489" w:rsidR="00BD402B" w:rsidRPr="00623CE3" w:rsidRDefault="3C10BB23" w:rsidP="00BD402B">
      <w:pPr>
        <w:pStyle w:val="TAMainText"/>
        <w:numPr>
          <w:ilvl w:val="0"/>
          <w:numId w:val="2"/>
        </w:numPr>
        <w:ind w:left="284" w:hanging="284"/>
        <w:rPr>
          <w:lang w:val="pt-BR"/>
        </w:rPr>
      </w:pPr>
      <w:proofErr w:type="spellStart"/>
      <w:r w:rsidRPr="3C10BB23">
        <w:rPr>
          <w:lang w:val="pt-BR"/>
        </w:rPr>
        <w:t>Asencios</w:t>
      </w:r>
      <w:proofErr w:type="spellEnd"/>
      <w:r w:rsidR="3283013A" w:rsidRPr="3283013A">
        <w:rPr>
          <w:lang w:val="pt-BR"/>
        </w:rPr>
        <w:t>,</w:t>
      </w:r>
      <w:r w:rsidR="00263C30" w:rsidRPr="00263C30">
        <w:rPr>
          <w:lang w:val="pt-BR"/>
        </w:rPr>
        <w:t xml:space="preserve"> </w:t>
      </w:r>
      <w:r w:rsidR="00263C30" w:rsidRPr="3C10BB23">
        <w:rPr>
          <w:lang w:val="pt-BR"/>
        </w:rPr>
        <w:t xml:space="preserve">Y. J. O. </w:t>
      </w:r>
      <w:r w:rsidR="3283013A" w:rsidRPr="3283013A">
        <w:rPr>
          <w:lang w:val="pt-BR"/>
        </w:rPr>
        <w:t xml:space="preserve"> et al.,</w:t>
      </w:r>
      <w:r w:rsidRPr="3C10BB23">
        <w:rPr>
          <w:lang w:val="pt-BR"/>
        </w:rPr>
        <w:t xml:space="preserve"> </w:t>
      </w:r>
      <w:r w:rsidRPr="3C10BB23">
        <w:rPr>
          <w:i/>
          <w:iCs/>
          <w:lang w:val="pt-BR"/>
        </w:rPr>
        <w:t xml:space="preserve">Braz. J. </w:t>
      </w:r>
      <w:proofErr w:type="spellStart"/>
      <w:r w:rsidRPr="3C10BB23">
        <w:rPr>
          <w:i/>
          <w:iCs/>
          <w:lang w:val="pt-BR"/>
        </w:rPr>
        <w:t>Chem</w:t>
      </w:r>
      <w:proofErr w:type="spellEnd"/>
      <w:r w:rsidRPr="3C10BB23">
        <w:rPr>
          <w:i/>
          <w:iCs/>
          <w:lang w:val="pt-BR"/>
        </w:rPr>
        <w:t>. Eng</w:t>
      </w:r>
      <w:r w:rsidRPr="3C10BB23">
        <w:rPr>
          <w:lang w:val="pt-BR"/>
        </w:rPr>
        <w:t xml:space="preserve">. </w:t>
      </w:r>
      <w:r w:rsidRPr="3C10BB23">
        <w:rPr>
          <w:b/>
          <w:bCs/>
          <w:lang w:val="pt-BR"/>
        </w:rPr>
        <w:t>2010</w:t>
      </w:r>
      <w:r w:rsidRPr="3C10BB23">
        <w:rPr>
          <w:lang w:val="pt-BR"/>
        </w:rPr>
        <w:t>, 8.</w:t>
      </w:r>
    </w:p>
    <w:p w14:paraId="61427F27" w14:textId="4BE848BE" w:rsidR="00BD402B" w:rsidRPr="00A11012" w:rsidRDefault="00A11012" w:rsidP="00BD402B">
      <w:pPr>
        <w:pStyle w:val="TAMainText"/>
        <w:numPr>
          <w:ilvl w:val="0"/>
          <w:numId w:val="2"/>
        </w:numPr>
        <w:ind w:left="284" w:hanging="284"/>
      </w:pPr>
      <w:r w:rsidRPr="00A11012">
        <w:rPr>
          <w:rFonts w:ascii="Times New Roman" w:hAnsi="Times New Roman"/>
        </w:rPr>
        <w:t>Anwar</w:t>
      </w:r>
      <w:r>
        <w:rPr>
          <w:rFonts w:ascii="Times New Roman" w:hAnsi="Times New Roman"/>
        </w:rPr>
        <w:t xml:space="preserve">, </w:t>
      </w:r>
      <w:r w:rsidRPr="00A11012">
        <w:rPr>
          <w:rFonts w:ascii="Times New Roman" w:hAnsi="Times New Roman"/>
        </w:rPr>
        <w:t>M.N.</w:t>
      </w:r>
      <w:r>
        <w:rPr>
          <w:rFonts w:ascii="Times New Roman" w:hAnsi="Times New Roman"/>
        </w:rPr>
        <w:t xml:space="preserve">, et al. </w:t>
      </w:r>
      <w:r w:rsidR="003C6452" w:rsidRPr="00BC05E4">
        <w:rPr>
          <w:rFonts w:ascii="Times New Roman" w:hAnsi="Times New Roman"/>
          <w:i/>
          <w:iCs/>
          <w:lang w:val="pt-BR"/>
        </w:rPr>
        <w:t>J. </w:t>
      </w:r>
      <w:proofErr w:type="spellStart"/>
      <w:r w:rsidR="003C6452" w:rsidRPr="00BC05E4">
        <w:rPr>
          <w:rFonts w:ascii="Times New Roman" w:hAnsi="Times New Roman"/>
          <w:i/>
          <w:iCs/>
          <w:lang w:val="pt-BR"/>
        </w:rPr>
        <w:t>Environ</w:t>
      </w:r>
      <w:proofErr w:type="spellEnd"/>
      <w:r w:rsidR="003C6452" w:rsidRPr="00BC05E4">
        <w:rPr>
          <w:rFonts w:ascii="Times New Roman" w:hAnsi="Times New Roman"/>
          <w:i/>
          <w:iCs/>
          <w:lang w:val="pt-BR"/>
        </w:rPr>
        <w:t>. </w:t>
      </w:r>
      <w:proofErr w:type="spellStart"/>
      <w:r w:rsidR="003C6452" w:rsidRPr="00BC05E4">
        <w:rPr>
          <w:rFonts w:ascii="Times New Roman" w:hAnsi="Times New Roman"/>
          <w:i/>
          <w:iCs/>
          <w:lang w:val="pt-BR"/>
        </w:rPr>
        <w:t>Manage</w:t>
      </w:r>
      <w:proofErr w:type="spellEnd"/>
      <w:r w:rsidR="003C6452" w:rsidRPr="003C6452">
        <w:rPr>
          <w:rFonts w:ascii="Times New Roman" w:hAnsi="Times New Roman"/>
          <w:lang w:val="pt-BR"/>
        </w:rPr>
        <w:t>.</w:t>
      </w:r>
      <w:r w:rsidR="003C6452">
        <w:rPr>
          <w:rFonts w:ascii="Times New Roman" w:hAnsi="Times New Roman"/>
          <w:lang w:val="pt-BR"/>
        </w:rPr>
        <w:t xml:space="preserve">, </w:t>
      </w:r>
      <w:r w:rsidR="003C6452" w:rsidRPr="00BC05E4">
        <w:rPr>
          <w:rFonts w:ascii="Times New Roman" w:hAnsi="Times New Roman"/>
          <w:b/>
          <w:bCs/>
          <w:lang w:val="pt-BR"/>
        </w:rPr>
        <w:t>2020</w:t>
      </w:r>
      <w:r w:rsidR="00A41A25" w:rsidRPr="00BC05E4">
        <w:rPr>
          <w:rFonts w:ascii="Times New Roman" w:hAnsi="Times New Roman"/>
          <w:lang w:val="pt-BR"/>
        </w:rPr>
        <w:t>,</w:t>
      </w:r>
      <w:r w:rsidR="00A41A25">
        <w:rPr>
          <w:rFonts w:ascii="Times New Roman" w:hAnsi="Times New Roman"/>
          <w:lang w:val="pt-BR"/>
        </w:rPr>
        <w:t xml:space="preserve"> 260</w:t>
      </w:r>
      <w:r w:rsidR="00BC05E4">
        <w:rPr>
          <w:rFonts w:ascii="Times New Roman" w:hAnsi="Times New Roman"/>
          <w:lang w:val="pt-BR"/>
        </w:rPr>
        <w:t>.</w:t>
      </w:r>
    </w:p>
    <w:p w14:paraId="681190B6" w14:textId="5D271F11" w:rsidR="00BD402B" w:rsidRPr="00623CE3" w:rsidRDefault="51225D74" w:rsidP="00BD402B">
      <w:pPr>
        <w:pStyle w:val="TAMainText"/>
        <w:numPr>
          <w:ilvl w:val="0"/>
          <w:numId w:val="2"/>
        </w:numPr>
        <w:ind w:left="284" w:hanging="284"/>
        <w:rPr>
          <w:lang w:val="pt-BR"/>
        </w:rPr>
      </w:pPr>
      <w:r w:rsidRPr="00623CE3">
        <w:t>Chen</w:t>
      </w:r>
      <w:r w:rsidR="0090261D">
        <w:t xml:space="preserve">, </w:t>
      </w:r>
      <w:r w:rsidR="0090261D" w:rsidRPr="00623CE3">
        <w:t>Q.</w:t>
      </w:r>
      <w:r w:rsidRPr="00623CE3">
        <w:t xml:space="preserve"> et al.; </w:t>
      </w:r>
      <w:r w:rsidRPr="00623CE3">
        <w:rPr>
          <w:i/>
          <w:iCs/>
        </w:rPr>
        <w:t xml:space="preserve">J. Fuel Chem. </w:t>
      </w:r>
      <w:proofErr w:type="spellStart"/>
      <w:r w:rsidRPr="00623CE3">
        <w:rPr>
          <w:i/>
          <w:iCs/>
          <w:lang w:val="pt-BR"/>
        </w:rPr>
        <w:t>Tecnhol</w:t>
      </w:r>
      <w:proofErr w:type="spellEnd"/>
      <w:r w:rsidRPr="00623CE3">
        <w:rPr>
          <w:lang w:val="pt-BR"/>
        </w:rPr>
        <w:t xml:space="preserve">. </w:t>
      </w:r>
      <w:r w:rsidRPr="00623CE3">
        <w:rPr>
          <w:b/>
          <w:bCs/>
          <w:lang w:val="pt-BR"/>
        </w:rPr>
        <w:t>2023</w:t>
      </w:r>
      <w:r w:rsidRPr="00623CE3">
        <w:rPr>
          <w:lang w:val="pt-BR"/>
        </w:rPr>
        <w:t>, 51(3), 273-292.</w:t>
      </w:r>
    </w:p>
    <w:p w14:paraId="4E55B647" w14:textId="1C16F954" w:rsidR="0056618D" w:rsidRPr="00A66174" w:rsidRDefault="51225D74" w:rsidP="51225D74">
      <w:pPr>
        <w:pStyle w:val="TAMainText"/>
        <w:numPr>
          <w:ilvl w:val="0"/>
          <w:numId w:val="2"/>
        </w:numPr>
        <w:spacing w:line="240" w:lineRule="auto"/>
        <w:ind w:left="284" w:hanging="284"/>
        <w:rPr>
          <w:rFonts w:ascii="Times New Roman" w:hAnsi="Times New Roman"/>
          <w:lang w:val="it-IT"/>
        </w:rPr>
      </w:pPr>
      <w:r w:rsidRPr="00A66174">
        <w:rPr>
          <w:lang w:val="it-IT"/>
        </w:rPr>
        <w:t>L</w:t>
      </w:r>
      <w:r w:rsidR="0064207D" w:rsidRPr="00A66174">
        <w:rPr>
          <w:lang w:val="it-IT"/>
        </w:rPr>
        <w:t>i</w:t>
      </w:r>
      <w:r w:rsidR="00DB4219" w:rsidRPr="00A66174">
        <w:rPr>
          <w:lang w:val="it-IT"/>
        </w:rPr>
        <w:t>,</w:t>
      </w:r>
      <w:r w:rsidR="0090261D">
        <w:rPr>
          <w:lang w:val="it-IT"/>
        </w:rPr>
        <w:t xml:space="preserve"> </w:t>
      </w:r>
      <w:r w:rsidR="0090261D" w:rsidRPr="00A66174">
        <w:rPr>
          <w:lang w:val="it-IT"/>
        </w:rPr>
        <w:t>Z.</w:t>
      </w:r>
      <w:r w:rsidR="0090261D">
        <w:rPr>
          <w:lang w:val="it-IT"/>
        </w:rPr>
        <w:t>,</w:t>
      </w:r>
      <w:r w:rsidR="0064207D" w:rsidRPr="00A66174">
        <w:rPr>
          <w:lang w:val="it-IT"/>
        </w:rPr>
        <w:t xml:space="preserve"> </w:t>
      </w:r>
      <w:r w:rsidRPr="00A66174">
        <w:rPr>
          <w:lang w:val="it-IT"/>
        </w:rPr>
        <w:t xml:space="preserve">et al.; </w:t>
      </w:r>
      <w:r w:rsidR="1609379C" w:rsidRPr="00A66174">
        <w:rPr>
          <w:i/>
          <w:iCs/>
          <w:lang w:val="it-IT"/>
        </w:rPr>
        <w:t>J.</w:t>
      </w:r>
      <w:r w:rsidR="7B61BCE4" w:rsidRPr="00A66174">
        <w:rPr>
          <w:i/>
          <w:iCs/>
          <w:lang w:val="it-IT"/>
        </w:rPr>
        <w:t xml:space="preserve"> </w:t>
      </w:r>
      <w:r w:rsidRPr="00A66174">
        <w:rPr>
          <w:i/>
          <w:iCs/>
          <w:lang w:val="it-IT"/>
        </w:rPr>
        <w:t>CO</w:t>
      </w:r>
      <w:r w:rsidRPr="00A66174">
        <w:rPr>
          <w:i/>
          <w:iCs/>
          <w:vertAlign w:val="subscript"/>
          <w:lang w:val="it-IT"/>
        </w:rPr>
        <w:t xml:space="preserve">2 </w:t>
      </w:r>
      <w:r w:rsidR="0A3573DA" w:rsidRPr="00A66174">
        <w:rPr>
          <w:i/>
          <w:iCs/>
          <w:lang w:val="it-IT"/>
        </w:rPr>
        <w:t>Util</w:t>
      </w:r>
      <w:r w:rsidR="0A3573DA" w:rsidRPr="00A66174">
        <w:rPr>
          <w:lang w:val="it-IT"/>
        </w:rPr>
        <w:t>.</w:t>
      </w:r>
      <w:r w:rsidRPr="00A66174">
        <w:rPr>
          <w:lang w:val="it-IT"/>
        </w:rPr>
        <w:t xml:space="preserve"> </w:t>
      </w:r>
      <w:r w:rsidRPr="00A66174">
        <w:rPr>
          <w:b/>
          <w:bCs/>
          <w:lang w:val="it-IT"/>
        </w:rPr>
        <w:t>2018,</w:t>
      </w:r>
      <w:r w:rsidRPr="00A66174">
        <w:rPr>
          <w:lang w:val="it-IT"/>
        </w:rPr>
        <w:t xml:space="preserve"> 27, 238-246.</w:t>
      </w:r>
    </w:p>
    <w:p w14:paraId="759C8EE6" w14:textId="7878F2D3" w:rsidR="0056618D" w:rsidRPr="00623CE3" w:rsidRDefault="2C13BFB6" w:rsidP="51225D74">
      <w:pPr>
        <w:pStyle w:val="TAMainText"/>
        <w:numPr>
          <w:ilvl w:val="0"/>
          <w:numId w:val="2"/>
        </w:numPr>
        <w:spacing w:line="240" w:lineRule="auto"/>
        <w:ind w:left="284" w:hanging="284"/>
        <w:rPr>
          <w:rFonts w:ascii="Times New Roman" w:hAnsi="Times New Roman"/>
        </w:rPr>
      </w:pPr>
      <w:r w:rsidRPr="2C13BFB6">
        <w:rPr>
          <w:lang w:val="pt-BR"/>
        </w:rPr>
        <w:t>Das,</w:t>
      </w:r>
      <w:r w:rsidR="0090261D" w:rsidRPr="0090261D">
        <w:rPr>
          <w:lang w:val="pt-BR"/>
        </w:rPr>
        <w:t xml:space="preserve"> </w:t>
      </w:r>
      <w:r w:rsidR="0090261D" w:rsidRPr="1F062530">
        <w:rPr>
          <w:lang w:val="pt-BR"/>
        </w:rPr>
        <w:t>S.</w:t>
      </w:r>
      <w:r w:rsidRPr="2C13BFB6">
        <w:rPr>
          <w:lang w:val="pt-BR"/>
        </w:rPr>
        <w:t xml:space="preserve"> et al; </w:t>
      </w:r>
      <w:proofErr w:type="spellStart"/>
      <w:r w:rsidRPr="2C13BFB6">
        <w:rPr>
          <w:i/>
          <w:iCs/>
          <w:lang w:val="pt-BR"/>
        </w:rPr>
        <w:t>Appl</w:t>
      </w:r>
      <w:proofErr w:type="spellEnd"/>
      <w:r w:rsidRPr="2C13BFB6">
        <w:rPr>
          <w:i/>
          <w:iCs/>
          <w:lang w:val="pt-BR"/>
        </w:rPr>
        <w:t xml:space="preserve">. Catal. </w:t>
      </w:r>
      <w:r w:rsidRPr="2C13BFB6">
        <w:rPr>
          <w:i/>
          <w:iCs/>
        </w:rPr>
        <w:t>B</w:t>
      </w:r>
      <w:r>
        <w:t xml:space="preserve">. </w:t>
      </w:r>
      <w:r w:rsidRPr="2C13BFB6">
        <w:rPr>
          <w:b/>
          <w:bCs/>
        </w:rPr>
        <w:t>2021</w:t>
      </w:r>
      <w:r>
        <w:t>, 290, 119998.</w:t>
      </w:r>
    </w:p>
    <w:p w14:paraId="3721366D" w14:textId="151D27C8" w:rsidR="0056618D" w:rsidRPr="00EC2E6D" w:rsidRDefault="7D6D9A72" w:rsidP="51225D74">
      <w:pPr>
        <w:pStyle w:val="TAMainText"/>
        <w:numPr>
          <w:ilvl w:val="0"/>
          <w:numId w:val="2"/>
        </w:numPr>
        <w:spacing w:line="240" w:lineRule="auto"/>
        <w:ind w:left="284" w:hanging="284"/>
        <w:rPr>
          <w:rFonts w:ascii="Times New Roman" w:hAnsi="Times New Roman"/>
        </w:rPr>
      </w:pPr>
      <w:r w:rsidRPr="00EC2E6D">
        <w:rPr>
          <w:rFonts w:ascii="Times New Roman" w:hAnsi="Times New Roman"/>
          <w:lang w:val="pt-BR"/>
        </w:rPr>
        <w:t>Da Silva</w:t>
      </w:r>
      <w:r w:rsidR="0056618D" w:rsidRPr="00EC2E6D">
        <w:rPr>
          <w:rFonts w:ascii="Times New Roman" w:hAnsi="Times New Roman"/>
          <w:shd w:val="clear" w:color="auto" w:fill="FFFFFF"/>
          <w:lang w:val="pt-BR"/>
        </w:rPr>
        <w:t>,</w:t>
      </w:r>
      <w:r w:rsidR="0090261D">
        <w:rPr>
          <w:rFonts w:ascii="Times New Roman" w:hAnsi="Times New Roman"/>
          <w:shd w:val="clear" w:color="auto" w:fill="FFFFFF"/>
          <w:lang w:val="pt-BR"/>
        </w:rPr>
        <w:t xml:space="preserve"> </w:t>
      </w:r>
      <w:r w:rsidR="0090261D" w:rsidRPr="00EC2E6D">
        <w:rPr>
          <w:rFonts w:ascii="Times New Roman" w:hAnsi="Times New Roman"/>
          <w:shd w:val="clear" w:color="auto" w:fill="FFFFFF"/>
          <w:lang w:val="pt-BR"/>
        </w:rPr>
        <w:t>B. C.</w:t>
      </w:r>
      <w:r w:rsidR="0090261D">
        <w:rPr>
          <w:rFonts w:ascii="Times New Roman" w:hAnsi="Times New Roman"/>
          <w:shd w:val="clear" w:color="auto" w:fill="FFFFFF"/>
          <w:lang w:val="pt-BR"/>
        </w:rPr>
        <w:t>,</w:t>
      </w:r>
      <w:r w:rsidR="0056618D" w:rsidRPr="00EC2E6D">
        <w:rPr>
          <w:rFonts w:ascii="Times New Roman" w:hAnsi="Times New Roman"/>
          <w:shd w:val="clear" w:color="auto" w:fill="FFFFFF"/>
          <w:lang w:val="pt-BR"/>
        </w:rPr>
        <w:t xml:space="preserve"> et al, </w:t>
      </w:r>
      <w:r w:rsidR="0056618D" w:rsidRPr="00EC2E6D">
        <w:rPr>
          <w:rFonts w:ascii="Times New Roman" w:hAnsi="Times New Roman"/>
          <w:i/>
          <w:shd w:val="clear" w:color="auto" w:fill="FFFFFF"/>
          <w:lang w:val="pt-BR"/>
        </w:rPr>
        <w:t>Catal</w:t>
      </w:r>
      <w:r w:rsidR="00DB4219" w:rsidRPr="00EC2E6D">
        <w:rPr>
          <w:rFonts w:ascii="Times New Roman" w:hAnsi="Times New Roman"/>
          <w:i/>
          <w:shd w:val="clear" w:color="auto" w:fill="FFFFFF"/>
          <w:lang w:val="pt-BR"/>
        </w:rPr>
        <w:t>.</w:t>
      </w:r>
      <w:r w:rsidR="0056618D" w:rsidRPr="00EC2E6D">
        <w:rPr>
          <w:rFonts w:ascii="Times New Roman" w:hAnsi="Times New Roman"/>
          <w:i/>
          <w:shd w:val="clear" w:color="auto" w:fill="FFFFFF"/>
          <w:lang w:val="pt-BR"/>
        </w:rPr>
        <w:t xml:space="preserve"> Today</w:t>
      </w:r>
      <w:r w:rsidR="0056618D" w:rsidRPr="00EC2E6D">
        <w:rPr>
          <w:rFonts w:ascii="Times New Roman" w:hAnsi="Times New Roman"/>
          <w:shd w:val="clear" w:color="auto" w:fill="FFFFFF"/>
          <w:lang w:val="pt-BR"/>
        </w:rPr>
        <w:t>,</w:t>
      </w:r>
      <w:r w:rsidR="00AE6111" w:rsidRPr="00EC2E6D">
        <w:rPr>
          <w:rFonts w:ascii="Times New Roman" w:hAnsi="Times New Roman"/>
          <w:shd w:val="clear" w:color="auto" w:fill="FFFFFF"/>
          <w:lang w:val="pt-BR"/>
        </w:rPr>
        <w:t xml:space="preserve"> </w:t>
      </w:r>
      <w:r w:rsidR="00DB4219" w:rsidRPr="00D2641C">
        <w:rPr>
          <w:rFonts w:ascii="Times New Roman" w:hAnsi="Times New Roman"/>
          <w:b/>
          <w:bCs/>
          <w:shd w:val="clear" w:color="auto" w:fill="FFFFFF"/>
          <w:lang w:val="pt-BR"/>
        </w:rPr>
        <w:t>2</w:t>
      </w:r>
      <w:r w:rsidR="00DB4219" w:rsidRPr="00EC2E6D">
        <w:rPr>
          <w:rFonts w:ascii="Times New Roman" w:hAnsi="Times New Roman"/>
          <w:b/>
          <w:shd w:val="clear" w:color="auto" w:fill="FFFFFF"/>
          <w:lang w:val="pt-BR"/>
        </w:rPr>
        <w:t>021a</w:t>
      </w:r>
      <w:r w:rsidR="0050413F" w:rsidRPr="00EC2E6D">
        <w:rPr>
          <w:rFonts w:ascii="Times New Roman" w:hAnsi="Times New Roman"/>
          <w:shd w:val="clear" w:color="auto" w:fill="FFFFFF"/>
          <w:lang w:val="pt-BR"/>
        </w:rPr>
        <w:t xml:space="preserve"> 381, 50-64, 2021b</w:t>
      </w:r>
      <w:r w:rsidR="00DB4219" w:rsidRPr="00EC2E6D">
        <w:rPr>
          <w:rFonts w:ascii="Times New Roman" w:hAnsi="Times New Roman"/>
          <w:shd w:val="clear" w:color="auto" w:fill="FFFFFF"/>
          <w:lang w:val="pt-BR"/>
        </w:rPr>
        <w:t>.</w:t>
      </w:r>
    </w:p>
    <w:p w14:paraId="3A0C10DB" w14:textId="61C6B8EC" w:rsidR="00B02834" w:rsidRPr="00EC2E6D" w:rsidRDefault="00B02834" w:rsidP="00B02834">
      <w:pPr>
        <w:pStyle w:val="TAMainText"/>
        <w:numPr>
          <w:ilvl w:val="0"/>
          <w:numId w:val="2"/>
        </w:numPr>
        <w:spacing w:line="240" w:lineRule="auto"/>
        <w:ind w:left="284" w:hanging="284"/>
        <w:rPr>
          <w:rFonts w:ascii="Times New Roman" w:hAnsi="Times New Roman"/>
          <w:lang w:val="pt-BR"/>
        </w:rPr>
      </w:pPr>
      <w:r w:rsidRPr="00EC2E6D">
        <w:rPr>
          <w:rFonts w:ascii="Times New Roman" w:hAnsi="Times New Roman"/>
          <w:lang w:val="pt-BR"/>
        </w:rPr>
        <w:t>Da Silva,</w:t>
      </w:r>
      <w:r w:rsidR="0090261D">
        <w:rPr>
          <w:rFonts w:ascii="Times New Roman" w:hAnsi="Times New Roman"/>
          <w:lang w:val="pt-BR"/>
        </w:rPr>
        <w:t xml:space="preserve"> </w:t>
      </w:r>
      <w:r w:rsidR="0090261D" w:rsidRPr="00EC2E6D">
        <w:rPr>
          <w:rFonts w:ascii="Times New Roman" w:hAnsi="Times New Roman"/>
          <w:lang w:val="pt-BR"/>
        </w:rPr>
        <w:t>B. C.</w:t>
      </w:r>
      <w:r w:rsidR="00BC05E4">
        <w:rPr>
          <w:rFonts w:ascii="Times New Roman" w:hAnsi="Times New Roman"/>
          <w:lang w:val="pt-BR"/>
        </w:rPr>
        <w:t>,</w:t>
      </w:r>
      <w:r w:rsidR="00BC05E4" w:rsidRPr="00EC2E6D">
        <w:rPr>
          <w:rFonts w:ascii="Times New Roman" w:hAnsi="Times New Roman"/>
          <w:lang w:val="pt-BR"/>
        </w:rPr>
        <w:t xml:space="preserve"> et</w:t>
      </w:r>
      <w:r w:rsidRPr="00EC2E6D">
        <w:rPr>
          <w:rFonts w:ascii="Times New Roman" w:hAnsi="Times New Roman"/>
          <w:lang w:val="pt-BR"/>
        </w:rPr>
        <w:t xml:space="preserve"> al,</w:t>
      </w:r>
      <w:r w:rsidRPr="00EC2E6D">
        <w:rPr>
          <w:rFonts w:ascii="Times New Roman" w:hAnsi="Times New Roman"/>
          <w:i/>
          <w:iCs/>
          <w:lang w:val="pt-BR"/>
        </w:rPr>
        <w:t xml:space="preserve"> Catal. Today</w:t>
      </w:r>
      <w:r w:rsidRPr="00EC2E6D">
        <w:rPr>
          <w:rFonts w:ascii="Times New Roman" w:hAnsi="Times New Roman"/>
          <w:lang w:val="pt-BR"/>
        </w:rPr>
        <w:t xml:space="preserve">, </w:t>
      </w:r>
      <w:r w:rsidRPr="00EC2E6D">
        <w:rPr>
          <w:rFonts w:ascii="Times New Roman" w:hAnsi="Times New Roman"/>
          <w:b/>
          <w:bCs/>
          <w:lang w:val="pt-BR"/>
        </w:rPr>
        <w:t>2021b</w:t>
      </w:r>
      <w:r w:rsidRPr="00EC2E6D">
        <w:rPr>
          <w:rFonts w:ascii="Times New Roman" w:hAnsi="Times New Roman"/>
          <w:lang w:val="pt-BR"/>
        </w:rPr>
        <w:t>, 369, 19-30.</w:t>
      </w:r>
    </w:p>
    <w:p w14:paraId="25EC1FBE" w14:textId="1004DBC7" w:rsidR="0056618D" w:rsidRPr="0090261D" w:rsidRDefault="2E98E6E1" w:rsidP="51225D74">
      <w:pPr>
        <w:pStyle w:val="TAMainText"/>
        <w:numPr>
          <w:ilvl w:val="0"/>
          <w:numId w:val="2"/>
        </w:numPr>
        <w:spacing w:line="240" w:lineRule="auto"/>
        <w:ind w:left="284" w:hanging="284"/>
        <w:rPr>
          <w:rFonts w:ascii="Times New Roman" w:hAnsi="Times New Roman"/>
          <w:lang w:val="it-IT"/>
        </w:rPr>
      </w:pPr>
      <w:r w:rsidRPr="00A66174">
        <w:rPr>
          <w:lang w:val="it-IT"/>
        </w:rPr>
        <w:t>Soghrati,</w:t>
      </w:r>
      <w:r w:rsidR="0090261D">
        <w:rPr>
          <w:lang w:val="it-IT"/>
        </w:rPr>
        <w:t xml:space="preserve"> </w:t>
      </w:r>
      <w:r w:rsidR="0090261D" w:rsidRPr="00A66174">
        <w:rPr>
          <w:lang w:val="it-IT"/>
        </w:rPr>
        <w:t>E.</w:t>
      </w:r>
      <w:r w:rsidR="0090261D">
        <w:rPr>
          <w:lang w:val="it-IT"/>
        </w:rPr>
        <w:t>,</w:t>
      </w:r>
      <w:r w:rsidR="3C10BB23" w:rsidRPr="00A66174">
        <w:rPr>
          <w:lang w:val="it-IT"/>
        </w:rPr>
        <w:t xml:space="preserve"> et al</w:t>
      </w:r>
      <w:r w:rsidR="55867E72" w:rsidRPr="00A66174">
        <w:rPr>
          <w:lang w:val="it-IT"/>
        </w:rPr>
        <w:t>.,</w:t>
      </w:r>
      <w:r w:rsidR="3C10BB23" w:rsidRPr="00A66174">
        <w:rPr>
          <w:lang w:val="it-IT"/>
        </w:rPr>
        <w:t xml:space="preserve"> </w:t>
      </w:r>
      <w:r w:rsidR="3C10BB23" w:rsidRPr="00A66174">
        <w:rPr>
          <w:i/>
          <w:iCs/>
          <w:lang w:val="it-IT"/>
        </w:rPr>
        <w:t xml:space="preserve">Appl. </w:t>
      </w:r>
      <w:r w:rsidR="3C10BB23" w:rsidRPr="0090261D">
        <w:rPr>
          <w:i/>
          <w:iCs/>
          <w:lang w:val="it-IT"/>
        </w:rPr>
        <w:t>Catal. B</w:t>
      </w:r>
      <w:r w:rsidR="3C10BB23" w:rsidRPr="0090261D">
        <w:rPr>
          <w:lang w:val="it-IT"/>
        </w:rPr>
        <w:t xml:space="preserve">, </w:t>
      </w:r>
      <w:r w:rsidR="3C10BB23" w:rsidRPr="0090261D">
        <w:rPr>
          <w:b/>
          <w:bCs/>
          <w:lang w:val="it-IT"/>
        </w:rPr>
        <w:t>2018</w:t>
      </w:r>
      <w:r w:rsidR="3C10BB23" w:rsidRPr="0090261D">
        <w:rPr>
          <w:lang w:val="it-IT"/>
        </w:rPr>
        <w:t>, 235, 130-142.</w:t>
      </w:r>
    </w:p>
    <w:p w14:paraId="25928978" w14:textId="529BEB19" w:rsidR="0056618D" w:rsidRPr="00623CE3" w:rsidRDefault="3C10BB23" w:rsidP="51225D74">
      <w:pPr>
        <w:pStyle w:val="TAMainText"/>
        <w:numPr>
          <w:ilvl w:val="0"/>
          <w:numId w:val="2"/>
        </w:numPr>
        <w:spacing w:line="240" w:lineRule="auto"/>
        <w:ind w:left="284" w:hanging="284"/>
        <w:rPr>
          <w:rFonts w:ascii="Times New Roman" w:hAnsi="Times New Roman"/>
        </w:rPr>
      </w:pPr>
      <w:r w:rsidRPr="3C10BB23">
        <w:rPr>
          <w:rFonts w:ascii="Times New Roman" w:hAnsi="Times New Roman"/>
        </w:rPr>
        <w:t>Wei,</w:t>
      </w:r>
      <w:r w:rsidR="0090261D" w:rsidRPr="0090261D">
        <w:rPr>
          <w:rFonts w:ascii="Times New Roman" w:hAnsi="Times New Roman"/>
          <w:lang w:val="it-IT"/>
        </w:rPr>
        <w:t xml:space="preserve"> </w:t>
      </w:r>
      <w:r w:rsidR="0090261D" w:rsidRPr="311B957C">
        <w:rPr>
          <w:rFonts w:ascii="Times New Roman" w:hAnsi="Times New Roman"/>
        </w:rPr>
        <w:t>F.</w:t>
      </w:r>
      <w:r w:rsidR="00BC05E4">
        <w:rPr>
          <w:rFonts w:ascii="Times New Roman" w:hAnsi="Times New Roman"/>
        </w:rPr>
        <w:t>,</w:t>
      </w:r>
      <w:r w:rsidR="00BC05E4" w:rsidRPr="311B957C">
        <w:rPr>
          <w:rFonts w:ascii="Times New Roman" w:hAnsi="Times New Roman"/>
        </w:rPr>
        <w:t xml:space="preserve"> </w:t>
      </w:r>
      <w:r w:rsidR="00BC05E4" w:rsidRPr="3C10BB23">
        <w:rPr>
          <w:rFonts w:ascii="Times New Roman" w:hAnsi="Times New Roman"/>
        </w:rPr>
        <w:t>et al.</w:t>
      </w:r>
      <w:r w:rsidRPr="3C10BB23">
        <w:rPr>
          <w:rFonts w:ascii="Times New Roman" w:hAnsi="Times New Roman"/>
        </w:rPr>
        <w:t xml:space="preserve">, </w:t>
      </w:r>
      <w:r w:rsidRPr="3C10BB23">
        <w:rPr>
          <w:rFonts w:ascii="Times New Roman" w:hAnsi="Times New Roman"/>
          <w:i/>
          <w:iCs/>
        </w:rPr>
        <w:t>J. Phys. Chem. C</w:t>
      </w:r>
      <w:r w:rsidRPr="3C10BB23">
        <w:rPr>
          <w:rFonts w:ascii="Times New Roman" w:hAnsi="Times New Roman"/>
        </w:rPr>
        <w:t xml:space="preserve">, </w:t>
      </w:r>
      <w:r w:rsidRPr="3C10BB23">
        <w:rPr>
          <w:rFonts w:ascii="Times New Roman" w:hAnsi="Times New Roman"/>
          <w:b/>
          <w:bCs/>
        </w:rPr>
        <w:t>2020</w:t>
      </w:r>
      <w:r w:rsidRPr="3C10BB23">
        <w:rPr>
          <w:rFonts w:ascii="Times New Roman" w:hAnsi="Times New Roman"/>
        </w:rPr>
        <w:t xml:space="preserve"> ,124, 21, 11564-11573.</w:t>
      </w:r>
    </w:p>
    <w:p w14:paraId="6C0C6EE2" w14:textId="6E44EF33" w:rsidR="0056618D" w:rsidRPr="0090261D" w:rsidRDefault="55867E72" w:rsidP="51225D74">
      <w:pPr>
        <w:pStyle w:val="TAMainText"/>
        <w:numPr>
          <w:ilvl w:val="0"/>
          <w:numId w:val="2"/>
        </w:numPr>
        <w:spacing w:line="240" w:lineRule="auto"/>
        <w:ind w:left="284" w:hanging="284"/>
        <w:rPr>
          <w:rFonts w:ascii="Times New Roman" w:hAnsi="Times New Roman"/>
          <w:lang w:val="it-IT"/>
        </w:rPr>
      </w:pPr>
      <w:r w:rsidRPr="0090261D">
        <w:rPr>
          <w:rFonts w:ascii="Times New Roman" w:hAnsi="Times New Roman"/>
          <w:lang w:val="it-IT"/>
        </w:rPr>
        <w:t xml:space="preserve"> </w:t>
      </w:r>
      <w:r w:rsidR="3C10BB23" w:rsidRPr="00A66174">
        <w:rPr>
          <w:rFonts w:ascii="Times New Roman" w:hAnsi="Times New Roman"/>
          <w:lang w:val="it-IT"/>
        </w:rPr>
        <w:t>Li,</w:t>
      </w:r>
      <w:r w:rsidR="0090261D">
        <w:rPr>
          <w:rFonts w:ascii="Times New Roman" w:hAnsi="Times New Roman"/>
          <w:lang w:val="it-IT"/>
        </w:rPr>
        <w:t xml:space="preserve"> </w:t>
      </w:r>
      <w:r w:rsidR="0090261D" w:rsidRPr="00A66174">
        <w:rPr>
          <w:rFonts w:ascii="Times New Roman" w:hAnsi="Times New Roman"/>
          <w:lang w:val="it-IT"/>
        </w:rPr>
        <w:t>Z.</w:t>
      </w:r>
      <w:r w:rsidR="0090261D">
        <w:rPr>
          <w:rFonts w:ascii="Times New Roman" w:hAnsi="Times New Roman"/>
          <w:lang w:val="it-IT"/>
        </w:rPr>
        <w:t xml:space="preserve">, </w:t>
      </w:r>
      <w:r w:rsidR="3C10BB23" w:rsidRPr="00A66174">
        <w:rPr>
          <w:rFonts w:ascii="Times New Roman" w:hAnsi="Times New Roman"/>
          <w:lang w:val="it-IT"/>
        </w:rPr>
        <w:t xml:space="preserve"> et al</w:t>
      </w:r>
      <w:r w:rsidRPr="00A66174">
        <w:rPr>
          <w:rFonts w:ascii="Times New Roman" w:hAnsi="Times New Roman"/>
          <w:lang w:val="it-IT"/>
        </w:rPr>
        <w:t>.,</w:t>
      </w:r>
      <w:r w:rsidR="3C10BB23" w:rsidRPr="00A66174">
        <w:rPr>
          <w:rFonts w:ascii="Times New Roman" w:hAnsi="Times New Roman"/>
          <w:lang w:val="it-IT"/>
        </w:rPr>
        <w:t xml:space="preserve"> </w:t>
      </w:r>
      <w:r w:rsidR="3C10BB23" w:rsidRPr="00A66174">
        <w:rPr>
          <w:rFonts w:ascii="Times New Roman" w:hAnsi="Times New Roman"/>
          <w:i/>
          <w:iCs/>
          <w:lang w:val="it-IT"/>
        </w:rPr>
        <w:t>ACS Catal</w:t>
      </w:r>
      <w:r w:rsidR="3C10BB23" w:rsidRPr="00A66174">
        <w:rPr>
          <w:rFonts w:ascii="Times New Roman" w:hAnsi="Times New Roman"/>
          <w:lang w:val="it-IT"/>
        </w:rPr>
        <w:t xml:space="preserve">. </w:t>
      </w:r>
      <w:r w:rsidR="3C10BB23" w:rsidRPr="0090261D">
        <w:rPr>
          <w:rFonts w:ascii="Times New Roman" w:hAnsi="Times New Roman"/>
          <w:b/>
          <w:bCs/>
          <w:lang w:val="it-IT"/>
        </w:rPr>
        <w:t>2014</w:t>
      </w:r>
      <w:r w:rsidR="3C10BB23" w:rsidRPr="0090261D">
        <w:rPr>
          <w:rFonts w:ascii="Times New Roman" w:hAnsi="Times New Roman"/>
          <w:lang w:val="it-IT"/>
        </w:rPr>
        <w:t>, 4, 1526-1536.</w:t>
      </w:r>
    </w:p>
    <w:p w14:paraId="50D6DCED" w14:textId="5F57F354" w:rsidR="005B4C24" w:rsidRPr="008E1218" w:rsidRDefault="600AF0A6" w:rsidP="51225D74">
      <w:pPr>
        <w:pStyle w:val="TAMainText"/>
        <w:numPr>
          <w:ilvl w:val="0"/>
          <w:numId w:val="2"/>
        </w:numPr>
        <w:spacing w:line="240" w:lineRule="auto"/>
        <w:ind w:left="284" w:hanging="284"/>
        <w:rPr>
          <w:rFonts w:ascii="Times New Roman" w:hAnsi="Times New Roman"/>
        </w:rPr>
      </w:pPr>
      <w:r w:rsidRPr="0090261D">
        <w:rPr>
          <w:rFonts w:ascii="Times New Roman" w:hAnsi="Times New Roman"/>
          <w:lang w:val="it-IT"/>
        </w:rPr>
        <w:t xml:space="preserve"> </w:t>
      </w:r>
      <w:proofErr w:type="spellStart"/>
      <w:r w:rsidR="0DCA16ED" w:rsidRPr="00EC2E6D">
        <w:rPr>
          <w:rFonts w:ascii="Times New Roman" w:hAnsi="Times New Roman"/>
        </w:rPr>
        <w:t>Alir</w:t>
      </w:r>
      <w:proofErr w:type="spellEnd"/>
      <w:r w:rsidR="55867E72" w:rsidRPr="00EC2E6D">
        <w:rPr>
          <w:rFonts w:ascii="Times New Roman" w:hAnsi="Times New Roman"/>
        </w:rPr>
        <w:t>,</w:t>
      </w:r>
      <w:r w:rsidR="0090261D">
        <w:rPr>
          <w:rFonts w:ascii="Times New Roman" w:hAnsi="Times New Roman"/>
        </w:rPr>
        <w:t xml:space="preserve"> </w:t>
      </w:r>
      <w:r w:rsidR="0090261D" w:rsidRPr="00EC2E6D">
        <w:rPr>
          <w:rFonts w:ascii="Times New Roman" w:hAnsi="Times New Roman"/>
        </w:rPr>
        <w:t xml:space="preserve">A. </w:t>
      </w:r>
      <w:r w:rsidR="51225D74" w:rsidRPr="00EC2E6D">
        <w:rPr>
          <w:rFonts w:ascii="Times New Roman" w:eastAsia="Times" w:hAnsi="Times New Roman"/>
        </w:rPr>
        <w:t xml:space="preserve"> et al</w:t>
      </w:r>
      <w:r w:rsidR="55867E72" w:rsidRPr="00EC2E6D">
        <w:rPr>
          <w:rFonts w:ascii="Times New Roman" w:eastAsia="Times" w:hAnsi="Times New Roman"/>
        </w:rPr>
        <w:t>.,</w:t>
      </w:r>
      <w:r w:rsidR="51225D74" w:rsidRPr="00EC2E6D">
        <w:rPr>
          <w:rFonts w:ascii="Times New Roman" w:eastAsia="Times" w:hAnsi="Times New Roman"/>
        </w:rPr>
        <w:t xml:space="preserve"> </w:t>
      </w:r>
      <w:r w:rsidR="51225D74" w:rsidRPr="00EC2E6D">
        <w:rPr>
          <w:rFonts w:ascii="Times New Roman" w:hAnsi="Times New Roman"/>
          <w:i/>
        </w:rPr>
        <w:t>Catalysts</w:t>
      </w:r>
      <w:r w:rsidR="51225D74" w:rsidRPr="00EC2E6D">
        <w:rPr>
          <w:rFonts w:ascii="Times New Roman" w:hAnsi="Times New Roman"/>
        </w:rPr>
        <w:t xml:space="preserve"> </w:t>
      </w:r>
      <w:r w:rsidR="51225D74" w:rsidRPr="00EC2E6D">
        <w:rPr>
          <w:rFonts w:ascii="Times New Roman" w:hAnsi="Times New Roman"/>
          <w:b/>
        </w:rPr>
        <w:t>2023</w:t>
      </w:r>
      <w:r w:rsidR="51225D74" w:rsidRPr="00EC2E6D">
        <w:rPr>
          <w:rFonts w:ascii="Times New Roman" w:hAnsi="Times New Roman"/>
        </w:rPr>
        <w:t xml:space="preserve">, </w:t>
      </w:r>
      <w:r w:rsidR="51225D74" w:rsidRPr="00EC2E6D">
        <w:rPr>
          <w:rFonts w:ascii="Times New Roman" w:hAnsi="Times New Roman"/>
          <w:i/>
        </w:rPr>
        <w:t>13</w:t>
      </w:r>
      <w:r w:rsidR="51225D74" w:rsidRPr="00EC2E6D">
        <w:rPr>
          <w:rFonts w:ascii="Times New Roman" w:hAnsi="Times New Roman"/>
        </w:rPr>
        <w:t>, 472</w:t>
      </w:r>
      <w:r w:rsidR="51225D74" w:rsidRPr="00EC2E6D">
        <w:rPr>
          <w:rFonts w:ascii="Times New Roman" w:hAnsi="Times New Roman"/>
          <w:sz w:val="18"/>
          <w:szCs w:val="18"/>
        </w:rPr>
        <w:t xml:space="preserve">. </w:t>
      </w:r>
      <w:r w:rsidR="51225D74" w:rsidRPr="00623CE3">
        <w:rPr>
          <w:rFonts w:ascii="Times New Roman" w:hAnsi="Times New Roman"/>
        </w:rPr>
        <w:t xml:space="preserve"> </w:t>
      </w:r>
    </w:p>
    <w:sectPr w:rsidR="005B4C24" w:rsidRPr="008E1218" w:rsidSect="00EA4E1B">
      <w:footerReference w:type="default" r:id="rId17"/>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82CD" w14:textId="77777777" w:rsidR="003E06A4" w:rsidRDefault="003E06A4" w:rsidP="00EA4E1B">
      <w:pPr>
        <w:spacing w:after="0" w:line="240" w:lineRule="auto"/>
      </w:pPr>
      <w:r>
        <w:separator/>
      </w:r>
    </w:p>
  </w:endnote>
  <w:endnote w:type="continuationSeparator" w:id="0">
    <w:p w14:paraId="3BEB77DB" w14:textId="77777777" w:rsidR="003E06A4" w:rsidRDefault="003E06A4" w:rsidP="00EA4E1B">
      <w:pPr>
        <w:spacing w:after="0" w:line="240" w:lineRule="auto"/>
      </w:pPr>
      <w:r>
        <w:continuationSeparator/>
      </w:r>
    </w:p>
  </w:endnote>
  <w:endnote w:type="continuationNotice" w:id="1">
    <w:p w14:paraId="6CF072D0" w14:textId="77777777" w:rsidR="003E06A4" w:rsidRDefault="003E0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15"/>
      <w:gridCol w:w="3415"/>
      <w:gridCol w:w="3415"/>
    </w:tblGrid>
    <w:tr w:rsidR="0F19106E" w14:paraId="18A1C984" w14:textId="77777777" w:rsidTr="0F19106E">
      <w:trPr>
        <w:trHeight w:val="300"/>
      </w:trPr>
      <w:tc>
        <w:tcPr>
          <w:tcW w:w="3415" w:type="dxa"/>
        </w:tcPr>
        <w:p w14:paraId="105F998A" w14:textId="517F93B3" w:rsidR="0F19106E" w:rsidRDefault="0F19106E" w:rsidP="0F19106E">
          <w:pPr>
            <w:pStyle w:val="Cabealho"/>
            <w:ind w:left="-115"/>
          </w:pPr>
        </w:p>
      </w:tc>
      <w:tc>
        <w:tcPr>
          <w:tcW w:w="3415" w:type="dxa"/>
        </w:tcPr>
        <w:p w14:paraId="291E16E1" w14:textId="663E388E" w:rsidR="0F19106E" w:rsidRDefault="0F19106E" w:rsidP="0F19106E">
          <w:pPr>
            <w:pStyle w:val="Cabealho"/>
            <w:jc w:val="center"/>
          </w:pPr>
        </w:p>
      </w:tc>
      <w:tc>
        <w:tcPr>
          <w:tcW w:w="3415" w:type="dxa"/>
        </w:tcPr>
        <w:p w14:paraId="0151AC62" w14:textId="0CDCDAB5" w:rsidR="0F19106E" w:rsidRDefault="0F19106E" w:rsidP="0F19106E">
          <w:pPr>
            <w:pStyle w:val="Cabealho"/>
            <w:ind w:right="-115"/>
            <w:jc w:val="right"/>
          </w:pPr>
        </w:p>
      </w:tc>
    </w:tr>
  </w:tbl>
  <w:p w14:paraId="7E97E433" w14:textId="20502B6B" w:rsidR="0F19106E" w:rsidRDefault="0F19106E" w:rsidP="0F1910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585"/>
      <w:gridCol w:w="1585"/>
      <w:gridCol w:w="1585"/>
    </w:tblGrid>
    <w:tr w:rsidR="0F19106E" w14:paraId="770C380D" w14:textId="77777777" w:rsidTr="0F19106E">
      <w:trPr>
        <w:trHeight w:val="300"/>
      </w:trPr>
      <w:tc>
        <w:tcPr>
          <w:tcW w:w="1585" w:type="dxa"/>
        </w:tcPr>
        <w:p w14:paraId="02C37649" w14:textId="471DA466" w:rsidR="0F19106E" w:rsidRDefault="0F19106E" w:rsidP="0F19106E">
          <w:pPr>
            <w:pStyle w:val="Cabealho"/>
            <w:ind w:left="-115"/>
          </w:pPr>
        </w:p>
      </w:tc>
      <w:tc>
        <w:tcPr>
          <w:tcW w:w="1585" w:type="dxa"/>
        </w:tcPr>
        <w:p w14:paraId="37B82013" w14:textId="0447BD96" w:rsidR="0F19106E" w:rsidRDefault="0F19106E" w:rsidP="0F19106E">
          <w:pPr>
            <w:pStyle w:val="Cabealho"/>
            <w:jc w:val="center"/>
          </w:pPr>
        </w:p>
      </w:tc>
      <w:tc>
        <w:tcPr>
          <w:tcW w:w="1585" w:type="dxa"/>
        </w:tcPr>
        <w:p w14:paraId="7FD675F2" w14:textId="2D7EA6A1" w:rsidR="0F19106E" w:rsidRDefault="0F19106E" w:rsidP="0F19106E">
          <w:pPr>
            <w:pStyle w:val="Cabealho"/>
            <w:ind w:right="-115"/>
            <w:jc w:val="right"/>
          </w:pPr>
        </w:p>
      </w:tc>
    </w:tr>
  </w:tbl>
  <w:p w14:paraId="04BFB39A" w14:textId="1C3CD2FC" w:rsidR="0F19106E" w:rsidRDefault="0F19106E" w:rsidP="0F1910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55FD" w14:textId="77777777" w:rsidR="003E06A4" w:rsidRDefault="003E06A4" w:rsidP="00EA4E1B">
      <w:pPr>
        <w:spacing w:after="0" w:line="240" w:lineRule="auto"/>
      </w:pPr>
      <w:r>
        <w:separator/>
      </w:r>
    </w:p>
  </w:footnote>
  <w:footnote w:type="continuationSeparator" w:id="0">
    <w:p w14:paraId="45DB734B" w14:textId="77777777" w:rsidR="003E06A4" w:rsidRDefault="003E06A4" w:rsidP="00EA4E1B">
      <w:pPr>
        <w:spacing w:after="0" w:line="240" w:lineRule="auto"/>
      </w:pPr>
      <w:r>
        <w:continuationSeparator/>
      </w:r>
    </w:p>
  </w:footnote>
  <w:footnote w:type="continuationNotice" w:id="1">
    <w:p w14:paraId="2EB41795" w14:textId="77777777" w:rsidR="003E06A4" w:rsidRDefault="003E06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1068388461" name="Imagem 106838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1632264768" name="Imagem 1632264768"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2B3D6E3B"/>
    <w:multiLevelType w:val="hybridMultilevel"/>
    <w:tmpl w:val="C114AE7A"/>
    <w:lvl w:ilvl="0" w:tplc="0416000F">
      <w:start w:val="1"/>
      <w:numFmt w:val="decimal"/>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8307617">
    <w:abstractNumId w:val="0"/>
  </w:num>
  <w:num w:numId="2" w16cid:durableId="1823767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4"/>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557"/>
    <w:rsid w:val="00002286"/>
    <w:rsid w:val="000022CC"/>
    <w:rsid w:val="0000521B"/>
    <w:rsid w:val="00005E6A"/>
    <w:rsid w:val="000062C1"/>
    <w:rsid w:val="000062C2"/>
    <w:rsid w:val="00011A40"/>
    <w:rsid w:val="0001264A"/>
    <w:rsid w:val="00014921"/>
    <w:rsid w:val="00014F7E"/>
    <w:rsid w:val="000162E1"/>
    <w:rsid w:val="00016E85"/>
    <w:rsid w:val="00017BFD"/>
    <w:rsid w:val="00022841"/>
    <w:rsid w:val="00022C11"/>
    <w:rsid w:val="000230A7"/>
    <w:rsid w:val="000232B0"/>
    <w:rsid w:val="00025D39"/>
    <w:rsid w:val="00030F2F"/>
    <w:rsid w:val="000342C7"/>
    <w:rsid w:val="00034CDD"/>
    <w:rsid w:val="00037A9F"/>
    <w:rsid w:val="0004227D"/>
    <w:rsid w:val="0005110F"/>
    <w:rsid w:val="00051922"/>
    <w:rsid w:val="00051E76"/>
    <w:rsid w:val="0005222F"/>
    <w:rsid w:val="000531C4"/>
    <w:rsid w:val="000536F7"/>
    <w:rsid w:val="00053F42"/>
    <w:rsid w:val="00055E8D"/>
    <w:rsid w:val="00056553"/>
    <w:rsid w:val="0005698E"/>
    <w:rsid w:val="00057914"/>
    <w:rsid w:val="00061016"/>
    <w:rsid w:val="00061A72"/>
    <w:rsid w:val="00062FC0"/>
    <w:rsid w:val="000646CC"/>
    <w:rsid w:val="000666D9"/>
    <w:rsid w:val="00067131"/>
    <w:rsid w:val="000676FE"/>
    <w:rsid w:val="00067728"/>
    <w:rsid w:val="00067AB9"/>
    <w:rsid w:val="00067F0A"/>
    <w:rsid w:val="000713AB"/>
    <w:rsid w:val="000716AA"/>
    <w:rsid w:val="000727C7"/>
    <w:rsid w:val="000730A4"/>
    <w:rsid w:val="00076631"/>
    <w:rsid w:val="00077192"/>
    <w:rsid w:val="0008018D"/>
    <w:rsid w:val="00080F06"/>
    <w:rsid w:val="000816AD"/>
    <w:rsid w:val="000818F7"/>
    <w:rsid w:val="00081DDD"/>
    <w:rsid w:val="00081F1F"/>
    <w:rsid w:val="000823E1"/>
    <w:rsid w:val="0008375D"/>
    <w:rsid w:val="00084605"/>
    <w:rsid w:val="000846AD"/>
    <w:rsid w:val="00084CAD"/>
    <w:rsid w:val="00085DB4"/>
    <w:rsid w:val="00087155"/>
    <w:rsid w:val="000902AE"/>
    <w:rsid w:val="00091B3E"/>
    <w:rsid w:val="00095B2F"/>
    <w:rsid w:val="00096484"/>
    <w:rsid w:val="00096B94"/>
    <w:rsid w:val="000A17ED"/>
    <w:rsid w:val="000A19FB"/>
    <w:rsid w:val="000A2922"/>
    <w:rsid w:val="000B24EC"/>
    <w:rsid w:val="000B379C"/>
    <w:rsid w:val="000B4454"/>
    <w:rsid w:val="000B5E59"/>
    <w:rsid w:val="000B7451"/>
    <w:rsid w:val="000B7D02"/>
    <w:rsid w:val="000C4975"/>
    <w:rsid w:val="000C515F"/>
    <w:rsid w:val="000C68BB"/>
    <w:rsid w:val="000D178B"/>
    <w:rsid w:val="000D1D1F"/>
    <w:rsid w:val="000D2250"/>
    <w:rsid w:val="000D2885"/>
    <w:rsid w:val="000D32D1"/>
    <w:rsid w:val="000D430E"/>
    <w:rsid w:val="000D479F"/>
    <w:rsid w:val="000D4E11"/>
    <w:rsid w:val="000D714F"/>
    <w:rsid w:val="000E13C6"/>
    <w:rsid w:val="000E228C"/>
    <w:rsid w:val="000E28C8"/>
    <w:rsid w:val="000E2F80"/>
    <w:rsid w:val="000E3459"/>
    <w:rsid w:val="000F034A"/>
    <w:rsid w:val="000F1D24"/>
    <w:rsid w:val="000F4847"/>
    <w:rsid w:val="000F4E4C"/>
    <w:rsid w:val="000F5091"/>
    <w:rsid w:val="000F6B14"/>
    <w:rsid w:val="000F6EED"/>
    <w:rsid w:val="000F7E92"/>
    <w:rsid w:val="001002D8"/>
    <w:rsid w:val="00101DF7"/>
    <w:rsid w:val="00103DF3"/>
    <w:rsid w:val="00103F34"/>
    <w:rsid w:val="001047B4"/>
    <w:rsid w:val="001048E3"/>
    <w:rsid w:val="00105DD0"/>
    <w:rsid w:val="00106105"/>
    <w:rsid w:val="001066D2"/>
    <w:rsid w:val="00106CEE"/>
    <w:rsid w:val="00106DA9"/>
    <w:rsid w:val="00111D26"/>
    <w:rsid w:val="00112228"/>
    <w:rsid w:val="00113A92"/>
    <w:rsid w:val="00113EA9"/>
    <w:rsid w:val="00115D39"/>
    <w:rsid w:val="00115E63"/>
    <w:rsid w:val="001169DF"/>
    <w:rsid w:val="00116F1A"/>
    <w:rsid w:val="0011740D"/>
    <w:rsid w:val="001204EE"/>
    <w:rsid w:val="00120681"/>
    <w:rsid w:val="001245F5"/>
    <w:rsid w:val="00124C04"/>
    <w:rsid w:val="00124EEE"/>
    <w:rsid w:val="00125CFA"/>
    <w:rsid w:val="0013184D"/>
    <w:rsid w:val="0013613E"/>
    <w:rsid w:val="00136638"/>
    <w:rsid w:val="00136892"/>
    <w:rsid w:val="00137360"/>
    <w:rsid w:val="00137C54"/>
    <w:rsid w:val="001401D9"/>
    <w:rsid w:val="0014134E"/>
    <w:rsid w:val="00141CEC"/>
    <w:rsid w:val="001429B1"/>
    <w:rsid w:val="0014343C"/>
    <w:rsid w:val="00145226"/>
    <w:rsid w:val="00145DCB"/>
    <w:rsid w:val="00145E2B"/>
    <w:rsid w:val="0014651B"/>
    <w:rsid w:val="00150013"/>
    <w:rsid w:val="0015162D"/>
    <w:rsid w:val="0015309C"/>
    <w:rsid w:val="0015448B"/>
    <w:rsid w:val="00154BE3"/>
    <w:rsid w:val="0016293E"/>
    <w:rsid w:val="00162CE3"/>
    <w:rsid w:val="001643B5"/>
    <w:rsid w:val="00165C99"/>
    <w:rsid w:val="00167CEC"/>
    <w:rsid w:val="00170711"/>
    <w:rsid w:val="00170E30"/>
    <w:rsid w:val="00173EB0"/>
    <w:rsid w:val="00177267"/>
    <w:rsid w:val="00181E93"/>
    <w:rsid w:val="001869DD"/>
    <w:rsid w:val="001919CA"/>
    <w:rsid w:val="00191B30"/>
    <w:rsid w:val="00191DF6"/>
    <w:rsid w:val="0019249D"/>
    <w:rsid w:val="00192CED"/>
    <w:rsid w:val="00196BBB"/>
    <w:rsid w:val="00196BDA"/>
    <w:rsid w:val="00197CAF"/>
    <w:rsid w:val="001A0159"/>
    <w:rsid w:val="001A022A"/>
    <w:rsid w:val="001A13CD"/>
    <w:rsid w:val="001A266D"/>
    <w:rsid w:val="001A33F4"/>
    <w:rsid w:val="001A3CD2"/>
    <w:rsid w:val="001A4016"/>
    <w:rsid w:val="001A4A98"/>
    <w:rsid w:val="001A6CDE"/>
    <w:rsid w:val="001A70FA"/>
    <w:rsid w:val="001A765A"/>
    <w:rsid w:val="001A7802"/>
    <w:rsid w:val="001A7BC6"/>
    <w:rsid w:val="001B0C34"/>
    <w:rsid w:val="001B1D95"/>
    <w:rsid w:val="001B50DE"/>
    <w:rsid w:val="001B513F"/>
    <w:rsid w:val="001C0095"/>
    <w:rsid w:val="001C555A"/>
    <w:rsid w:val="001C5760"/>
    <w:rsid w:val="001C65B8"/>
    <w:rsid w:val="001C6F0D"/>
    <w:rsid w:val="001D064B"/>
    <w:rsid w:val="001D1540"/>
    <w:rsid w:val="001D2F09"/>
    <w:rsid w:val="001D34FF"/>
    <w:rsid w:val="001D417D"/>
    <w:rsid w:val="001E5473"/>
    <w:rsid w:val="001E58A9"/>
    <w:rsid w:val="001E78DE"/>
    <w:rsid w:val="001F060F"/>
    <w:rsid w:val="001F07F6"/>
    <w:rsid w:val="001F25B2"/>
    <w:rsid w:val="001F516E"/>
    <w:rsid w:val="001F524D"/>
    <w:rsid w:val="001F5B06"/>
    <w:rsid w:val="001F711D"/>
    <w:rsid w:val="001F7120"/>
    <w:rsid w:val="001F7ED0"/>
    <w:rsid w:val="00202261"/>
    <w:rsid w:val="002026F2"/>
    <w:rsid w:val="002052CA"/>
    <w:rsid w:val="00212F1D"/>
    <w:rsid w:val="00215340"/>
    <w:rsid w:val="00216164"/>
    <w:rsid w:val="002212A6"/>
    <w:rsid w:val="00221514"/>
    <w:rsid w:val="00222230"/>
    <w:rsid w:val="00222772"/>
    <w:rsid w:val="00222CCA"/>
    <w:rsid w:val="0022587A"/>
    <w:rsid w:val="0022636F"/>
    <w:rsid w:val="0023110F"/>
    <w:rsid w:val="00233FB9"/>
    <w:rsid w:val="00235872"/>
    <w:rsid w:val="00235D72"/>
    <w:rsid w:val="002407F9"/>
    <w:rsid w:val="00241C4E"/>
    <w:rsid w:val="002500FE"/>
    <w:rsid w:val="00251321"/>
    <w:rsid w:val="00253C1D"/>
    <w:rsid w:val="00253C2D"/>
    <w:rsid w:val="00253E72"/>
    <w:rsid w:val="002556E6"/>
    <w:rsid w:val="00255A5B"/>
    <w:rsid w:val="00256292"/>
    <w:rsid w:val="00256322"/>
    <w:rsid w:val="002568D4"/>
    <w:rsid w:val="002618BE"/>
    <w:rsid w:val="00262E68"/>
    <w:rsid w:val="00263004"/>
    <w:rsid w:val="00263C30"/>
    <w:rsid w:val="00264120"/>
    <w:rsid w:val="002641CD"/>
    <w:rsid w:val="00265938"/>
    <w:rsid w:val="00265AB5"/>
    <w:rsid w:val="00266D25"/>
    <w:rsid w:val="002701C8"/>
    <w:rsid w:val="00271B08"/>
    <w:rsid w:val="00282D06"/>
    <w:rsid w:val="00283EB0"/>
    <w:rsid w:val="00285B76"/>
    <w:rsid w:val="00286DF6"/>
    <w:rsid w:val="00290A6D"/>
    <w:rsid w:val="00290E68"/>
    <w:rsid w:val="00290E9D"/>
    <w:rsid w:val="00292114"/>
    <w:rsid w:val="00293BCA"/>
    <w:rsid w:val="00293E62"/>
    <w:rsid w:val="00296113"/>
    <w:rsid w:val="0029623B"/>
    <w:rsid w:val="00297873"/>
    <w:rsid w:val="002A0F2D"/>
    <w:rsid w:val="002A2C0E"/>
    <w:rsid w:val="002A4BED"/>
    <w:rsid w:val="002A5617"/>
    <w:rsid w:val="002A573B"/>
    <w:rsid w:val="002A5FC4"/>
    <w:rsid w:val="002A7777"/>
    <w:rsid w:val="002B0559"/>
    <w:rsid w:val="002B098B"/>
    <w:rsid w:val="002B1245"/>
    <w:rsid w:val="002B21B5"/>
    <w:rsid w:val="002B23F9"/>
    <w:rsid w:val="002B29B1"/>
    <w:rsid w:val="002B3CED"/>
    <w:rsid w:val="002B546F"/>
    <w:rsid w:val="002B7221"/>
    <w:rsid w:val="002B77CE"/>
    <w:rsid w:val="002C08C5"/>
    <w:rsid w:val="002C211E"/>
    <w:rsid w:val="002C6C67"/>
    <w:rsid w:val="002D0829"/>
    <w:rsid w:val="002D246C"/>
    <w:rsid w:val="002D2DDD"/>
    <w:rsid w:val="002D3EC0"/>
    <w:rsid w:val="002D78EF"/>
    <w:rsid w:val="002E048A"/>
    <w:rsid w:val="002E25DA"/>
    <w:rsid w:val="002E3591"/>
    <w:rsid w:val="002E399A"/>
    <w:rsid w:val="002E4B5A"/>
    <w:rsid w:val="002E4C91"/>
    <w:rsid w:val="002E662F"/>
    <w:rsid w:val="002F42B1"/>
    <w:rsid w:val="002F7BD4"/>
    <w:rsid w:val="002F7D09"/>
    <w:rsid w:val="002F7DC6"/>
    <w:rsid w:val="00300F3A"/>
    <w:rsid w:val="0030193D"/>
    <w:rsid w:val="0030363B"/>
    <w:rsid w:val="0030378C"/>
    <w:rsid w:val="003052B4"/>
    <w:rsid w:val="0030571C"/>
    <w:rsid w:val="003070E7"/>
    <w:rsid w:val="00312768"/>
    <w:rsid w:val="00316044"/>
    <w:rsid w:val="0031670B"/>
    <w:rsid w:val="0032048F"/>
    <w:rsid w:val="00321093"/>
    <w:rsid w:val="003225EC"/>
    <w:rsid w:val="00322A79"/>
    <w:rsid w:val="00322ADE"/>
    <w:rsid w:val="00326778"/>
    <w:rsid w:val="003269F4"/>
    <w:rsid w:val="00330D29"/>
    <w:rsid w:val="00334719"/>
    <w:rsid w:val="00334A57"/>
    <w:rsid w:val="00334AEB"/>
    <w:rsid w:val="0033604D"/>
    <w:rsid w:val="00337D5A"/>
    <w:rsid w:val="003403D0"/>
    <w:rsid w:val="00340740"/>
    <w:rsid w:val="00340B1E"/>
    <w:rsid w:val="00340CD9"/>
    <w:rsid w:val="00340F27"/>
    <w:rsid w:val="003415C2"/>
    <w:rsid w:val="00342129"/>
    <w:rsid w:val="00343373"/>
    <w:rsid w:val="0034368C"/>
    <w:rsid w:val="00343BF5"/>
    <w:rsid w:val="00344472"/>
    <w:rsid w:val="00347D87"/>
    <w:rsid w:val="00350FAF"/>
    <w:rsid w:val="003513E5"/>
    <w:rsid w:val="00351F62"/>
    <w:rsid w:val="003520ED"/>
    <w:rsid w:val="00353099"/>
    <w:rsid w:val="003531B7"/>
    <w:rsid w:val="003535C2"/>
    <w:rsid w:val="00354CDC"/>
    <w:rsid w:val="00356DE3"/>
    <w:rsid w:val="003616E6"/>
    <w:rsid w:val="00362752"/>
    <w:rsid w:val="00362DF4"/>
    <w:rsid w:val="00363B7C"/>
    <w:rsid w:val="00365028"/>
    <w:rsid w:val="00370D78"/>
    <w:rsid w:val="0037565B"/>
    <w:rsid w:val="00375FD1"/>
    <w:rsid w:val="003802F6"/>
    <w:rsid w:val="00381662"/>
    <w:rsid w:val="00384A22"/>
    <w:rsid w:val="00386275"/>
    <w:rsid w:val="00387981"/>
    <w:rsid w:val="00390A73"/>
    <w:rsid w:val="00393050"/>
    <w:rsid w:val="00396C4B"/>
    <w:rsid w:val="00396DC2"/>
    <w:rsid w:val="003A0D7C"/>
    <w:rsid w:val="003A0F30"/>
    <w:rsid w:val="003A1586"/>
    <w:rsid w:val="003A22BD"/>
    <w:rsid w:val="003A23E7"/>
    <w:rsid w:val="003A27BF"/>
    <w:rsid w:val="003A557A"/>
    <w:rsid w:val="003A6C90"/>
    <w:rsid w:val="003A6F3D"/>
    <w:rsid w:val="003B0179"/>
    <w:rsid w:val="003B0F7B"/>
    <w:rsid w:val="003B29C3"/>
    <w:rsid w:val="003B2D0A"/>
    <w:rsid w:val="003B3CD5"/>
    <w:rsid w:val="003B7222"/>
    <w:rsid w:val="003C4F99"/>
    <w:rsid w:val="003C5CAD"/>
    <w:rsid w:val="003C6452"/>
    <w:rsid w:val="003C6B97"/>
    <w:rsid w:val="003C76D4"/>
    <w:rsid w:val="003D00AE"/>
    <w:rsid w:val="003D0143"/>
    <w:rsid w:val="003D1F77"/>
    <w:rsid w:val="003D2FCB"/>
    <w:rsid w:val="003D409A"/>
    <w:rsid w:val="003D4368"/>
    <w:rsid w:val="003D4831"/>
    <w:rsid w:val="003D68F1"/>
    <w:rsid w:val="003D6E3F"/>
    <w:rsid w:val="003E06A4"/>
    <w:rsid w:val="003E2E07"/>
    <w:rsid w:val="003E3FEB"/>
    <w:rsid w:val="003E4E76"/>
    <w:rsid w:val="003E5C03"/>
    <w:rsid w:val="003E726C"/>
    <w:rsid w:val="003F30D8"/>
    <w:rsid w:val="003F49C8"/>
    <w:rsid w:val="003F71DD"/>
    <w:rsid w:val="00402F3E"/>
    <w:rsid w:val="00405DE2"/>
    <w:rsid w:val="00405FB0"/>
    <w:rsid w:val="004060AC"/>
    <w:rsid w:val="0040690E"/>
    <w:rsid w:val="00410327"/>
    <w:rsid w:val="0041063A"/>
    <w:rsid w:val="00411ADC"/>
    <w:rsid w:val="00411F44"/>
    <w:rsid w:val="00414573"/>
    <w:rsid w:val="004168D5"/>
    <w:rsid w:val="004200A4"/>
    <w:rsid w:val="00420C05"/>
    <w:rsid w:val="004220B5"/>
    <w:rsid w:val="00426DD3"/>
    <w:rsid w:val="004300EE"/>
    <w:rsid w:val="00431108"/>
    <w:rsid w:val="00431243"/>
    <w:rsid w:val="004316EE"/>
    <w:rsid w:val="00431B5E"/>
    <w:rsid w:val="004322EE"/>
    <w:rsid w:val="004333CC"/>
    <w:rsid w:val="00433C8E"/>
    <w:rsid w:val="00434626"/>
    <w:rsid w:val="00435870"/>
    <w:rsid w:val="00436D88"/>
    <w:rsid w:val="0044203C"/>
    <w:rsid w:val="00443124"/>
    <w:rsid w:val="004443CB"/>
    <w:rsid w:val="0044480A"/>
    <w:rsid w:val="00444BE6"/>
    <w:rsid w:val="00444C6B"/>
    <w:rsid w:val="00444C94"/>
    <w:rsid w:val="004470B0"/>
    <w:rsid w:val="00447E47"/>
    <w:rsid w:val="00454BF7"/>
    <w:rsid w:val="00455361"/>
    <w:rsid w:val="00456399"/>
    <w:rsid w:val="004568AC"/>
    <w:rsid w:val="00457344"/>
    <w:rsid w:val="0046008A"/>
    <w:rsid w:val="0046240A"/>
    <w:rsid w:val="00463115"/>
    <w:rsid w:val="0046373F"/>
    <w:rsid w:val="0047320D"/>
    <w:rsid w:val="00476395"/>
    <w:rsid w:val="004766CA"/>
    <w:rsid w:val="00480279"/>
    <w:rsid w:val="004813E7"/>
    <w:rsid w:val="00485951"/>
    <w:rsid w:val="004863E7"/>
    <w:rsid w:val="0048707C"/>
    <w:rsid w:val="0049062A"/>
    <w:rsid w:val="004907E0"/>
    <w:rsid w:val="0049265D"/>
    <w:rsid w:val="004930AA"/>
    <w:rsid w:val="00493371"/>
    <w:rsid w:val="00494AB8"/>
    <w:rsid w:val="00496DEB"/>
    <w:rsid w:val="004A57D8"/>
    <w:rsid w:val="004A65A7"/>
    <w:rsid w:val="004A675A"/>
    <w:rsid w:val="004A7A2A"/>
    <w:rsid w:val="004A9112"/>
    <w:rsid w:val="004B2E7D"/>
    <w:rsid w:val="004B69BD"/>
    <w:rsid w:val="004B762A"/>
    <w:rsid w:val="004B7D6C"/>
    <w:rsid w:val="004C12EF"/>
    <w:rsid w:val="004C1F2E"/>
    <w:rsid w:val="004C466F"/>
    <w:rsid w:val="004C5377"/>
    <w:rsid w:val="004C58D4"/>
    <w:rsid w:val="004C6AA7"/>
    <w:rsid w:val="004D00E5"/>
    <w:rsid w:val="004D1BDC"/>
    <w:rsid w:val="004D386C"/>
    <w:rsid w:val="004D607F"/>
    <w:rsid w:val="004E05B2"/>
    <w:rsid w:val="004E2AA6"/>
    <w:rsid w:val="004E2B00"/>
    <w:rsid w:val="004E3355"/>
    <w:rsid w:val="004E49E4"/>
    <w:rsid w:val="004E7046"/>
    <w:rsid w:val="004E7814"/>
    <w:rsid w:val="004F1464"/>
    <w:rsid w:val="004F3F42"/>
    <w:rsid w:val="004F4957"/>
    <w:rsid w:val="004F5F1C"/>
    <w:rsid w:val="004F625C"/>
    <w:rsid w:val="004F70F2"/>
    <w:rsid w:val="00502DB4"/>
    <w:rsid w:val="00502DD7"/>
    <w:rsid w:val="0050393F"/>
    <w:rsid w:val="00503EB9"/>
    <w:rsid w:val="0050401F"/>
    <w:rsid w:val="0050413F"/>
    <w:rsid w:val="00504F0B"/>
    <w:rsid w:val="005056C1"/>
    <w:rsid w:val="005102A1"/>
    <w:rsid w:val="005104F2"/>
    <w:rsid w:val="00515C77"/>
    <w:rsid w:val="00516F18"/>
    <w:rsid w:val="00520141"/>
    <w:rsid w:val="00520790"/>
    <w:rsid w:val="0052112E"/>
    <w:rsid w:val="005229C7"/>
    <w:rsid w:val="00523DBE"/>
    <w:rsid w:val="005241BA"/>
    <w:rsid w:val="00526B80"/>
    <w:rsid w:val="0053177A"/>
    <w:rsid w:val="00532E73"/>
    <w:rsid w:val="00533ECB"/>
    <w:rsid w:val="005340E8"/>
    <w:rsid w:val="00535155"/>
    <w:rsid w:val="005361EA"/>
    <w:rsid w:val="00540365"/>
    <w:rsid w:val="0054183C"/>
    <w:rsid w:val="0054229D"/>
    <w:rsid w:val="00542C76"/>
    <w:rsid w:val="0054376C"/>
    <w:rsid w:val="00543E87"/>
    <w:rsid w:val="005458C4"/>
    <w:rsid w:val="00545B7E"/>
    <w:rsid w:val="00546C0D"/>
    <w:rsid w:val="00547FA1"/>
    <w:rsid w:val="005507BA"/>
    <w:rsid w:val="00550B61"/>
    <w:rsid w:val="00551299"/>
    <w:rsid w:val="00552278"/>
    <w:rsid w:val="005533B4"/>
    <w:rsid w:val="0055438C"/>
    <w:rsid w:val="00554EFF"/>
    <w:rsid w:val="00555F57"/>
    <w:rsid w:val="005572D0"/>
    <w:rsid w:val="00560A59"/>
    <w:rsid w:val="00560E7E"/>
    <w:rsid w:val="00561618"/>
    <w:rsid w:val="00562273"/>
    <w:rsid w:val="005624C0"/>
    <w:rsid w:val="00562F49"/>
    <w:rsid w:val="00563303"/>
    <w:rsid w:val="005641C9"/>
    <w:rsid w:val="0056618D"/>
    <w:rsid w:val="005675EA"/>
    <w:rsid w:val="00567FD1"/>
    <w:rsid w:val="00570671"/>
    <w:rsid w:val="00571E2F"/>
    <w:rsid w:val="00572198"/>
    <w:rsid w:val="0057450E"/>
    <w:rsid w:val="005757AE"/>
    <w:rsid w:val="00576965"/>
    <w:rsid w:val="00580A6B"/>
    <w:rsid w:val="00581303"/>
    <w:rsid w:val="00584BB0"/>
    <w:rsid w:val="00584BFB"/>
    <w:rsid w:val="005869D6"/>
    <w:rsid w:val="0059255B"/>
    <w:rsid w:val="00593E90"/>
    <w:rsid w:val="00594974"/>
    <w:rsid w:val="005959E0"/>
    <w:rsid w:val="00595E15"/>
    <w:rsid w:val="00595FF6"/>
    <w:rsid w:val="005977C5"/>
    <w:rsid w:val="005A04CD"/>
    <w:rsid w:val="005A1B3D"/>
    <w:rsid w:val="005A3FDD"/>
    <w:rsid w:val="005A4700"/>
    <w:rsid w:val="005A4C34"/>
    <w:rsid w:val="005A527C"/>
    <w:rsid w:val="005A5BDC"/>
    <w:rsid w:val="005A70D5"/>
    <w:rsid w:val="005A78F4"/>
    <w:rsid w:val="005B1DAC"/>
    <w:rsid w:val="005B2EF9"/>
    <w:rsid w:val="005B41F4"/>
    <w:rsid w:val="005B4C24"/>
    <w:rsid w:val="005B54CA"/>
    <w:rsid w:val="005B5F96"/>
    <w:rsid w:val="005B77AD"/>
    <w:rsid w:val="005B7D91"/>
    <w:rsid w:val="005B7FED"/>
    <w:rsid w:val="005C14F6"/>
    <w:rsid w:val="005C1981"/>
    <w:rsid w:val="005C1BAF"/>
    <w:rsid w:val="005C1D47"/>
    <w:rsid w:val="005C20AF"/>
    <w:rsid w:val="005C2775"/>
    <w:rsid w:val="005C2BA4"/>
    <w:rsid w:val="005C4049"/>
    <w:rsid w:val="005C6358"/>
    <w:rsid w:val="005C67EF"/>
    <w:rsid w:val="005D2815"/>
    <w:rsid w:val="005D3B73"/>
    <w:rsid w:val="005D55E2"/>
    <w:rsid w:val="005D571D"/>
    <w:rsid w:val="005D5DBA"/>
    <w:rsid w:val="005D637A"/>
    <w:rsid w:val="005D65EB"/>
    <w:rsid w:val="005D67FE"/>
    <w:rsid w:val="005D7D6B"/>
    <w:rsid w:val="005E00A4"/>
    <w:rsid w:val="005E05A2"/>
    <w:rsid w:val="005E0D3E"/>
    <w:rsid w:val="005E15A7"/>
    <w:rsid w:val="005E1E39"/>
    <w:rsid w:val="005E1F47"/>
    <w:rsid w:val="005E1F6D"/>
    <w:rsid w:val="005E3308"/>
    <w:rsid w:val="005E38D2"/>
    <w:rsid w:val="005E6E63"/>
    <w:rsid w:val="005F0216"/>
    <w:rsid w:val="005F05BF"/>
    <w:rsid w:val="005F09DA"/>
    <w:rsid w:val="005F2DDA"/>
    <w:rsid w:val="005F384D"/>
    <w:rsid w:val="005F3BB4"/>
    <w:rsid w:val="005F47D6"/>
    <w:rsid w:val="005F6669"/>
    <w:rsid w:val="005F6680"/>
    <w:rsid w:val="006000AD"/>
    <w:rsid w:val="00602317"/>
    <w:rsid w:val="00604105"/>
    <w:rsid w:val="006046E1"/>
    <w:rsid w:val="00604718"/>
    <w:rsid w:val="00604A50"/>
    <w:rsid w:val="006065E0"/>
    <w:rsid w:val="00607C5D"/>
    <w:rsid w:val="00610762"/>
    <w:rsid w:val="00610D3D"/>
    <w:rsid w:val="00611C4D"/>
    <w:rsid w:val="0061410A"/>
    <w:rsid w:val="00614685"/>
    <w:rsid w:val="00615ADF"/>
    <w:rsid w:val="006161DC"/>
    <w:rsid w:val="00623CE3"/>
    <w:rsid w:val="00623F0A"/>
    <w:rsid w:val="006276B7"/>
    <w:rsid w:val="0063005A"/>
    <w:rsid w:val="00630D6B"/>
    <w:rsid w:val="00632299"/>
    <w:rsid w:val="00633097"/>
    <w:rsid w:val="006351FB"/>
    <w:rsid w:val="00635414"/>
    <w:rsid w:val="00635663"/>
    <w:rsid w:val="006356F2"/>
    <w:rsid w:val="00635A53"/>
    <w:rsid w:val="00637253"/>
    <w:rsid w:val="00641C5D"/>
    <w:rsid w:val="00641CEE"/>
    <w:rsid w:val="0064207D"/>
    <w:rsid w:val="00642616"/>
    <w:rsid w:val="00643020"/>
    <w:rsid w:val="006440B9"/>
    <w:rsid w:val="006449AE"/>
    <w:rsid w:val="00645089"/>
    <w:rsid w:val="006518D6"/>
    <w:rsid w:val="00652815"/>
    <w:rsid w:val="006531EF"/>
    <w:rsid w:val="0065498F"/>
    <w:rsid w:val="006567C0"/>
    <w:rsid w:val="006614F1"/>
    <w:rsid w:val="006629A8"/>
    <w:rsid w:val="00662D7C"/>
    <w:rsid w:val="00663442"/>
    <w:rsid w:val="0066380B"/>
    <w:rsid w:val="00663A2B"/>
    <w:rsid w:val="0066404E"/>
    <w:rsid w:val="006649C1"/>
    <w:rsid w:val="00664FE3"/>
    <w:rsid w:val="0066514D"/>
    <w:rsid w:val="00666D08"/>
    <w:rsid w:val="00671C0E"/>
    <w:rsid w:val="006720ED"/>
    <w:rsid w:val="00675471"/>
    <w:rsid w:val="00675D46"/>
    <w:rsid w:val="006765F1"/>
    <w:rsid w:val="00677AB2"/>
    <w:rsid w:val="00677E35"/>
    <w:rsid w:val="006845F6"/>
    <w:rsid w:val="00684B03"/>
    <w:rsid w:val="00685BA2"/>
    <w:rsid w:val="00686A5D"/>
    <w:rsid w:val="00687814"/>
    <w:rsid w:val="00687E4D"/>
    <w:rsid w:val="00691E20"/>
    <w:rsid w:val="00693360"/>
    <w:rsid w:val="00694FA6"/>
    <w:rsid w:val="00696441"/>
    <w:rsid w:val="006976D5"/>
    <w:rsid w:val="006A0DD8"/>
    <w:rsid w:val="006A1416"/>
    <w:rsid w:val="006A1FB0"/>
    <w:rsid w:val="006A2153"/>
    <w:rsid w:val="006A3B9F"/>
    <w:rsid w:val="006A5D48"/>
    <w:rsid w:val="006A6FD4"/>
    <w:rsid w:val="006A714E"/>
    <w:rsid w:val="006B0ABD"/>
    <w:rsid w:val="006B0FFD"/>
    <w:rsid w:val="006B4A37"/>
    <w:rsid w:val="006B4D60"/>
    <w:rsid w:val="006C193D"/>
    <w:rsid w:val="006C19F1"/>
    <w:rsid w:val="006C3C7E"/>
    <w:rsid w:val="006C6D3B"/>
    <w:rsid w:val="006C7684"/>
    <w:rsid w:val="006D1830"/>
    <w:rsid w:val="006D2B5D"/>
    <w:rsid w:val="006D7BD4"/>
    <w:rsid w:val="006E24F0"/>
    <w:rsid w:val="006E33D9"/>
    <w:rsid w:val="006E3A8F"/>
    <w:rsid w:val="006E3C2A"/>
    <w:rsid w:val="006E7636"/>
    <w:rsid w:val="006F35DB"/>
    <w:rsid w:val="006F3F07"/>
    <w:rsid w:val="006F49E0"/>
    <w:rsid w:val="006F599B"/>
    <w:rsid w:val="006F6770"/>
    <w:rsid w:val="0070109D"/>
    <w:rsid w:val="00701D15"/>
    <w:rsid w:val="00701F09"/>
    <w:rsid w:val="007042A0"/>
    <w:rsid w:val="00704A96"/>
    <w:rsid w:val="00711EF2"/>
    <w:rsid w:val="007139CE"/>
    <w:rsid w:val="007151CC"/>
    <w:rsid w:val="00720734"/>
    <w:rsid w:val="00720E34"/>
    <w:rsid w:val="0072108F"/>
    <w:rsid w:val="007224F7"/>
    <w:rsid w:val="00731570"/>
    <w:rsid w:val="0073191C"/>
    <w:rsid w:val="00735EF8"/>
    <w:rsid w:val="0074018D"/>
    <w:rsid w:val="00740A37"/>
    <w:rsid w:val="0074154A"/>
    <w:rsid w:val="00743CA5"/>
    <w:rsid w:val="007453C1"/>
    <w:rsid w:val="00746B9C"/>
    <w:rsid w:val="00747B70"/>
    <w:rsid w:val="00747BC6"/>
    <w:rsid w:val="00747BE5"/>
    <w:rsid w:val="00752453"/>
    <w:rsid w:val="0075294D"/>
    <w:rsid w:val="00754016"/>
    <w:rsid w:val="00755C25"/>
    <w:rsid w:val="00757E08"/>
    <w:rsid w:val="007605B6"/>
    <w:rsid w:val="00761408"/>
    <w:rsid w:val="00761983"/>
    <w:rsid w:val="00761E35"/>
    <w:rsid w:val="0076263D"/>
    <w:rsid w:val="00762771"/>
    <w:rsid w:val="00764679"/>
    <w:rsid w:val="00764EB3"/>
    <w:rsid w:val="0076587D"/>
    <w:rsid w:val="00766C3E"/>
    <w:rsid w:val="00766D77"/>
    <w:rsid w:val="007670A0"/>
    <w:rsid w:val="00767483"/>
    <w:rsid w:val="007707B1"/>
    <w:rsid w:val="00771007"/>
    <w:rsid w:val="00774750"/>
    <w:rsid w:val="0077504D"/>
    <w:rsid w:val="007751A0"/>
    <w:rsid w:val="0078028C"/>
    <w:rsid w:val="00780380"/>
    <w:rsid w:val="007814F1"/>
    <w:rsid w:val="00781685"/>
    <w:rsid w:val="007826DC"/>
    <w:rsid w:val="00783066"/>
    <w:rsid w:val="00785F6A"/>
    <w:rsid w:val="00787441"/>
    <w:rsid w:val="00791B1A"/>
    <w:rsid w:val="00791BB0"/>
    <w:rsid w:val="00797130"/>
    <w:rsid w:val="007A0EEE"/>
    <w:rsid w:val="007A2740"/>
    <w:rsid w:val="007A7CB5"/>
    <w:rsid w:val="007B2FBF"/>
    <w:rsid w:val="007B420B"/>
    <w:rsid w:val="007B4B2B"/>
    <w:rsid w:val="007B4F10"/>
    <w:rsid w:val="007C1F13"/>
    <w:rsid w:val="007C4104"/>
    <w:rsid w:val="007C449F"/>
    <w:rsid w:val="007C45AF"/>
    <w:rsid w:val="007C4EAE"/>
    <w:rsid w:val="007C5654"/>
    <w:rsid w:val="007C5A78"/>
    <w:rsid w:val="007D050C"/>
    <w:rsid w:val="007D0B70"/>
    <w:rsid w:val="007D1791"/>
    <w:rsid w:val="007D4495"/>
    <w:rsid w:val="007D7267"/>
    <w:rsid w:val="007D7E01"/>
    <w:rsid w:val="007E1840"/>
    <w:rsid w:val="007E7168"/>
    <w:rsid w:val="007F34A9"/>
    <w:rsid w:val="007F614F"/>
    <w:rsid w:val="00800092"/>
    <w:rsid w:val="008011BD"/>
    <w:rsid w:val="00801A2D"/>
    <w:rsid w:val="008020A3"/>
    <w:rsid w:val="00804B87"/>
    <w:rsid w:val="00805FDF"/>
    <w:rsid w:val="008116CA"/>
    <w:rsid w:val="00813555"/>
    <w:rsid w:val="00814261"/>
    <w:rsid w:val="0081516D"/>
    <w:rsid w:val="0081684E"/>
    <w:rsid w:val="0081741E"/>
    <w:rsid w:val="00823C7E"/>
    <w:rsid w:val="00824726"/>
    <w:rsid w:val="00824A25"/>
    <w:rsid w:val="00824BE7"/>
    <w:rsid w:val="00835CB8"/>
    <w:rsid w:val="008412C8"/>
    <w:rsid w:val="008420C5"/>
    <w:rsid w:val="008434E2"/>
    <w:rsid w:val="00844F2B"/>
    <w:rsid w:val="0084731E"/>
    <w:rsid w:val="00851D52"/>
    <w:rsid w:val="00851DF8"/>
    <w:rsid w:val="00854F30"/>
    <w:rsid w:val="00860B92"/>
    <w:rsid w:val="00860D12"/>
    <w:rsid w:val="00866822"/>
    <w:rsid w:val="008675C1"/>
    <w:rsid w:val="00867F69"/>
    <w:rsid w:val="00871991"/>
    <w:rsid w:val="0087216B"/>
    <w:rsid w:val="008723BD"/>
    <w:rsid w:val="00873095"/>
    <w:rsid w:val="008745A3"/>
    <w:rsid w:val="00877386"/>
    <w:rsid w:val="00880C55"/>
    <w:rsid w:val="00882B12"/>
    <w:rsid w:val="00884B0B"/>
    <w:rsid w:val="00884CB1"/>
    <w:rsid w:val="008866BE"/>
    <w:rsid w:val="00891406"/>
    <w:rsid w:val="00891558"/>
    <w:rsid w:val="0089470D"/>
    <w:rsid w:val="008A0348"/>
    <w:rsid w:val="008A381E"/>
    <w:rsid w:val="008A50A1"/>
    <w:rsid w:val="008A7254"/>
    <w:rsid w:val="008B0DB7"/>
    <w:rsid w:val="008B1683"/>
    <w:rsid w:val="008B1BA7"/>
    <w:rsid w:val="008B29BA"/>
    <w:rsid w:val="008B35C9"/>
    <w:rsid w:val="008B3C26"/>
    <w:rsid w:val="008B46DA"/>
    <w:rsid w:val="008B4846"/>
    <w:rsid w:val="008B4F2A"/>
    <w:rsid w:val="008B67EC"/>
    <w:rsid w:val="008C1220"/>
    <w:rsid w:val="008C1B30"/>
    <w:rsid w:val="008C3377"/>
    <w:rsid w:val="008C4401"/>
    <w:rsid w:val="008C4957"/>
    <w:rsid w:val="008C5C7C"/>
    <w:rsid w:val="008C666B"/>
    <w:rsid w:val="008D056A"/>
    <w:rsid w:val="008D2626"/>
    <w:rsid w:val="008D37A0"/>
    <w:rsid w:val="008D5EA9"/>
    <w:rsid w:val="008E05B3"/>
    <w:rsid w:val="008E1218"/>
    <w:rsid w:val="008E14B5"/>
    <w:rsid w:val="008E3BDB"/>
    <w:rsid w:val="008E488C"/>
    <w:rsid w:val="008E5104"/>
    <w:rsid w:val="008E72FC"/>
    <w:rsid w:val="008F0B9F"/>
    <w:rsid w:val="008F15A1"/>
    <w:rsid w:val="008F20D8"/>
    <w:rsid w:val="008F2978"/>
    <w:rsid w:val="008F52F6"/>
    <w:rsid w:val="008F6D7B"/>
    <w:rsid w:val="00900369"/>
    <w:rsid w:val="0090261D"/>
    <w:rsid w:val="00902E8F"/>
    <w:rsid w:val="0090490E"/>
    <w:rsid w:val="0090545D"/>
    <w:rsid w:val="009120A3"/>
    <w:rsid w:val="009129DC"/>
    <w:rsid w:val="009149BA"/>
    <w:rsid w:val="0091712B"/>
    <w:rsid w:val="009177C3"/>
    <w:rsid w:val="00924038"/>
    <w:rsid w:val="00926932"/>
    <w:rsid w:val="009329FF"/>
    <w:rsid w:val="009331FF"/>
    <w:rsid w:val="0093788C"/>
    <w:rsid w:val="00941556"/>
    <w:rsid w:val="009466CA"/>
    <w:rsid w:val="00950360"/>
    <w:rsid w:val="00950AAD"/>
    <w:rsid w:val="00951BAF"/>
    <w:rsid w:val="009548B8"/>
    <w:rsid w:val="00955B05"/>
    <w:rsid w:val="00955EE3"/>
    <w:rsid w:val="00956EE4"/>
    <w:rsid w:val="0096067B"/>
    <w:rsid w:val="00961B7C"/>
    <w:rsid w:val="009630B6"/>
    <w:rsid w:val="009651D9"/>
    <w:rsid w:val="009656D9"/>
    <w:rsid w:val="009668DE"/>
    <w:rsid w:val="00967B35"/>
    <w:rsid w:val="0097019B"/>
    <w:rsid w:val="0097078A"/>
    <w:rsid w:val="0097258D"/>
    <w:rsid w:val="00972A5D"/>
    <w:rsid w:val="00974D3E"/>
    <w:rsid w:val="009767D5"/>
    <w:rsid w:val="00981299"/>
    <w:rsid w:val="009869EB"/>
    <w:rsid w:val="00987BC8"/>
    <w:rsid w:val="0099100A"/>
    <w:rsid w:val="00993021"/>
    <w:rsid w:val="0099653D"/>
    <w:rsid w:val="00996CF6"/>
    <w:rsid w:val="0099740F"/>
    <w:rsid w:val="009A04BD"/>
    <w:rsid w:val="009A06EE"/>
    <w:rsid w:val="009A1A65"/>
    <w:rsid w:val="009A2C78"/>
    <w:rsid w:val="009A2FBA"/>
    <w:rsid w:val="009A3F5A"/>
    <w:rsid w:val="009A49D7"/>
    <w:rsid w:val="009A57EB"/>
    <w:rsid w:val="009A5F48"/>
    <w:rsid w:val="009A6334"/>
    <w:rsid w:val="009A6C03"/>
    <w:rsid w:val="009A741E"/>
    <w:rsid w:val="009B1B86"/>
    <w:rsid w:val="009B3A3D"/>
    <w:rsid w:val="009B42F5"/>
    <w:rsid w:val="009B5B64"/>
    <w:rsid w:val="009C1403"/>
    <w:rsid w:val="009C34D6"/>
    <w:rsid w:val="009C575A"/>
    <w:rsid w:val="009C6702"/>
    <w:rsid w:val="009C6C9A"/>
    <w:rsid w:val="009C7CB0"/>
    <w:rsid w:val="009D03F5"/>
    <w:rsid w:val="009D1EE9"/>
    <w:rsid w:val="009D22CF"/>
    <w:rsid w:val="009D29BD"/>
    <w:rsid w:val="009D399F"/>
    <w:rsid w:val="009D5BA8"/>
    <w:rsid w:val="009D79F1"/>
    <w:rsid w:val="009E0D54"/>
    <w:rsid w:val="009E1FF8"/>
    <w:rsid w:val="009E2A1A"/>
    <w:rsid w:val="009E3682"/>
    <w:rsid w:val="009E62E4"/>
    <w:rsid w:val="009E6731"/>
    <w:rsid w:val="009F3318"/>
    <w:rsid w:val="00A0232B"/>
    <w:rsid w:val="00A02435"/>
    <w:rsid w:val="00A03A17"/>
    <w:rsid w:val="00A03AC8"/>
    <w:rsid w:val="00A04863"/>
    <w:rsid w:val="00A0677B"/>
    <w:rsid w:val="00A07A58"/>
    <w:rsid w:val="00A07DC2"/>
    <w:rsid w:val="00A11012"/>
    <w:rsid w:val="00A122C6"/>
    <w:rsid w:val="00A15470"/>
    <w:rsid w:val="00A15CD7"/>
    <w:rsid w:val="00A16FF8"/>
    <w:rsid w:val="00A17B35"/>
    <w:rsid w:val="00A17D85"/>
    <w:rsid w:val="00A20160"/>
    <w:rsid w:val="00A20F3D"/>
    <w:rsid w:val="00A21D85"/>
    <w:rsid w:val="00A23510"/>
    <w:rsid w:val="00A25160"/>
    <w:rsid w:val="00A314EA"/>
    <w:rsid w:val="00A3182A"/>
    <w:rsid w:val="00A35A7F"/>
    <w:rsid w:val="00A378DF"/>
    <w:rsid w:val="00A41A25"/>
    <w:rsid w:val="00A447F8"/>
    <w:rsid w:val="00A47574"/>
    <w:rsid w:val="00A55A5F"/>
    <w:rsid w:val="00A572A5"/>
    <w:rsid w:val="00A57919"/>
    <w:rsid w:val="00A57FE3"/>
    <w:rsid w:val="00A6029C"/>
    <w:rsid w:val="00A6062E"/>
    <w:rsid w:val="00A62A31"/>
    <w:rsid w:val="00A6389D"/>
    <w:rsid w:val="00A65ABA"/>
    <w:rsid w:val="00A66174"/>
    <w:rsid w:val="00A66F9F"/>
    <w:rsid w:val="00A703E6"/>
    <w:rsid w:val="00A70EF5"/>
    <w:rsid w:val="00A717A8"/>
    <w:rsid w:val="00A73F29"/>
    <w:rsid w:val="00A76DE5"/>
    <w:rsid w:val="00A773F3"/>
    <w:rsid w:val="00A77F58"/>
    <w:rsid w:val="00A81324"/>
    <w:rsid w:val="00A81C71"/>
    <w:rsid w:val="00A82FE9"/>
    <w:rsid w:val="00A84F23"/>
    <w:rsid w:val="00A8580C"/>
    <w:rsid w:val="00A85BE2"/>
    <w:rsid w:val="00A86525"/>
    <w:rsid w:val="00A86B16"/>
    <w:rsid w:val="00A87CE8"/>
    <w:rsid w:val="00A90042"/>
    <w:rsid w:val="00A901A7"/>
    <w:rsid w:val="00A93A9A"/>
    <w:rsid w:val="00A93E75"/>
    <w:rsid w:val="00A97AF0"/>
    <w:rsid w:val="00A97C82"/>
    <w:rsid w:val="00AA04ED"/>
    <w:rsid w:val="00AA182E"/>
    <w:rsid w:val="00AA1F77"/>
    <w:rsid w:val="00AA3B22"/>
    <w:rsid w:val="00AA44EC"/>
    <w:rsid w:val="00AA4DCD"/>
    <w:rsid w:val="00AA570E"/>
    <w:rsid w:val="00AA6CEB"/>
    <w:rsid w:val="00AA752B"/>
    <w:rsid w:val="00AB029D"/>
    <w:rsid w:val="00AB195D"/>
    <w:rsid w:val="00AB2FD6"/>
    <w:rsid w:val="00AB4472"/>
    <w:rsid w:val="00AB561B"/>
    <w:rsid w:val="00AB5896"/>
    <w:rsid w:val="00AB7AF7"/>
    <w:rsid w:val="00AC0B30"/>
    <w:rsid w:val="00AC3EEE"/>
    <w:rsid w:val="00AC3EFC"/>
    <w:rsid w:val="00AC4765"/>
    <w:rsid w:val="00AC6FA7"/>
    <w:rsid w:val="00AD1C8F"/>
    <w:rsid w:val="00AD207A"/>
    <w:rsid w:val="00AD2479"/>
    <w:rsid w:val="00AD332C"/>
    <w:rsid w:val="00AD41B8"/>
    <w:rsid w:val="00AD4485"/>
    <w:rsid w:val="00AD5E0B"/>
    <w:rsid w:val="00AD5EF9"/>
    <w:rsid w:val="00AD636B"/>
    <w:rsid w:val="00AD70A3"/>
    <w:rsid w:val="00AD7467"/>
    <w:rsid w:val="00AE02EA"/>
    <w:rsid w:val="00AE12F4"/>
    <w:rsid w:val="00AE3159"/>
    <w:rsid w:val="00AE36EF"/>
    <w:rsid w:val="00AE3EEE"/>
    <w:rsid w:val="00AE40C9"/>
    <w:rsid w:val="00AE466B"/>
    <w:rsid w:val="00AE6111"/>
    <w:rsid w:val="00AE6684"/>
    <w:rsid w:val="00AE68A6"/>
    <w:rsid w:val="00AE7659"/>
    <w:rsid w:val="00AF0400"/>
    <w:rsid w:val="00AF291A"/>
    <w:rsid w:val="00AF3AD7"/>
    <w:rsid w:val="00AF4D1F"/>
    <w:rsid w:val="00AF7194"/>
    <w:rsid w:val="00B0265A"/>
    <w:rsid w:val="00B02834"/>
    <w:rsid w:val="00B04711"/>
    <w:rsid w:val="00B049F5"/>
    <w:rsid w:val="00B07296"/>
    <w:rsid w:val="00B10713"/>
    <w:rsid w:val="00B11937"/>
    <w:rsid w:val="00B13616"/>
    <w:rsid w:val="00B14288"/>
    <w:rsid w:val="00B1678C"/>
    <w:rsid w:val="00B16EF3"/>
    <w:rsid w:val="00B1780B"/>
    <w:rsid w:val="00B22FBF"/>
    <w:rsid w:val="00B23955"/>
    <w:rsid w:val="00B25960"/>
    <w:rsid w:val="00B2732C"/>
    <w:rsid w:val="00B27679"/>
    <w:rsid w:val="00B30AEB"/>
    <w:rsid w:val="00B30AF3"/>
    <w:rsid w:val="00B33A8C"/>
    <w:rsid w:val="00B33F8F"/>
    <w:rsid w:val="00B403E6"/>
    <w:rsid w:val="00B40751"/>
    <w:rsid w:val="00B407B1"/>
    <w:rsid w:val="00B40B87"/>
    <w:rsid w:val="00B41278"/>
    <w:rsid w:val="00B43273"/>
    <w:rsid w:val="00B46426"/>
    <w:rsid w:val="00B507A5"/>
    <w:rsid w:val="00B5181F"/>
    <w:rsid w:val="00B521D7"/>
    <w:rsid w:val="00B52C77"/>
    <w:rsid w:val="00B52CCA"/>
    <w:rsid w:val="00B537D2"/>
    <w:rsid w:val="00B541A8"/>
    <w:rsid w:val="00B54DB8"/>
    <w:rsid w:val="00B55794"/>
    <w:rsid w:val="00B5729E"/>
    <w:rsid w:val="00B6040C"/>
    <w:rsid w:val="00B61612"/>
    <w:rsid w:val="00B61A4D"/>
    <w:rsid w:val="00B63337"/>
    <w:rsid w:val="00B635F7"/>
    <w:rsid w:val="00B63BC3"/>
    <w:rsid w:val="00B65FB3"/>
    <w:rsid w:val="00B66F06"/>
    <w:rsid w:val="00B70C0B"/>
    <w:rsid w:val="00B70EDC"/>
    <w:rsid w:val="00B72FDA"/>
    <w:rsid w:val="00B766FA"/>
    <w:rsid w:val="00B76BC4"/>
    <w:rsid w:val="00B7733C"/>
    <w:rsid w:val="00B845F7"/>
    <w:rsid w:val="00B84C83"/>
    <w:rsid w:val="00B8535E"/>
    <w:rsid w:val="00B85816"/>
    <w:rsid w:val="00B873C3"/>
    <w:rsid w:val="00B8740F"/>
    <w:rsid w:val="00B87938"/>
    <w:rsid w:val="00B9110A"/>
    <w:rsid w:val="00B91122"/>
    <w:rsid w:val="00B97A7A"/>
    <w:rsid w:val="00BA12C8"/>
    <w:rsid w:val="00BA14C7"/>
    <w:rsid w:val="00BA1B27"/>
    <w:rsid w:val="00BA20B5"/>
    <w:rsid w:val="00BA2385"/>
    <w:rsid w:val="00BA2672"/>
    <w:rsid w:val="00BA33A6"/>
    <w:rsid w:val="00BA453D"/>
    <w:rsid w:val="00BA6A6E"/>
    <w:rsid w:val="00BA6CA9"/>
    <w:rsid w:val="00BB0FF4"/>
    <w:rsid w:val="00BB2714"/>
    <w:rsid w:val="00BB2F51"/>
    <w:rsid w:val="00BB351F"/>
    <w:rsid w:val="00BB3863"/>
    <w:rsid w:val="00BB3DD3"/>
    <w:rsid w:val="00BB3F00"/>
    <w:rsid w:val="00BB526D"/>
    <w:rsid w:val="00BB6096"/>
    <w:rsid w:val="00BC05E4"/>
    <w:rsid w:val="00BC299E"/>
    <w:rsid w:val="00BC4A94"/>
    <w:rsid w:val="00BC4D6A"/>
    <w:rsid w:val="00BC63D4"/>
    <w:rsid w:val="00BC7010"/>
    <w:rsid w:val="00BD10DD"/>
    <w:rsid w:val="00BD1784"/>
    <w:rsid w:val="00BD1EAF"/>
    <w:rsid w:val="00BD3627"/>
    <w:rsid w:val="00BD3DD7"/>
    <w:rsid w:val="00BD402B"/>
    <w:rsid w:val="00BD433A"/>
    <w:rsid w:val="00BD46C5"/>
    <w:rsid w:val="00BD49DD"/>
    <w:rsid w:val="00BD530F"/>
    <w:rsid w:val="00BD7D53"/>
    <w:rsid w:val="00BE0102"/>
    <w:rsid w:val="00BE0BE3"/>
    <w:rsid w:val="00BE3C36"/>
    <w:rsid w:val="00BE4006"/>
    <w:rsid w:val="00BE4D34"/>
    <w:rsid w:val="00BE4E94"/>
    <w:rsid w:val="00BE54E3"/>
    <w:rsid w:val="00BE5659"/>
    <w:rsid w:val="00BE5721"/>
    <w:rsid w:val="00BE6D67"/>
    <w:rsid w:val="00BF224B"/>
    <w:rsid w:val="00BF2913"/>
    <w:rsid w:val="00BF2E49"/>
    <w:rsid w:val="00BF4059"/>
    <w:rsid w:val="00BF4DE4"/>
    <w:rsid w:val="00C002BA"/>
    <w:rsid w:val="00C03EEB"/>
    <w:rsid w:val="00C050DB"/>
    <w:rsid w:val="00C05536"/>
    <w:rsid w:val="00C061B8"/>
    <w:rsid w:val="00C1148A"/>
    <w:rsid w:val="00C124B4"/>
    <w:rsid w:val="00C12B76"/>
    <w:rsid w:val="00C155E2"/>
    <w:rsid w:val="00C17CA3"/>
    <w:rsid w:val="00C216F6"/>
    <w:rsid w:val="00C21E83"/>
    <w:rsid w:val="00C23E18"/>
    <w:rsid w:val="00C23F51"/>
    <w:rsid w:val="00C2492E"/>
    <w:rsid w:val="00C25647"/>
    <w:rsid w:val="00C25BA2"/>
    <w:rsid w:val="00C3045E"/>
    <w:rsid w:val="00C3130D"/>
    <w:rsid w:val="00C331FD"/>
    <w:rsid w:val="00C33FDC"/>
    <w:rsid w:val="00C3488C"/>
    <w:rsid w:val="00C3678B"/>
    <w:rsid w:val="00C36993"/>
    <w:rsid w:val="00C40E71"/>
    <w:rsid w:val="00C4481A"/>
    <w:rsid w:val="00C44B5F"/>
    <w:rsid w:val="00C47198"/>
    <w:rsid w:val="00C50468"/>
    <w:rsid w:val="00C51D25"/>
    <w:rsid w:val="00C5298D"/>
    <w:rsid w:val="00C5362F"/>
    <w:rsid w:val="00C55E4C"/>
    <w:rsid w:val="00C56EC5"/>
    <w:rsid w:val="00C6167A"/>
    <w:rsid w:val="00C64ABF"/>
    <w:rsid w:val="00C64C9B"/>
    <w:rsid w:val="00C662BD"/>
    <w:rsid w:val="00C70C42"/>
    <w:rsid w:val="00C71085"/>
    <w:rsid w:val="00C76E54"/>
    <w:rsid w:val="00C80A39"/>
    <w:rsid w:val="00C843C8"/>
    <w:rsid w:val="00C84A64"/>
    <w:rsid w:val="00C8557C"/>
    <w:rsid w:val="00C86158"/>
    <w:rsid w:val="00C867B0"/>
    <w:rsid w:val="00C87542"/>
    <w:rsid w:val="00C875CC"/>
    <w:rsid w:val="00C925D9"/>
    <w:rsid w:val="00C92CC6"/>
    <w:rsid w:val="00C940CF"/>
    <w:rsid w:val="00CA04D3"/>
    <w:rsid w:val="00CA1C35"/>
    <w:rsid w:val="00CA284C"/>
    <w:rsid w:val="00CB090B"/>
    <w:rsid w:val="00CB2550"/>
    <w:rsid w:val="00CB26BD"/>
    <w:rsid w:val="00CB3A0E"/>
    <w:rsid w:val="00CB4349"/>
    <w:rsid w:val="00CB4ABD"/>
    <w:rsid w:val="00CB507E"/>
    <w:rsid w:val="00CB58E6"/>
    <w:rsid w:val="00CB72F9"/>
    <w:rsid w:val="00CB7E8A"/>
    <w:rsid w:val="00CC2614"/>
    <w:rsid w:val="00CC26B8"/>
    <w:rsid w:val="00CC336D"/>
    <w:rsid w:val="00CC432D"/>
    <w:rsid w:val="00CC57D4"/>
    <w:rsid w:val="00CC61B6"/>
    <w:rsid w:val="00CC6D33"/>
    <w:rsid w:val="00CC7E01"/>
    <w:rsid w:val="00CD06F4"/>
    <w:rsid w:val="00CD0D84"/>
    <w:rsid w:val="00CD272A"/>
    <w:rsid w:val="00CD33C9"/>
    <w:rsid w:val="00CD39CB"/>
    <w:rsid w:val="00CD3B8E"/>
    <w:rsid w:val="00CD79EF"/>
    <w:rsid w:val="00CE05E1"/>
    <w:rsid w:val="00CE1FFC"/>
    <w:rsid w:val="00CE3CC8"/>
    <w:rsid w:val="00CE52B9"/>
    <w:rsid w:val="00CE7907"/>
    <w:rsid w:val="00CF4C39"/>
    <w:rsid w:val="00D00E94"/>
    <w:rsid w:val="00D00F2D"/>
    <w:rsid w:val="00D01EE5"/>
    <w:rsid w:val="00D02245"/>
    <w:rsid w:val="00D03E5A"/>
    <w:rsid w:val="00D04C5A"/>
    <w:rsid w:val="00D138E0"/>
    <w:rsid w:val="00D143D4"/>
    <w:rsid w:val="00D15EDA"/>
    <w:rsid w:val="00D1669D"/>
    <w:rsid w:val="00D172FC"/>
    <w:rsid w:val="00D17C1F"/>
    <w:rsid w:val="00D17C21"/>
    <w:rsid w:val="00D22DED"/>
    <w:rsid w:val="00D234E3"/>
    <w:rsid w:val="00D234FB"/>
    <w:rsid w:val="00D2641C"/>
    <w:rsid w:val="00D30F6F"/>
    <w:rsid w:val="00D31D37"/>
    <w:rsid w:val="00D32250"/>
    <w:rsid w:val="00D33910"/>
    <w:rsid w:val="00D3469F"/>
    <w:rsid w:val="00D354E8"/>
    <w:rsid w:val="00D35FEE"/>
    <w:rsid w:val="00D41CAF"/>
    <w:rsid w:val="00D437CE"/>
    <w:rsid w:val="00D45961"/>
    <w:rsid w:val="00D46E71"/>
    <w:rsid w:val="00D47DCE"/>
    <w:rsid w:val="00D51C90"/>
    <w:rsid w:val="00D52FC7"/>
    <w:rsid w:val="00D55EEF"/>
    <w:rsid w:val="00D57851"/>
    <w:rsid w:val="00D619B0"/>
    <w:rsid w:val="00D629C6"/>
    <w:rsid w:val="00D62A2D"/>
    <w:rsid w:val="00D656FE"/>
    <w:rsid w:val="00D66CA4"/>
    <w:rsid w:val="00D67AC7"/>
    <w:rsid w:val="00D67FD6"/>
    <w:rsid w:val="00D70541"/>
    <w:rsid w:val="00D7057A"/>
    <w:rsid w:val="00D70FD4"/>
    <w:rsid w:val="00D744AE"/>
    <w:rsid w:val="00D74D43"/>
    <w:rsid w:val="00D800E0"/>
    <w:rsid w:val="00D833B7"/>
    <w:rsid w:val="00D86060"/>
    <w:rsid w:val="00D907DD"/>
    <w:rsid w:val="00D90865"/>
    <w:rsid w:val="00D90868"/>
    <w:rsid w:val="00D90A23"/>
    <w:rsid w:val="00D93C4F"/>
    <w:rsid w:val="00D96135"/>
    <w:rsid w:val="00D96DA1"/>
    <w:rsid w:val="00DA0CAF"/>
    <w:rsid w:val="00DA4F5D"/>
    <w:rsid w:val="00DA7B01"/>
    <w:rsid w:val="00DB2E94"/>
    <w:rsid w:val="00DB3FE1"/>
    <w:rsid w:val="00DB4219"/>
    <w:rsid w:val="00DB4244"/>
    <w:rsid w:val="00DB4BAB"/>
    <w:rsid w:val="00DB7207"/>
    <w:rsid w:val="00DB79CA"/>
    <w:rsid w:val="00DC0CA8"/>
    <w:rsid w:val="00DC10A9"/>
    <w:rsid w:val="00DC1FB2"/>
    <w:rsid w:val="00DC2B92"/>
    <w:rsid w:val="00DC4385"/>
    <w:rsid w:val="00DC699E"/>
    <w:rsid w:val="00DC7DF6"/>
    <w:rsid w:val="00DD0428"/>
    <w:rsid w:val="00DD1807"/>
    <w:rsid w:val="00DD19ED"/>
    <w:rsid w:val="00DD3606"/>
    <w:rsid w:val="00DD599D"/>
    <w:rsid w:val="00DD7CC1"/>
    <w:rsid w:val="00DE0A3F"/>
    <w:rsid w:val="00DE2C02"/>
    <w:rsid w:val="00DE30AB"/>
    <w:rsid w:val="00DE49F6"/>
    <w:rsid w:val="00DE5844"/>
    <w:rsid w:val="00DF3334"/>
    <w:rsid w:val="00DF3BCA"/>
    <w:rsid w:val="00DF569B"/>
    <w:rsid w:val="00DF6D3D"/>
    <w:rsid w:val="00DF72B3"/>
    <w:rsid w:val="00E0134A"/>
    <w:rsid w:val="00E02A21"/>
    <w:rsid w:val="00E038AF"/>
    <w:rsid w:val="00E0464B"/>
    <w:rsid w:val="00E04AA8"/>
    <w:rsid w:val="00E05BD2"/>
    <w:rsid w:val="00E06B18"/>
    <w:rsid w:val="00E0752E"/>
    <w:rsid w:val="00E076BF"/>
    <w:rsid w:val="00E10A6A"/>
    <w:rsid w:val="00E11B49"/>
    <w:rsid w:val="00E15EF9"/>
    <w:rsid w:val="00E228AA"/>
    <w:rsid w:val="00E22ACF"/>
    <w:rsid w:val="00E25DDC"/>
    <w:rsid w:val="00E27042"/>
    <w:rsid w:val="00E314C7"/>
    <w:rsid w:val="00E3160E"/>
    <w:rsid w:val="00E32467"/>
    <w:rsid w:val="00E32A7C"/>
    <w:rsid w:val="00E32D39"/>
    <w:rsid w:val="00E32DFD"/>
    <w:rsid w:val="00E338AE"/>
    <w:rsid w:val="00E3459F"/>
    <w:rsid w:val="00E375AD"/>
    <w:rsid w:val="00E41CB4"/>
    <w:rsid w:val="00E41CB6"/>
    <w:rsid w:val="00E41FA5"/>
    <w:rsid w:val="00E4248F"/>
    <w:rsid w:val="00E42B78"/>
    <w:rsid w:val="00E4386C"/>
    <w:rsid w:val="00E45D93"/>
    <w:rsid w:val="00E5030E"/>
    <w:rsid w:val="00E50947"/>
    <w:rsid w:val="00E5432E"/>
    <w:rsid w:val="00E566B9"/>
    <w:rsid w:val="00E57102"/>
    <w:rsid w:val="00E574D0"/>
    <w:rsid w:val="00E60DA2"/>
    <w:rsid w:val="00E6346E"/>
    <w:rsid w:val="00E636BA"/>
    <w:rsid w:val="00E67404"/>
    <w:rsid w:val="00E678C0"/>
    <w:rsid w:val="00E707AE"/>
    <w:rsid w:val="00E70F8F"/>
    <w:rsid w:val="00E711F8"/>
    <w:rsid w:val="00E7253A"/>
    <w:rsid w:val="00E72B1B"/>
    <w:rsid w:val="00E75A7A"/>
    <w:rsid w:val="00E8001F"/>
    <w:rsid w:val="00E80B52"/>
    <w:rsid w:val="00E85211"/>
    <w:rsid w:val="00E85E51"/>
    <w:rsid w:val="00E85F1C"/>
    <w:rsid w:val="00E867FE"/>
    <w:rsid w:val="00E86AAF"/>
    <w:rsid w:val="00E87ADC"/>
    <w:rsid w:val="00E92BDA"/>
    <w:rsid w:val="00E92C6D"/>
    <w:rsid w:val="00E93774"/>
    <w:rsid w:val="00E94E5F"/>
    <w:rsid w:val="00E972E1"/>
    <w:rsid w:val="00EA3B21"/>
    <w:rsid w:val="00EA41A6"/>
    <w:rsid w:val="00EA4E1B"/>
    <w:rsid w:val="00EB1592"/>
    <w:rsid w:val="00EB18BA"/>
    <w:rsid w:val="00EB22D1"/>
    <w:rsid w:val="00EB3073"/>
    <w:rsid w:val="00EB5217"/>
    <w:rsid w:val="00EB7105"/>
    <w:rsid w:val="00EB7EA8"/>
    <w:rsid w:val="00EC1549"/>
    <w:rsid w:val="00EC193A"/>
    <w:rsid w:val="00EC2E6D"/>
    <w:rsid w:val="00EC387C"/>
    <w:rsid w:val="00ED04F8"/>
    <w:rsid w:val="00ED1975"/>
    <w:rsid w:val="00ED33C8"/>
    <w:rsid w:val="00ED39BC"/>
    <w:rsid w:val="00ED403E"/>
    <w:rsid w:val="00ED488B"/>
    <w:rsid w:val="00EE346B"/>
    <w:rsid w:val="00EE3C8B"/>
    <w:rsid w:val="00EE5F8B"/>
    <w:rsid w:val="00EF09B7"/>
    <w:rsid w:val="00EF29F6"/>
    <w:rsid w:val="00EF5935"/>
    <w:rsid w:val="00EF6AD3"/>
    <w:rsid w:val="00F00F96"/>
    <w:rsid w:val="00F02748"/>
    <w:rsid w:val="00F05E57"/>
    <w:rsid w:val="00F12096"/>
    <w:rsid w:val="00F123C5"/>
    <w:rsid w:val="00F127B6"/>
    <w:rsid w:val="00F16EF1"/>
    <w:rsid w:val="00F22C4A"/>
    <w:rsid w:val="00F24100"/>
    <w:rsid w:val="00F262C6"/>
    <w:rsid w:val="00F27536"/>
    <w:rsid w:val="00F27B88"/>
    <w:rsid w:val="00F30661"/>
    <w:rsid w:val="00F3228B"/>
    <w:rsid w:val="00F331EF"/>
    <w:rsid w:val="00F3326D"/>
    <w:rsid w:val="00F34BB7"/>
    <w:rsid w:val="00F37857"/>
    <w:rsid w:val="00F3787F"/>
    <w:rsid w:val="00F4171B"/>
    <w:rsid w:val="00F4255D"/>
    <w:rsid w:val="00F4280C"/>
    <w:rsid w:val="00F449FA"/>
    <w:rsid w:val="00F46025"/>
    <w:rsid w:val="00F462A1"/>
    <w:rsid w:val="00F46B40"/>
    <w:rsid w:val="00F47B98"/>
    <w:rsid w:val="00F50FE7"/>
    <w:rsid w:val="00F52E4E"/>
    <w:rsid w:val="00F558FC"/>
    <w:rsid w:val="00F5718D"/>
    <w:rsid w:val="00F60053"/>
    <w:rsid w:val="00F61046"/>
    <w:rsid w:val="00F63DCE"/>
    <w:rsid w:val="00F643A7"/>
    <w:rsid w:val="00F66668"/>
    <w:rsid w:val="00F700E1"/>
    <w:rsid w:val="00F704D7"/>
    <w:rsid w:val="00F72191"/>
    <w:rsid w:val="00F72ED5"/>
    <w:rsid w:val="00F73530"/>
    <w:rsid w:val="00F7442B"/>
    <w:rsid w:val="00F80BE1"/>
    <w:rsid w:val="00F80D9B"/>
    <w:rsid w:val="00F80ED4"/>
    <w:rsid w:val="00F812D7"/>
    <w:rsid w:val="00F82953"/>
    <w:rsid w:val="00F854E8"/>
    <w:rsid w:val="00F858E9"/>
    <w:rsid w:val="00F86EFF"/>
    <w:rsid w:val="00F871E9"/>
    <w:rsid w:val="00F87BDB"/>
    <w:rsid w:val="00F90A57"/>
    <w:rsid w:val="00F917DA"/>
    <w:rsid w:val="00F92765"/>
    <w:rsid w:val="00F92807"/>
    <w:rsid w:val="00F9359A"/>
    <w:rsid w:val="00F9441D"/>
    <w:rsid w:val="00F94EAC"/>
    <w:rsid w:val="00F954C1"/>
    <w:rsid w:val="00F964B3"/>
    <w:rsid w:val="00FA0056"/>
    <w:rsid w:val="00FA07C0"/>
    <w:rsid w:val="00FA0EC7"/>
    <w:rsid w:val="00FA2835"/>
    <w:rsid w:val="00FA5DB7"/>
    <w:rsid w:val="00FA5E6D"/>
    <w:rsid w:val="00FB065D"/>
    <w:rsid w:val="00FB2DBA"/>
    <w:rsid w:val="00FB51C9"/>
    <w:rsid w:val="00FC0006"/>
    <w:rsid w:val="00FC04DE"/>
    <w:rsid w:val="00FC3257"/>
    <w:rsid w:val="00FC41F1"/>
    <w:rsid w:val="00FC674B"/>
    <w:rsid w:val="00FC73C3"/>
    <w:rsid w:val="00FC7C97"/>
    <w:rsid w:val="00FD2FB9"/>
    <w:rsid w:val="00FD6090"/>
    <w:rsid w:val="00FD789B"/>
    <w:rsid w:val="00FE35F1"/>
    <w:rsid w:val="00FE665E"/>
    <w:rsid w:val="00FF1E47"/>
    <w:rsid w:val="00FF5B32"/>
    <w:rsid w:val="00FF7736"/>
    <w:rsid w:val="0221C215"/>
    <w:rsid w:val="02E7D41B"/>
    <w:rsid w:val="02FAB97D"/>
    <w:rsid w:val="033018C3"/>
    <w:rsid w:val="03A93B09"/>
    <w:rsid w:val="043F7628"/>
    <w:rsid w:val="04409A80"/>
    <w:rsid w:val="047A7223"/>
    <w:rsid w:val="04C4F8B8"/>
    <w:rsid w:val="055B7140"/>
    <w:rsid w:val="060F5218"/>
    <w:rsid w:val="06370DA7"/>
    <w:rsid w:val="06394AAB"/>
    <w:rsid w:val="0675C412"/>
    <w:rsid w:val="069BA773"/>
    <w:rsid w:val="072F6B7E"/>
    <w:rsid w:val="08DCB823"/>
    <w:rsid w:val="098E628B"/>
    <w:rsid w:val="0A3573DA"/>
    <w:rsid w:val="0AE5CDC3"/>
    <w:rsid w:val="0B46D0DA"/>
    <w:rsid w:val="0B8F0A21"/>
    <w:rsid w:val="0B9E19E9"/>
    <w:rsid w:val="0BF95B84"/>
    <w:rsid w:val="0C6B6B1F"/>
    <w:rsid w:val="0CBCFEC6"/>
    <w:rsid w:val="0D8D0C89"/>
    <w:rsid w:val="0DB7CD07"/>
    <w:rsid w:val="0DCA16ED"/>
    <w:rsid w:val="0DD7E01E"/>
    <w:rsid w:val="0EB79B1B"/>
    <w:rsid w:val="0ED0B7E5"/>
    <w:rsid w:val="0F19106E"/>
    <w:rsid w:val="114450BE"/>
    <w:rsid w:val="11DDD3E7"/>
    <w:rsid w:val="1310BB08"/>
    <w:rsid w:val="13A10C72"/>
    <w:rsid w:val="1432B505"/>
    <w:rsid w:val="1590417A"/>
    <w:rsid w:val="1609379C"/>
    <w:rsid w:val="19583A53"/>
    <w:rsid w:val="19F149EE"/>
    <w:rsid w:val="1A99D72D"/>
    <w:rsid w:val="1AA6BBE6"/>
    <w:rsid w:val="1AC675BA"/>
    <w:rsid w:val="1B01EB8C"/>
    <w:rsid w:val="1C7DA324"/>
    <w:rsid w:val="1D314B79"/>
    <w:rsid w:val="1E7F3C41"/>
    <w:rsid w:val="1E84DC31"/>
    <w:rsid w:val="1ED6DA60"/>
    <w:rsid w:val="1F062530"/>
    <w:rsid w:val="1FC1DAEC"/>
    <w:rsid w:val="20B2DB58"/>
    <w:rsid w:val="20C04CF1"/>
    <w:rsid w:val="213C6F27"/>
    <w:rsid w:val="22BBA7FC"/>
    <w:rsid w:val="2362450D"/>
    <w:rsid w:val="2418B9D1"/>
    <w:rsid w:val="255BACD9"/>
    <w:rsid w:val="256DABFF"/>
    <w:rsid w:val="26085866"/>
    <w:rsid w:val="26FBAB1F"/>
    <w:rsid w:val="27746E70"/>
    <w:rsid w:val="27BAF344"/>
    <w:rsid w:val="27D7EA91"/>
    <w:rsid w:val="2865EA77"/>
    <w:rsid w:val="28B50493"/>
    <w:rsid w:val="290C0B3A"/>
    <w:rsid w:val="29C7DA19"/>
    <w:rsid w:val="2A79A396"/>
    <w:rsid w:val="2C13BFB6"/>
    <w:rsid w:val="2CC27A8E"/>
    <w:rsid w:val="2DDAB605"/>
    <w:rsid w:val="2E98E6E1"/>
    <w:rsid w:val="2EF02FF0"/>
    <w:rsid w:val="2F4B718B"/>
    <w:rsid w:val="2FBD8126"/>
    <w:rsid w:val="311B957C"/>
    <w:rsid w:val="3201769C"/>
    <w:rsid w:val="326A2C58"/>
    <w:rsid w:val="326C5767"/>
    <w:rsid w:val="3283013A"/>
    <w:rsid w:val="352FE9EE"/>
    <w:rsid w:val="367F5D08"/>
    <w:rsid w:val="3A5EB129"/>
    <w:rsid w:val="3A7F943B"/>
    <w:rsid w:val="3B7D9606"/>
    <w:rsid w:val="3C10BB23"/>
    <w:rsid w:val="3C405A69"/>
    <w:rsid w:val="3C81F759"/>
    <w:rsid w:val="3C98775E"/>
    <w:rsid w:val="3DEBED34"/>
    <w:rsid w:val="3F15C924"/>
    <w:rsid w:val="3F3F2F3E"/>
    <w:rsid w:val="3F86F34C"/>
    <w:rsid w:val="41D15248"/>
    <w:rsid w:val="43CE8405"/>
    <w:rsid w:val="443B7A96"/>
    <w:rsid w:val="455D81A2"/>
    <w:rsid w:val="45AC3B1B"/>
    <w:rsid w:val="45DC48D7"/>
    <w:rsid w:val="4626B50B"/>
    <w:rsid w:val="465D09F5"/>
    <w:rsid w:val="46883677"/>
    <w:rsid w:val="46A5BB54"/>
    <w:rsid w:val="48C5EE23"/>
    <w:rsid w:val="49AC4A15"/>
    <w:rsid w:val="4A92B815"/>
    <w:rsid w:val="4AD1EC8D"/>
    <w:rsid w:val="4BED502D"/>
    <w:rsid w:val="4CE615E6"/>
    <w:rsid w:val="4D1B7D3C"/>
    <w:rsid w:val="4E69C0B6"/>
    <w:rsid w:val="4E6EEABA"/>
    <w:rsid w:val="4FB87ACC"/>
    <w:rsid w:val="4FBF6B38"/>
    <w:rsid w:val="4FEF3D36"/>
    <w:rsid w:val="51225D74"/>
    <w:rsid w:val="51A8419A"/>
    <w:rsid w:val="51E3C204"/>
    <w:rsid w:val="52A477FE"/>
    <w:rsid w:val="52DAF69D"/>
    <w:rsid w:val="53612AD4"/>
    <w:rsid w:val="55141365"/>
    <w:rsid w:val="551F870E"/>
    <w:rsid w:val="55538CA3"/>
    <w:rsid w:val="55867E72"/>
    <w:rsid w:val="57146DFB"/>
    <w:rsid w:val="57CB3621"/>
    <w:rsid w:val="57CCA27A"/>
    <w:rsid w:val="57DB1032"/>
    <w:rsid w:val="583726AE"/>
    <w:rsid w:val="591DAEDD"/>
    <w:rsid w:val="599469A6"/>
    <w:rsid w:val="59B4E716"/>
    <w:rsid w:val="5A0EC08E"/>
    <w:rsid w:val="5A15B0FA"/>
    <w:rsid w:val="5A1C20E2"/>
    <w:rsid w:val="5B56B65C"/>
    <w:rsid w:val="5B81A076"/>
    <w:rsid w:val="5CD996E3"/>
    <w:rsid w:val="5DC8739D"/>
    <w:rsid w:val="5EC97FF0"/>
    <w:rsid w:val="5FA730A1"/>
    <w:rsid w:val="600AF0A6"/>
    <w:rsid w:val="6050E3B4"/>
    <w:rsid w:val="608E0847"/>
    <w:rsid w:val="61ADB173"/>
    <w:rsid w:val="61FA0E07"/>
    <w:rsid w:val="6209A5B0"/>
    <w:rsid w:val="629A7205"/>
    <w:rsid w:val="630AEB4F"/>
    <w:rsid w:val="6349916B"/>
    <w:rsid w:val="6373F49F"/>
    <w:rsid w:val="63C51191"/>
    <w:rsid w:val="644D1ED8"/>
    <w:rsid w:val="651521D5"/>
    <w:rsid w:val="658AA21B"/>
    <w:rsid w:val="666A0DA1"/>
    <w:rsid w:val="66E35DD2"/>
    <w:rsid w:val="67E09B35"/>
    <w:rsid w:val="6805B1DE"/>
    <w:rsid w:val="68E40568"/>
    <w:rsid w:val="68FE5122"/>
    <w:rsid w:val="69402B7B"/>
    <w:rsid w:val="69EF518E"/>
    <w:rsid w:val="6A96B7ED"/>
    <w:rsid w:val="6C41544B"/>
    <w:rsid w:val="6EF48590"/>
    <w:rsid w:val="6F0031BC"/>
    <w:rsid w:val="6F96AA44"/>
    <w:rsid w:val="6FDB30F9"/>
    <w:rsid w:val="712C8658"/>
    <w:rsid w:val="7263F620"/>
    <w:rsid w:val="747C47C5"/>
    <w:rsid w:val="747F252E"/>
    <w:rsid w:val="7487D650"/>
    <w:rsid w:val="74AEACB4"/>
    <w:rsid w:val="74C58FD3"/>
    <w:rsid w:val="7747C125"/>
    <w:rsid w:val="775EE4B6"/>
    <w:rsid w:val="783EED66"/>
    <w:rsid w:val="78C6F9FA"/>
    <w:rsid w:val="7B54B74F"/>
    <w:rsid w:val="7B61BCE4"/>
    <w:rsid w:val="7B63AF70"/>
    <w:rsid w:val="7BA6F79E"/>
    <w:rsid w:val="7BB40F28"/>
    <w:rsid w:val="7BFFE48E"/>
    <w:rsid w:val="7CD3B044"/>
    <w:rsid w:val="7CD96823"/>
    <w:rsid w:val="7D10E1E6"/>
    <w:rsid w:val="7D6D9A72"/>
    <w:rsid w:val="7DEA591F"/>
    <w:rsid w:val="7E499BC8"/>
    <w:rsid w:val="7FC43003"/>
    <w:rsid w:val="7FEAC8F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143DEEE"/>
  <w15:docId w15:val="{B7612927-613B-447A-83C6-2D495914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1204EE"/>
    <w:rPr>
      <w:color w:val="0563C1" w:themeColor="hyperlink"/>
      <w:u w:val="single"/>
    </w:rPr>
  </w:style>
  <w:style w:type="character" w:styleId="MenoPendente">
    <w:name w:val="Unresolved Mention"/>
    <w:basedOn w:val="Fontepargpadro"/>
    <w:uiPriority w:val="99"/>
    <w:semiHidden/>
    <w:unhideWhenUsed/>
    <w:rsid w:val="001204EE"/>
    <w:rPr>
      <w:color w:val="605E5C"/>
      <w:shd w:val="clear" w:color="auto" w:fill="E1DFDD"/>
    </w:rPr>
  </w:style>
  <w:style w:type="paragraph" w:styleId="Reviso">
    <w:name w:val="Revision"/>
    <w:hidden/>
    <w:uiPriority w:val="99"/>
    <w:semiHidden/>
    <w:rsid w:val="00C3488C"/>
    <w:pPr>
      <w:spacing w:after="0" w:line="240" w:lineRule="auto"/>
    </w:pPr>
  </w:style>
  <w:style w:type="character" w:styleId="Refdecomentrio">
    <w:name w:val="annotation reference"/>
    <w:basedOn w:val="Fontepargpadro"/>
    <w:uiPriority w:val="99"/>
    <w:semiHidden/>
    <w:unhideWhenUsed/>
    <w:rsid w:val="00CB4349"/>
    <w:rPr>
      <w:sz w:val="16"/>
      <w:szCs w:val="16"/>
    </w:rPr>
  </w:style>
  <w:style w:type="paragraph" w:styleId="Textodecomentrio">
    <w:name w:val="annotation text"/>
    <w:basedOn w:val="Normal"/>
    <w:link w:val="TextodecomentrioChar"/>
    <w:uiPriority w:val="99"/>
    <w:unhideWhenUsed/>
    <w:rsid w:val="00CB4349"/>
    <w:pPr>
      <w:spacing w:line="240" w:lineRule="auto"/>
    </w:pPr>
    <w:rPr>
      <w:sz w:val="20"/>
      <w:szCs w:val="20"/>
    </w:rPr>
  </w:style>
  <w:style w:type="character" w:customStyle="1" w:styleId="TextodecomentrioChar">
    <w:name w:val="Texto de comentário Char"/>
    <w:basedOn w:val="Fontepargpadro"/>
    <w:link w:val="Textodecomentrio"/>
    <w:uiPriority w:val="99"/>
    <w:rsid w:val="00CB4349"/>
    <w:rPr>
      <w:sz w:val="20"/>
      <w:szCs w:val="20"/>
    </w:rPr>
  </w:style>
  <w:style w:type="paragraph" w:styleId="Assuntodocomentrio">
    <w:name w:val="annotation subject"/>
    <w:basedOn w:val="Textodecomentrio"/>
    <w:next w:val="Textodecomentrio"/>
    <w:link w:val="AssuntodocomentrioChar"/>
    <w:uiPriority w:val="99"/>
    <w:semiHidden/>
    <w:unhideWhenUsed/>
    <w:rsid w:val="00CB4349"/>
    <w:rPr>
      <w:b/>
      <w:bCs/>
    </w:rPr>
  </w:style>
  <w:style w:type="character" w:customStyle="1" w:styleId="AssuntodocomentrioChar">
    <w:name w:val="Assunto do comentário Char"/>
    <w:basedOn w:val="TextodecomentrioChar"/>
    <w:link w:val="Assuntodocomentrio"/>
    <w:uiPriority w:val="99"/>
    <w:semiHidden/>
    <w:rsid w:val="00CB4349"/>
    <w:rPr>
      <w:b/>
      <w:bCs/>
      <w:sz w:val="20"/>
      <w:szCs w:val="20"/>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5A4C34"/>
    <w:pPr>
      <w:ind w:left="720"/>
      <w:contextualSpacing/>
    </w:pPr>
  </w:style>
  <w:style w:type="paragraph" w:styleId="NormalWeb">
    <w:name w:val="Normal (Web)"/>
    <w:basedOn w:val="Normal"/>
    <w:uiPriority w:val="99"/>
    <w:unhideWhenUsed/>
    <w:rsid w:val="00704A9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505347">
      <w:bodyDiv w:val="1"/>
      <w:marLeft w:val="0"/>
      <w:marRight w:val="0"/>
      <w:marTop w:val="0"/>
      <w:marBottom w:val="0"/>
      <w:divBdr>
        <w:top w:val="none" w:sz="0" w:space="0" w:color="auto"/>
        <w:left w:val="none" w:sz="0" w:space="0" w:color="auto"/>
        <w:bottom w:val="none" w:sz="0" w:space="0" w:color="auto"/>
        <w:right w:val="none" w:sz="0" w:space="0" w:color="auto"/>
      </w:divBdr>
    </w:div>
    <w:div w:id="1890725838">
      <w:bodyDiv w:val="1"/>
      <w:marLeft w:val="0"/>
      <w:marRight w:val="0"/>
      <w:marTop w:val="0"/>
      <w:marBottom w:val="0"/>
      <w:divBdr>
        <w:top w:val="none" w:sz="0" w:space="0" w:color="auto"/>
        <w:left w:val="none" w:sz="0" w:space="0" w:color="auto"/>
        <w:bottom w:val="none" w:sz="0" w:space="0" w:color="auto"/>
        <w:right w:val="none" w:sz="0" w:space="0" w:color="auto"/>
      </w:divBdr>
      <w:divsChild>
        <w:div w:id="798381258">
          <w:marLeft w:val="0"/>
          <w:marRight w:val="0"/>
          <w:marTop w:val="600"/>
          <w:marBottom w:val="45"/>
          <w:divBdr>
            <w:top w:val="none" w:sz="0" w:space="0" w:color="auto"/>
            <w:left w:val="none" w:sz="0" w:space="0" w:color="auto"/>
            <w:bottom w:val="none" w:sz="0" w:space="0" w:color="auto"/>
            <w:right w:val="none" w:sz="0" w:space="0" w:color="auto"/>
          </w:divBdr>
        </w:div>
      </w:divsChild>
    </w:div>
    <w:div w:id="21399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3630</Words>
  <Characters>19604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cp:lastModifiedBy>Breno Cerqueira</cp:lastModifiedBy>
  <cp:revision>7</cp:revision>
  <dcterms:created xsi:type="dcterms:W3CDTF">2023-04-30T01:40:00Z</dcterms:created>
  <dcterms:modified xsi:type="dcterms:W3CDTF">2023-04-30T01:46:00Z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