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4A33F3" w:rsidRPr="008C1B30" w:rsidRDefault="004A33F3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4A33F3" w:rsidRPr="008C1B30" w:rsidRDefault="004A33F3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4A33F3" w:rsidRPr="008C1B30" w:rsidRDefault="004A33F3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4A33F3" w:rsidRPr="008C1B30" w:rsidRDefault="004A33F3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2B8DF4E0" w:rsidR="00EA4E1B" w:rsidRPr="00115F1C" w:rsidRDefault="00C733D7" w:rsidP="00115F1C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S</w:t>
      </w:r>
      <w:r w:rsidR="00115F1C">
        <w:rPr>
          <w:sz w:val="32"/>
          <w:lang w:val="pt-BR"/>
        </w:rPr>
        <w:t xml:space="preserve">olventes sustentáveis na </w:t>
      </w:r>
      <w:r>
        <w:rPr>
          <w:sz w:val="32"/>
          <w:lang w:val="pt-BR"/>
        </w:rPr>
        <w:t xml:space="preserve">reação de </w:t>
      </w:r>
      <w:r w:rsidR="00115F1C">
        <w:rPr>
          <w:sz w:val="32"/>
          <w:lang w:val="pt-BR"/>
        </w:rPr>
        <w:t>hidroformilação</w:t>
      </w:r>
    </w:p>
    <w:p w14:paraId="772A030F" w14:textId="77777777" w:rsidR="00115F1C" w:rsidRDefault="00115F1C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2AF30B78" w:rsidR="00EA4E1B" w:rsidRPr="001F25B2" w:rsidRDefault="00DF6F73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Ricardo G.</w:t>
      </w:r>
      <w:r w:rsidR="00EC1047">
        <w:rPr>
          <w:rFonts w:ascii="Times New Roman" w:hAnsi="Times New Roman"/>
          <w:sz w:val="20"/>
          <w:lang w:val="pt-BR"/>
        </w:rPr>
        <w:t xml:space="preserve"> Penido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Rebecca B.</w:t>
      </w:r>
      <w:r w:rsidR="00EC1047">
        <w:rPr>
          <w:rFonts w:ascii="Times New Roman" w:hAnsi="Times New Roman"/>
          <w:sz w:val="20"/>
          <w:lang w:val="pt-BR"/>
        </w:rPr>
        <w:t xml:space="preserve"> Costa</w:t>
      </w:r>
      <w:r w:rsidR="00EC1047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4F781C"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, Fábio G.</w:t>
      </w:r>
      <w:r w:rsidR="00EC1047">
        <w:rPr>
          <w:rFonts w:ascii="Times New Roman" w:hAnsi="Times New Roman"/>
          <w:sz w:val="20"/>
          <w:lang w:val="pt-BR"/>
        </w:rPr>
        <w:t xml:space="preserve"> Delolo</w:t>
      </w:r>
      <w:r w:rsidR="00EC1047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</w:t>
      </w:r>
      <w:r w:rsidR="00EC1047">
        <w:rPr>
          <w:rFonts w:ascii="Times New Roman" w:hAnsi="Times New Roman"/>
          <w:sz w:val="20"/>
          <w:lang w:val="pt-BR"/>
        </w:rPr>
        <w:t xml:space="preserve"> Elena </w:t>
      </w:r>
      <w:r>
        <w:rPr>
          <w:rFonts w:ascii="Times New Roman" w:hAnsi="Times New Roman"/>
          <w:sz w:val="20"/>
          <w:lang w:val="pt-BR"/>
        </w:rPr>
        <w:t>V.</w:t>
      </w:r>
      <w:r w:rsidR="00EC1047">
        <w:rPr>
          <w:rFonts w:ascii="Times New Roman" w:hAnsi="Times New Roman"/>
          <w:sz w:val="20"/>
          <w:lang w:val="pt-BR"/>
        </w:rPr>
        <w:t xml:space="preserve"> </w:t>
      </w:r>
      <w:r w:rsidR="00225FD7" w:rsidRPr="00225FD7">
        <w:rPr>
          <w:rFonts w:ascii="Times New Roman" w:hAnsi="Times New Roman"/>
          <w:sz w:val="20"/>
          <w:lang w:val="pt-BR"/>
        </w:rPr>
        <w:t>Gusevskay</w:t>
      </w:r>
      <w:r w:rsidR="00EC1047" w:rsidRPr="00225FD7">
        <w:rPr>
          <w:rFonts w:ascii="Times New Roman" w:hAnsi="Times New Roman"/>
          <w:sz w:val="20"/>
          <w:lang w:val="pt-BR"/>
        </w:rPr>
        <w:t>a</w:t>
      </w:r>
      <w:r w:rsidR="00EC1047" w:rsidRPr="00225FD7">
        <w:rPr>
          <w:rFonts w:ascii="Times New Roman" w:hAnsi="Times New Roman"/>
          <w:sz w:val="20"/>
          <w:vertAlign w:val="superscript"/>
          <w:lang w:val="pt-BR"/>
        </w:rPr>
        <w:t>1</w:t>
      </w:r>
      <w:r w:rsidR="00824C20">
        <w:rPr>
          <w:rFonts w:ascii="Times New Roman" w:hAnsi="Times New Roman"/>
          <w:sz w:val="20"/>
          <w:lang w:val="pt-BR"/>
        </w:rPr>
        <w:t>,</w:t>
      </w:r>
      <w:r w:rsidR="00824C20" w:rsidRPr="00824C20">
        <w:rPr>
          <w:rFonts w:ascii="Times New Roman" w:hAnsi="Times New Roman"/>
          <w:sz w:val="20"/>
          <w:lang w:val="pt-BR"/>
        </w:rPr>
        <w:t xml:space="preserve"> </w:t>
      </w:r>
      <w:r w:rsidR="00824C20">
        <w:rPr>
          <w:rFonts w:ascii="Times New Roman" w:hAnsi="Times New Roman"/>
          <w:sz w:val="20"/>
          <w:lang w:val="pt-BR"/>
        </w:rPr>
        <w:t>Eduardo N. dos Santos</w:t>
      </w:r>
      <w:r w:rsidR="00824C20"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652AFB6D" w14:textId="75D57B2C" w:rsidR="004F781C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EC1047">
        <w:rPr>
          <w:lang w:val="pt-BR"/>
        </w:rPr>
        <w:t>Departamento de Química, Universidade Federal de Mina</w:t>
      </w:r>
      <w:r w:rsidR="00DF6F73">
        <w:rPr>
          <w:lang w:val="pt-BR"/>
        </w:rPr>
        <w:t>s Gerais, CEP: 3</w:t>
      </w:r>
      <w:r w:rsidR="00EC1047">
        <w:rPr>
          <w:lang w:val="pt-BR"/>
        </w:rPr>
        <w:t>1270-901</w:t>
      </w:r>
      <w:r w:rsidR="00DF6F73">
        <w:rPr>
          <w:lang w:val="pt-BR"/>
        </w:rPr>
        <w:t>, Belo Horizonte, MG, Brasil.</w:t>
      </w:r>
    </w:p>
    <w:p w14:paraId="22D38595" w14:textId="39406E97" w:rsidR="00EA4E1B" w:rsidRDefault="00DF6F73" w:rsidP="00DF6F73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 xml:space="preserve">*Autor para correspondência: </w:t>
      </w:r>
      <w:r w:rsidR="004F781C">
        <w:rPr>
          <w:lang w:val="pt-BR"/>
        </w:rPr>
        <w:t>bicalhorebecca@gmail.com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EF7AA26" w:rsidR="004A33F3" w:rsidRPr="008C1B30" w:rsidRDefault="004A33F3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</w:t>
                            </w:r>
                            <w:r w:rsidR="00115F1C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mo/Abstract</w:t>
                            </w:r>
                          </w:p>
                          <w:p w14:paraId="7638102C" w14:textId="04A73240" w:rsidR="004A33F3" w:rsidRPr="008C1B30" w:rsidRDefault="004A33F3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EF7AA26" w:rsidR="004A33F3" w:rsidRPr="008C1B30" w:rsidRDefault="004A33F3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</w:t>
                      </w:r>
                      <w:r w:rsidR="00115F1C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mo/Abstract</w:t>
                      </w:r>
                    </w:p>
                    <w:p w14:paraId="7638102C" w14:textId="04A73240" w:rsidR="004A33F3" w:rsidRPr="008C1B30" w:rsidRDefault="004A33F3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6E17166" w14:textId="1D654D58" w:rsidR="00F57818" w:rsidRPr="00C274A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F57818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427B57">
        <w:rPr>
          <w:rFonts w:ascii="Times New Roman" w:hAnsi="Times New Roman"/>
          <w:b w:val="0"/>
          <w:sz w:val="20"/>
          <w:lang w:val="pt-BR"/>
        </w:rPr>
        <w:t>Reações de h</w:t>
      </w:r>
      <w:r w:rsidR="005E3D27">
        <w:rPr>
          <w:rFonts w:ascii="Times New Roman" w:hAnsi="Times New Roman"/>
          <w:b w:val="0"/>
          <w:sz w:val="20"/>
          <w:lang w:val="pt-BR"/>
        </w:rPr>
        <w:t>idrofo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rmilação são realizadas no setor </w:t>
      </w:r>
      <w:r w:rsidR="005E3D27">
        <w:rPr>
          <w:rFonts w:ascii="Times New Roman" w:hAnsi="Times New Roman"/>
          <w:b w:val="0"/>
          <w:sz w:val="20"/>
          <w:lang w:val="pt-BR"/>
        </w:rPr>
        <w:t>industrial para produzir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 aldeídos</w:t>
      </w:r>
      <w:r w:rsidR="00BD03DA">
        <w:rPr>
          <w:rFonts w:ascii="Times New Roman" w:hAnsi="Times New Roman"/>
          <w:b w:val="0"/>
          <w:sz w:val="20"/>
          <w:lang w:val="pt-BR"/>
        </w:rPr>
        <w:t xml:space="preserve"> alifáticos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 </w:t>
      </w:r>
      <w:r w:rsidR="00E353D7">
        <w:rPr>
          <w:rFonts w:ascii="Times New Roman" w:hAnsi="Times New Roman"/>
          <w:b w:val="0"/>
          <w:sz w:val="20"/>
          <w:lang w:val="pt-BR"/>
        </w:rPr>
        <w:t>utilizados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 n</w:t>
      </w:r>
      <w:r w:rsidR="005E3D27">
        <w:rPr>
          <w:rFonts w:ascii="Times New Roman" w:hAnsi="Times New Roman"/>
          <w:b w:val="0"/>
          <w:sz w:val="20"/>
          <w:lang w:val="pt-BR"/>
        </w:rPr>
        <w:t>a síntese de produtos de maior valor agregado.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 </w:t>
      </w:r>
      <w:r w:rsidR="009F136D">
        <w:rPr>
          <w:rFonts w:ascii="Times New Roman" w:hAnsi="Times New Roman"/>
          <w:b w:val="0"/>
          <w:sz w:val="20"/>
          <w:lang w:val="pt-BR"/>
        </w:rPr>
        <w:t>São</w:t>
      </w:r>
      <w:r w:rsidR="000E0FE8">
        <w:rPr>
          <w:rFonts w:ascii="Times New Roman" w:hAnsi="Times New Roman"/>
          <w:b w:val="0"/>
          <w:sz w:val="20"/>
          <w:lang w:val="pt-BR"/>
        </w:rPr>
        <w:t xml:space="preserve"> </w:t>
      </w:r>
      <w:r w:rsidR="009F136D">
        <w:rPr>
          <w:rFonts w:ascii="Times New Roman" w:hAnsi="Times New Roman"/>
          <w:b w:val="0"/>
          <w:sz w:val="20"/>
          <w:lang w:val="pt-BR"/>
        </w:rPr>
        <w:t>preocupantes</w:t>
      </w:r>
      <w:r w:rsidR="000E0FE8">
        <w:rPr>
          <w:rFonts w:ascii="Times New Roman" w:hAnsi="Times New Roman"/>
          <w:b w:val="0"/>
          <w:sz w:val="20"/>
          <w:lang w:val="pt-BR"/>
        </w:rPr>
        <w:t xml:space="preserve"> os impactos que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os solventes convencionais utilizados </w:t>
      </w:r>
      <w:r w:rsidR="0000319E">
        <w:rPr>
          <w:rFonts w:ascii="Times New Roman" w:hAnsi="Times New Roman"/>
          <w:b w:val="0"/>
          <w:sz w:val="20"/>
          <w:lang w:val="pt-BR"/>
        </w:rPr>
        <w:t>nesses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processos </w:t>
      </w:r>
      <w:r w:rsidR="000E0FE8">
        <w:rPr>
          <w:rFonts w:ascii="Times New Roman" w:hAnsi="Times New Roman"/>
          <w:b w:val="0"/>
          <w:sz w:val="20"/>
          <w:lang w:val="pt-BR"/>
        </w:rPr>
        <w:t>causam na saúde humana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e no meio ambiente</w:t>
      </w:r>
      <w:r w:rsidR="000E0FE8">
        <w:rPr>
          <w:rFonts w:ascii="Times New Roman" w:hAnsi="Times New Roman"/>
          <w:b w:val="0"/>
          <w:sz w:val="20"/>
          <w:lang w:val="pt-BR"/>
        </w:rPr>
        <w:t>, motivando a pesquisa por formas alternativas de produção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, seguindo os princípios da </w:t>
      </w:r>
      <w:r w:rsidR="00C733D7">
        <w:rPr>
          <w:rFonts w:ascii="Times New Roman" w:hAnsi="Times New Roman"/>
          <w:b w:val="0"/>
          <w:sz w:val="20"/>
          <w:lang w:val="pt-BR"/>
        </w:rPr>
        <w:t>q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uímica </w:t>
      </w:r>
      <w:r w:rsidR="00C733D7">
        <w:rPr>
          <w:rFonts w:ascii="Times New Roman" w:hAnsi="Times New Roman"/>
          <w:b w:val="0"/>
          <w:sz w:val="20"/>
          <w:lang w:val="pt-BR"/>
        </w:rPr>
        <w:t>v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erde e </w:t>
      </w:r>
      <w:r w:rsidR="00C733D7">
        <w:rPr>
          <w:rFonts w:ascii="Times New Roman" w:hAnsi="Times New Roman"/>
          <w:b w:val="0"/>
          <w:sz w:val="20"/>
          <w:lang w:val="pt-BR"/>
        </w:rPr>
        <w:t>s</w:t>
      </w:r>
      <w:r w:rsidR="00AB4E6A">
        <w:rPr>
          <w:rFonts w:ascii="Times New Roman" w:hAnsi="Times New Roman"/>
          <w:b w:val="0"/>
          <w:sz w:val="20"/>
          <w:lang w:val="pt-BR"/>
        </w:rPr>
        <w:t>ustentável.</w:t>
      </w:r>
      <w:r w:rsidR="00427B57">
        <w:rPr>
          <w:rFonts w:ascii="Times New Roman" w:hAnsi="Times New Roman"/>
          <w:b w:val="0"/>
          <w:sz w:val="20"/>
          <w:lang w:val="pt-BR"/>
        </w:rPr>
        <w:t xml:space="preserve"> </w:t>
      </w:r>
      <w:r w:rsidR="00C274A6">
        <w:rPr>
          <w:rFonts w:ascii="Times New Roman" w:hAnsi="Times New Roman"/>
          <w:b w:val="0"/>
          <w:sz w:val="20"/>
          <w:lang w:val="pt-BR"/>
        </w:rPr>
        <w:t>N</w:t>
      </w:r>
      <w:r w:rsidR="000E0FE8">
        <w:rPr>
          <w:rFonts w:ascii="Times New Roman" w:hAnsi="Times New Roman"/>
          <w:b w:val="0"/>
          <w:sz w:val="20"/>
          <w:lang w:val="pt-BR"/>
        </w:rPr>
        <w:t>esse</w:t>
      </w:r>
      <w:r w:rsidR="00E600BC">
        <w:rPr>
          <w:rFonts w:ascii="Times New Roman" w:hAnsi="Times New Roman"/>
          <w:b w:val="0"/>
          <w:sz w:val="20"/>
          <w:lang w:val="pt-BR"/>
        </w:rPr>
        <w:t xml:space="preserve"> trabalho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foi </w:t>
      </w:r>
      <w:r w:rsidR="00945BE6">
        <w:rPr>
          <w:rFonts w:ascii="Times New Roman" w:hAnsi="Times New Roman"/>
          <w:b w:val="0"/>
          <w:sz w:val="20"/>
          <w:lang w:val="pt-BR"/>
        </w:rPr>
        <w:t>investigada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a influência que os solventes sustentáveis </w:t>
      </w:r>
      <w:proofErr w:type="spellStart"/>
      <w:r w:rsidR="00210C7B">
        <w:rPr>
          <w:rFonts w:ascii="Times New Roman" w:hAnsi="Times New Roman"/>
          <w:b w:val="0"/>
          <w:sz w:val="20"/>
          <w:lang w:val="pt-BR"/>
        </w:rPr>
        <w:t>metóxiciclopentano</w:t>
      </w:r>
      <w:proofErr w:type="spellEnd"/>
      <w:r w:rsidR="00210C7B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10C7B">
        <w:rPr>
          <w:rFonts w:ascii="Times New Roman" w:hAnsi="Times New Roman"/>
          <w:b w:val="0"/>
          <w:sz w:val="20"/>
          <w:lang w:val="pt-BR"/>
        </w:rPr>
        <w:t>isosorbato</w:t>
      </w:r>
      <w:proofErr w:type="spellEnd"/>
      <w:r w:rsidR="00210C7B">
        <w:rPr>
          <w:rFonts w:ascii="Times New Roman" w:hAnsi="Times New Roman"/>
          <w:b w:val="0"/>
          <w:sz w:val="20"/>
          <w:lang w:val="pt-BR"/>
        </w:rPr>
        <w:t xml:space="preserve"> de </w:t>
      </w:r>
      <w:proofErr w:type="spellStart"/>
      <w:r w:rsidR="00210C7B">
        <w:rPr>
          <w:rFonts w:ascii="Times New Roman" w:hAnsi="Times New Roman"/>
          <w:b w:val="0"/>
          <w:sz w:val="20"/>
          <w:lang w:val="pt-BR"/>
        </w:rPr>
        <w:t>dimetila</w:t>
      </w:r>
      <w:proofErr w:type="spellEnd"/>
      <w:r w:rsidR="00AB4E6A">
        <w:rPr>
          <w:rFonts w:ascii="Times New Roman" w:hAnsi="Times New Roman"/>
          <w:b w:val="0"/>
          <w:sz w:val="20"/>
          <w:lang w:val="pt-BR"/>
        </w:rPr>
        <w:t>, Cyrene</w:t>
      </w:r>
      <w:r w:rsidR="00AB4E6A" w:rsidRPr="00E600BC">
        <w:rPr>
          <w:rFonts w:ascii="Times New Roman" w:hAnsi="Times New Roman"/>
          <w:b w:val="0"/>
          <w:sz w:val="20"/>
          <w:vertAlign w:val="superscript"/>
          <w:lang w:val="pt-BR"/>
        </w:rPr>
        <w:t>TM</w:t>
      </w:r>
      <w:r w:rsidR="00AB4E6A">
        <w:rPr>
          <w:rFonts w:ascii="Times New Roman" w:hAnsi="Times New Roman"/>
          <w:b w:val="0"/>
          <w:sz w:val="20"/>
          <w:lang w:val="pt-BR"/>
        </w:rPr>
        <w:t xml:space="preserve"> e triacetina tem </w:t>
      </w:r>
      <w:r w:rsidR="00E600BC">
        <w:rPr>
          <w:rFonts w:ascii="Times New Roman" w:hAnsi="Times New Roman"/>
          <w:b w:val="0"/>
          <w:sz w:val="20"/>
          <w:lang w:val="pt-BR"/>
        </w:rPr>
        <w:t>nas reações de hidroformilação do</w:t>
      </w:r>
      <w:r w:rsidR="00C274A6">
        <w:rPr>
          <w:rFonts w:ascii="Times New Roman" w:hAnsi="Times New Roman"/>
          <w:b w:val="0"/>
          <w:sz w:val="20"/>
          <w:lang w:val="pt-BR"/>
        </w:rPr>
        <w:t xml:space="preserve"> </w:t>
      </w:r>
      <w:r w:rsidR="00E600BC">
        <w:rPr>
          <w:rFonts w:ascii="Times New Roman" w:hAnsi="Times New Roman"/>
          <w:b w:val="0"/>
          <w:sz w:val="20"/>
          <w:lang w:val="pt-BR"/>
        </w:rPr>
        <w:t>1-octeno, estireno e álcool perílico</w:t>
      </w:r>
      <w:r w:rsidR="00AB2C6C">
        <w:rPr>
          <w:rFonts w:ascii="Times New Roman" w:hAnsi="Times New Roman"/>
          <w:b w:val="0"/>
          <w:sz w:val="20"/>
          <w:lang w:val="pt-BR"/>
        </w:rPr>
        <w:t xml:space="preserve"> catalisadas por</w:t>
      </w:r>
      <w:r w:rsidR="00E600BC">
        <w:rPr>
          <w:rFonts w:ascii="Times New Roman" w:hAnsi="Times New Roman"/>
          <w:b w:val="0"/>
          <w:sz w:val="20"/>
          <w:lang w:val="pt-BR"/>
        </w:rPr>
        <w:t xml:space="preserve"> um sistema </w:t>
      </w:r>
      <w:r w:rsidR="00C733D7">
        <w:rPr>
          <w:rFonts w:ascii="Times New Roman" w:hAnsi="Times New Roman"/>
          <w:b w:val="0"/>
          <w:sz w:val="20"/>
          <w:lang w:val="pt-BR"/>
        </w:rPr>
        <w:t>baseado em</w:t>
      </w:r>
      <w:r w:rsidR="00E600BC">
        <w:rPr>
          <w:rFonts w:ascii="Times New Roman" w:hAnsi="Times New Roman"/>
          <w:b w:val="0"/>
          <w:sz w:val="20"/>
          <w:lang w:val="pt-BR"/>
        </w:rPr>
        <w:t xml:space="preserve"> </w:t>
      </w:r>
      <w:r w:rsidR="00BD03DA">
        <w:rPr>
          <w:rFonts w:ascii="Times New Roman" w:hAnsi="Times New Roman"/>
          <w:b w:val="0"/>
          <w:sz w:val="20"/>
          <w:lang w:val="pt-BR"/>
        </w:rPr>
        <w:t>Rh/</w:t>
      </w:r>
      <w:r w:rsidR="00E600BC" w:rsidRPr="00E600BC">
        <w:rPr>
          <w:rFonts w:ascii="Times New Roman" w:hAnsi="Times New Roman"/>
          <w:b w:val="0"/>
          <w:sz w:val="20"/>
          <w:lang w:val="pt-BR"/>
        </w:rPr>
        <w:t>PPh</w:t>
      </w:r>
      <w:r w:rsidR="00E600BC" w:rsidRPr="00E600BC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274A6">
        <w:rPr>
          <w:rFonts w:ascii="Times New Roman" w:hAnsi="Times New Roman"/>
          <w:b w:val="0"/>
          <w:sz w:val="20"/>
          <w:lang w:val="pt-BR"/>
        </w:rPr>
        <w:t xml:space="preserve">. Foram analisadas </w:t>
      </w:r>
      <w:r w:rsidR="00945BE6">
        <w:rPr>
          <w:rFonts w:ascii="Times New Roman" w:hAnsi="Times New Roman"/>
          <w:b w:val="0"/>
          <w:sz w:val="20"/>
          <w:lang w:val="pt-BR"/>
        </w:rPr>
        <w:t>as conversões, seletividades e velocidade das reações, tendo como referência os sistemas em t</w:t>
      </w:r>
      <w:r w:rsidR="00C274A6">
        <w:rPr>
          <w:rFonts w:ascii="Times New Roman" w:hAnsi="Times New Roman"/>
          <w:b w:val="0"/>
          <w:sz w:val="20"/>
          <w:lang w:val="pt-BR"/>
        </w:rPr>
        <w:t>ol</w:t>
      </w:r>
      <w:r w:rsidR="009F136D">
        <w:rPr>
          <w:rFonts w:ascii="Times New Roman" w:hAnsi="Times New Roman"/>
          <w:b w:val="0"/>
          <w:sz w:val="20"/>
          <w:lang w:val="pt-BR"/>
        </w:rPr>
        <w:t xml:space="preserve">ueno e texanol. </w:t>
      </w:r>
      <w:r w:rsidR="008932C1" w:rsidRPr="00935A17">
        <w:rPr>
          <w:rFonts w:ascii="Times New Roman" w:hAnsi="Times New Roman"/>
          <w:b w:val="0"/>
          <w:sz w:val="20"/>
          <w:lang w:val="pt-BR"/>
        </w:rPr>
        <w:t>A</w:t>
      </w:r>
      <w:r w:rsidR="00C274A6" w:rsidRPr="00935A17">
        <w:rPr>
          <w:rFonts w:ascii="Times New Roman" w:hAnsi="Times New Roman"/>
          <w:b w:val="0"/>
          <w:sz w:val="20"/>
          <w:lang w:val="pt-BR"/>
        </w:rPr>
        <w:t>s reações</w:t>
      </w:r>
      <w:r w:rsidR="008932C1" w:rsidRPr="00935A17">
        <w:rPr>
          <w:rFonts w:ascii="Times New Roman" w:hAnsi="Times New Roman"/>
          <w:b w:val="0"/>
          <w:sz w:val="20"/>
          <w:lang w:val="pt-BR"/>
        </w:rPr>
        <w:t xml:space="preserve"> do 1-oc</w:t>
      </w:r>
      <w:r w:rsidR="00C733D7">
        <w:rPr>
          <w:rFonts w:ascii="Times New Roman" w:hAnsi="Times New Roman"/>
          <w:b w:val="0"/>
          <w:sz w:val="20"/>
          <w:lang w:val="pt-BR"/>
        </w:rPr>
        <w:t>te</w:t>
      </w:r>
      <w:r w:rsidR="008932C1" w:rsidRPr="00935A17">
        <w:rPr>
          <w:rFonts w:ascii="Times New Roman" w:hAnsi="Times New Roman"/>
          <w:b w:val="0"/>
          <w:sz w:val="20"/>
          <w:lang w:val="pt-BR"/>
        </w:rPr>
        <w:t>no e estireno</w:t>
      </w:r>
      <w:r w:rsidR="00C274A6" w:rsidRPr="00935A17">
        <w:rPr>
          <w:rFonts w:ascii="Times New Roman" w:hAnsi="Times New Roman"/>
          <w:b w:val="0"/>
          <w:sz w:val="20"/>
          <w:lang w:val="pt-BR"/>
        </w:rPr>
        <w:t xml:space="preserve"> em triacetina apresentaram </w:t>
      </w:r>
      <w:r w:rsidR="009F136D" w:rsidRPr="00935A17">
        <w:rPr>
          <w:rFonts w:ascii="Times New Roman" w:hAnsi="Times New Roman"/>
          <w:b w:val="0"/>
          <w:sz w:val="20"/>
          <w:lang w:val="pt-BR"/>
        </w:rPr>
        <w:t>conversão acima de 97% e seletividade semelhante ao tolueno</w:t>
      </w:r>
      <w:r w:rsidR="00945BE6" w:rsidRPr="00935A17">
        <w:rPr>
          <w:rFonts w:ascii="Times New Roman" w:hAnsi="Times New Roman"/>
          <w:b w:val="0"/>
          <w:sz w:val="20"/>
          <w:lang w:val="pt-BR"/>
        </w:rPr>
        <w:t>.</w:t>
      </w:r>
      <w:r w:rsidR="00945BE6">
        <w:rPr>
          <w:rFonts w:ascii="Times New Roman" w:hAnsi="Times New Roman"/>
          <w:b w:val="0"/>
          <w:sz w:val="20"/>
          <w:lang w:val="pt-BR"/>
        </w:rPr>
        <w:t xml:space="preserve"> </w:t>
      </w:r>
      <w:r w:rsidR="00935A17">
        <w:rPr>
          <w:rFonts w:ascii="Times New Roman" w:hAnsi="Times New Roman"/>
          <w:b w:val="0"/>
          <w:sz w:val="20"/>
          <w:lang w:val="pt-BR"/>
        </w:rPr>
        <w:t>Ainda no caso do</w:t>
      </w:r>
      <w:r w:rsidR="009F136D">
        <w:rPr>
          <w:rFonts w:ascii="Times New Roman" w:hAnsi="Times New Roman"/>
          <w:b w:val="0"/>
          <w:sz w:val="20"/>
          <w:lang w:val="pt-BR"/>
        </w:rPr>
        <w:t xml:space="preserve"> 1-octeno</w:t>
      </w:r>
      <w:r w:rsidR="00935A17">
        <w:rPr>
          <w:rFonts w:ascii="Times New Roman" w:hAnsi="Times New Roman"/>
          <w:b w:val="0"/>
          <w:sz w:val="20"/>
          <w:lang w:val="pt-BR"/>
        </w:rPr>
        <w:t xml:space="preserve"> </w:t>
      </w:r>
      <w:r w:rsidR="004B7AB5">
        <w:rPr>
          <w:rFonts w:ascii="Times New Roman" w:hAnsi="Times New Roman"/>
          <w:b w:val="0"/>
          <w:sz w:val="20"/>
          <w:lang w:val="pt-BR"/>
        </w:rPr>
        <w:t>e álcool</w:t>
      </w:r>
      <w:r w:rsidR="008932C1">
        <w:rPr>
          <w:rFonts w:ascii="Times New Roman" w:hAnsi="Times New Roman"/>
          <w:b w:val="0"/>
          <w:sz w:val="20"/>
          <w:lang w:val="pt-BR"/>
        </w:rPr>
        <w:t xml:space="preserve"> perílico</w:t>
      </w:r>
      <w:r w:rsidR="009F136D">
        <w:rPr>
          <w:rFonts w:ascii="Times New Roman" w:hAnsi="Times New Roman"/>
          <w:b w:val="0"/>
          <w:sz w:val="20"/>
          <w:lang w:val="pt-BR"/>
        </w:rPr>
        <w:t xml:space="preserve">, o sistema </w:t>
      </w:r>
      <w:r w:rsidR="00C274A6">
        <w:rPr>
          <w:rFonts w:ascii="Times New Roman" w:hAnsi="Times New Roman"/>
          <w:b w:val="0"/>
          <w:sz w:val="20"/>
          <w:lang w:val="pt-BR"/>
        </w:rPr>
        <w:t>em Cyrene</w:t>
      </w:r>
      <w:r w:rsidR="00C274A6">
        <w:rPr>
          <w:rFonts w:ascii="Times New Roman" w:hAnsi="Times New Roman"/>
          <w:b w:val="0"/>
          <w:sz w:val="20"/>
          <w:vertAlign w:val="superscript"/>
          <w:lang w:val="pt-BR"/>
        </w:rPr>
        <w:t>TM</w:t>
      </w:r>
      <w:r w:rsidR="009F136D">
        <w:rPr>
          <w:rFonts w:ascii="Times New Roman" w:hAnsi="Times New Roman"/>
          <w:b w:val="0"/>
          <w:sz w:val="20"/>
          <w:lang w:val="pt-BR"/>
        </w:rPr>
        <w:t xml:space="preserve"> também apresentou resultados</w:t>
      </w:r>
      <w:r w:rsidR="008932C1">
        <w:rPr>
          <w:rFonts w:ascii="Times New Roman" w:hAnsi="Times New Roman"/>
          <w:b w:val="0"/>
          <w:sz w:val="20"/>
          <w:lang w:val="pt-BR"/>
        </w:rPr>
        <w:t xml:space="preserve"> satisfatórios</w:t>
      </w:r>
      <w:r w:rsidR="00C274A6">
        <w:rPr>
          <w:rFonts w:ascii="Times New Roman" w:hAnsi="Times New Roman"/>
          <w:b w:val="0"/>
          <w:sz w:val="20"/>
          <w:lang w:val="pt-BR"/>
        </w:rPr>
        <w:t xml:space="preserve">. </w:t>
      </w:r>
      <w:r w:rsidR="00DD083C">
        <w:rPr>
          <w:rFonts w:ascii="Times New Roman" w:hAnsi="Times New Roman"/>
          <w:b w:val="0"/>
          <w:sz w:val="20"/>
          <w:lang w:val="pt-BR"/>
        </w:rPr>
        <w:t>O estudo sugere que</w:t>
      </w:r>
      <w:r w:rsidR="00BD03DA" w:rsidRPr="00BD03DA">
        <w:rPr>
          <w:rFonts w:ascii="Times New Roman" w:hAnsi="Times New Roman"/>
          <w:b w:val="0"/>
          <w:sz w:val="20"/>
          <w:lang w:val="pt-BR"/>
        </w:rPr>
        <w:t xml:space="preserve"> os solventes verdes </w:t>
      </w:r>
      <w:r w:rsidR="00DD083C">
        <w:rPr>
          <w:rFonts w:ascii="Times New Roman" w:hAnsi="Times New Roman"/>
          <w:b w:val="0"/>
          <w:sz w:val="20"/>
          <w:lang w:val="pt-BR"/>
        </w:rPr>
        <w:t xml:space="preserve">avaliados </w:t>
      </w:r>
      <w:r w:rsidR="00BD03DA" w:rsidRPr="00BD03DA">
        <w:rPr>
          <w:rFonts w:ascii="Times New Roman" w:hAnsi="Times New Roman"/>
          <w:b w:val="0"/>
          <w:sz w:val="20"/>
          <w:lang w:val="pt-BR"/>
        </w:rPr>
        <w:t xml:space="preserve">se mostraram </w:t>
      </w:r>
      <w:r w:rsidR="00DD083C">
        <w:rPr>
          <w:rFonts w:ascii="Times New Roman" w:hAnsi="Times New Roman"/>
          <w:b w:val="0"/>
          <w:sz w:val="20"/>
          <w:lang w:val="pt-BR"/>
        </w:rPr>
        <w:t xml:space="preserve">como </w:t>
      </w:r>
      <w:r w:rsidR="00BD03DA" w:rsidRPr="00BD03DA">
        <w:rPr>
          <w:rFonts w:ascii="Times New Roman" w:hAnsi="Times New Roman"/>
          <w:b w:val="0"/>
          <w:sz w:val="20"/>
          <w:lang w:val="pt-BR"/>
        </w:rPr>
        <w:t>alternativa</w:t>
      </w:r>
      <w:r w:rsidR="00DD083C">
        <w:rPr>
          <w:rFonts w:ascii="Times New Roman" w:hAnsi="Times New Roman"/>
          <w:b w:val="0"/>
          <w:sz w:val="20"/>
          <w:lang w:val="pt-BR"/>
        </w:rPr>
        <w:t>s</w:t>
      </w:r>
      <w:r w:rsidR="00BD03DA" w:rsidRPr="00BD03DA">
        <w:rPr>
          <w:rFonts w:ascii="Times New Roman" w:hAnsi="Times New Roman"/>
          <w:b w:val="0"/>
          <w:sz w:val="20"/>
          <w:lang w:val="pt-BR"/>
        </w:rPr>
        <w:t xml:space="preserve"> interessante</w:t>
      </w:r>
      <w:r w:rsidR="00DD083C">
        <w:rPr>
          <w:rFonts w:ascii="Times New Roman" w:hAnsi="Times New Roman"/>
          <w:b w:val="0"/>
          <w:sz w:val="20"/>
          <w:lang w:val="pt-BR"/>
        </w:rPr>
        <w:t>s</w:t>
      </w:r>
      <w:r w:rsidR="00BD03DA" w:rsidRPr="00BD03DA">
        <w:rPr>
          <w:rFonts w:ascii="Times New Roman" w:hAnsi="Times New Roman"/>
          <w:b w:val="0"/>
          <w:sz w:val="20"/>
          <w:lang w:val="pt-BR"/>
        </w:rPr>
        <w:t xml:space="preserve"> para a hidroformilação de 1-octeno, estireno e álcool perílico.</w:t>
      </w:r>
    </w:p>
    <w:p w14:paraId="56468066" w14:textId="77777777" w:rsidR="00F57818" w:rsidRDefault="00F57818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9B41B70" w14:textId="061901C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115F1C">
        <w:rPr>
          <w:rFonts w:ascii="Times New Roman" w:hAnsi="Times New Roman"/>
          <w:b w:val="0"/>
          <w:i/>
          <w:sz w:val="20"/>
          <w:lang w:val="pt-BR"/>
        </w:rPr>
        <w:t xml:space="preserve">solventes sustentáveis, </w:t>
      </w:r>
      <w:r w:rsidR="00BD03DA">
        <w:rPr>
          <w:rFonts w:ascii="Times New Roman" w:hAnsi="Times New Roman"/>
          <w:b w:val="0"/>
          <w:i/>
          <w:sz w:val="20"/>
          <w:lang w:val="pt-BR"/>
        </w:rPr>
        <w:t>terpenos</w:t>
      </w:r>
      <w:r w:rsidR="00115F1C">
        <w:rPr>
          <w:rFonts w:ascii="Times New Roman" w:hAnsi="Times New Roman"/>
          <w:b w:val="0"/>
          <w:i/>
          <w:sz w:val="20"/>
          <w:lang w:val="pt-BR"/>
        </w:rPr>
        <w:t>, insumos renováveis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FF0EC06" w14:textId="368868EF" w:rsidR="00A1323A" w:rsidRPr="00D2281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D22819">
        <w:rPr>
          <w:rFonts w:ascii="Times New Roman" w:hAnsi="Times New Roman"/>
          <w:b w:val="0"/>
          <w:sz w:val="20"/>
        </w:rPr>
        <w:t xml:space="preserve">ABSTRACT </w:t>
      </w:r>
      <w:r w:rsidR="00AC69E5" w:rsidRPr="00D22819">
        <w:rPr>
          <w:rFonts w:ascii="Times New Roman" w:hAnsi="Times New Roman"/>
          <w:b w:val="0"/>
          <w:sz w:val="20"/>
        </w:rPr>
        <w:t xml:space="preserve">– Hydroformylation is employed in the chemical industry </w:t>
      </w:r>
      <w:r w:rsidR="00FE3956">
        <w:rPr>
          <w:rFonts w:ascii="Times New Roman" w:hAnsi="Times New Roman"/>
          <w:b w:val="0"/>
          <w:sz w:val="20"/>
        </w:rPr>
        <w:t xml:space="preserve">to </w:t>
      </w:r>
      <w:r w:rsidR="00AC69E5" w:rsidRPr="00D22819">
        <w:rPr>
          <w:rFonts w:ascii="Times New Roman" w:hAnsi="Times New Roman"/>
          <w:b w:val="0"/>
          <w:sz w:val="20"/>
        </w:rPr>
        <w:t xml:space="preserve">convert olefins into </w:t>
      </w:r>
      <w:r w:rsidR="00BD03DA">
        <w:rPr>
          <w:rFonts w:ascii="Times New Roman" w:hAnsi="Times New Roman"/>
          <w:b w:val="0"/>
          <w:sz w:val="20"/>
        </w:rPr>
        <w:t xml:space="preserve">aliphatic </w:t>
      </w:r>
      <w:r w:rsidR="00AC69E5" w:rsidRPr="00D22819">
        <w:rPr>
          <w:rFonts w:ascii="Times New Roman" w:hAnsi="Times New Roman"/>
          <w:b w:val="0"/>
          <w:sz w:val="20"/>
        </w:rPr>
        <w:t xml:space="preserve">aldehydes, which are used in </w:t>
      </w:r>
      <w:r w:rsidR="00BD03DA">
        <w:rPr>
          <w:rFonts w:ascii="Times New Roman" w:hAnsi="Times New Roman"/>
          <w:b w:val="0"/>
          <w:sz w:val="20"/>
        </w:rPr>
        <w:t>commodity</w:t>
      </w:r>
      <w:r w:rsidR="00BD03DA" w:rsidRPr="00D22819">
        <w:rPr>
          <w:rFonts w:ascii="Times New Roman" w:hAnsi="Times New Roman"/>
          <w:b w:val="0"/>
          <w:sz w:val="20"/>
        </w:rPr>
        <w:t xml:space="preserve"> </w:t>
      </w:r>
      <w:r w:rsidR="00C43489" w:rsidRPr="00D22819">
        <w:rPr>
          <w:rFonts w:ascii="Times New Roman" w:hAnsi="Times New Roman"/>
          <w:b w:val="0"/>
          <w:sz w:val="20"/>
        </w:rPr>
        <w:t>and fine chemicals</w:t>
      </w:r>
      <w:r w:rsidR="00FE3956" w:rsidRPr="00FE3956">
        <w:rPr>
          <w:rFonts w:ascii="Times New Roman" w:hAnsi="Times New Roman"/>
          <w:b w:val="0"/>
          <w:sz w:val="20"/>
        </w:rPr>
        <w:t xml:space="preserve"> </w:t>
      </w:r>
      <w:r w:rsidR="00FE3956" w:rsidRPr="00D22819">
        <w:rPr>
          <w:rFonts w:ascii="Times New Roman" w:hAnsi="Times New Roman"/>
          <w:b w:val="0"/>
          <w:sz w:val="20"/>
        </w:rPr>
        <w:t>sector</w:t>
      </w:r>
      <w:r w:rsidR="00FE3956">
        <w:rPr>
          <w:rFonts w:ascii="Times New Roman" w:hAnsi="Times New Roman"/>
          <w:b w:val="0"/>
          <w:sz w:val="20"/>
        </w:rPr>
        <w:t>s</w:t>
      </w:r>
      <w:r w:rsidR="00C43489" w:rsidRPr="00D22819">
        <w:rPr>
          <w:rFonts w:ascii="Times New Roman" w:hAnsi="Times New Roman"/>
          <w:b w:val="0"/>
          <w:sz w:val="20"/>
        </w:rPr>
        <w:t xml:space="preserve">. Petrochemical solvents </w:t>
      </w:r>
      <w:r w:rsidR="00E75E98" w:rsidRPr="00D22819">
        <w:rPr>
          <w:rFonts w:ascii="Times New Roman" w:hAnsi="Times New Roman"/>
          <w:b w:val="0"/>
          <w:sz w:val="20"/>
        </w:rPr>
        <w:t xml:space="preserve">are widely used in this reaction and </w:t>
      </w:r>
      <w:r w:rsidR="00C43489" w:rsidRPr="00D22819">
        <w:rPr>
          <w:rFonts w:ascii="Times New Roman" w:hAnsi="Times New Roman"/>
          <w:b w:val="0"/>
          <w:sz w:val="20"/>
        </w:rPr>
        <w:t>are known as an enviro</w:t>
      </w:r>
      <w:r w:rsidR="00A1323A" w:rsidRPr="00D22819">
        <w:rPr>
          <w:rFonts w:ascii="Times New Roman" w:hAnsi="Times New Roman"/>
          <w:b w:val="0"/>
          <w:sz w:val="20"/>
        </w:rPr>
        <w:t>n</w:t>
      </w:r>
      <w:r w:rsidR="00C43489" w:rsidRPr="00D22819">
        <w:rPr>
          <w:rFonts w:ascii="Times New Roman" w:hAnsi="Times New Roman"/>
          <w:b w:val="0"/>
          <w:sz w:val="20"/>
        </w:rPr>
        <w:t>mental concern</w:t>
      </w:r>
      <w:r w:rsidR="00A1323A" w:rsidRPr="00D22819">
        <w:rPr>
          <w:rFonts w:ascii="Times New Roman" w:hAnsi="Times New Roman"/>
          <w:b w:val="0"/>
          <w:sz w:val="20"/>
        </w:rPr>
        <w:t xml:space="preserve"> and hazardous to human health, </w:t>
      </w:r>
      <w:r w:rsidR="00906AC7">
        <w:rPr>
          <w:rFonts w:ascii="Times New Roman" w:hAnsi="Times New Roman"/>
          <w:b w:val="0"/>
          <w:sz w:val="20"/>
        </w:rPr>
        <w:t xml:space="preserve">with </w:t>
      </w:r>
      <w:r w:rsidR="00A1323A" w:rsidRPr="00D22819">
        <w:rPr>
          <w:rFonts w:ascii="Times New Roman" w:hAnsi="Times New Roman"/>
          <w:b w:val="0"/>
          <w:sz w:val="20"/>
        </w:rPr>
        <w:t xml:space="preserve">reduction on their use </w:t>
      </w:r>
      <w:r w:rsidR="00906AC7">
        <w:rPr>
          <w:rFonts w:ascii="Times New Roman" w:hAnsi="Times New Roman"/>
          <w:b w:val="0"/>
          <w:sz w:val="20"/>
        </w:rPr>
        <w:t>being</w:t>
      </w:r>
      <w:r w:rsidR="00A1323A" w:rsidRPr="00D22819">
        <w:rPr>
          <w:rFonts w:ascii="Times New Roman" w:hAnsi="Times New Roman"/>
          <w:b w:val="0"/>
          <w:sz w:val="20"/>
        </w:rPr>
        <w:t xml:space="preserve"> one of the </w:t>
      </w:r>
      <w:r w:rsidR="00906AC7" w:rsidRPr="00D22819">
        <w:rPr>
          <w:rFonts w:ascii="Times New Roman" w:hAnsi="Times New Roman"/>
          <w:b w:val="0"/>
          <w:sz w:val="20"/>
        </w:rPr>
        <w:t>aims</w:t>
      </w:r>
      <w:r w:rsidR="00A1323A" w:rsidRPr="00D22819">
        <w:rPr>
          <w:rFonts w:ascii="Times New Roman" w:hAnsi="Times New Roman"/>
          <w:b w:val="0"/>
          <w:sz w:val="20"/>
        </w:rPr>
        <w:t xml:space="preserve"> of green and sustainable chemistry. </w:t>
      </w:r>
      <w:r w:rsidR="00E75E98" w:rsidRPr="00D22819">
        <w:rPr>
          <w:rFonts w:ascii="Times New Roman" w:hAnsi="Times New Roman"/>
          <w:b w:val="0"/>
          <w:sz w:val="20"/>
        </w:rPr>
        <w:t>Herein</w:t>
      </w:r>
      <w:r w:rsidR="00A1323A" w:rsidRPr="00D22819">
        <w:rPr>
          <w:rFonts w:ascii="Times New Roman" w:hAnsi="Times New Roman"/>
          <w:b w:val="0"/>
          <w:sz w:val="20"/>
        </w:rPr>
        <w:t xml:space="preserve"> w</w:t>
      </w:r>
      <w:r w:rsidR="00E75E98" w:rsidRPr="00D22819">
        <w:rPr>
          <w:rFonts w:ascii="Times New Roman" w:hAnsi="Times New Roman"/>
          <w:b w:val="0"/>
          <w:sz w:val="20"/>
        </w:rPr>
        <w:t xml:space="preserve">e studied </w:t>
      </w:r>
      <w:r w:rsidR="00906AC7">
        <w:rPr>
          <w:rFonts w:ascii="Times New Roman" w:hAnsi="Times New Roman"/>
          <w:b w:val="0"/>
          <w:sz w:val="20"/>
        </w:rPr>
        <w:t xml:space="preserve">the application of </w:t>
      </w:r>
      <w:r w:rsidR="00E75E98" w:rsidRPr="00D22819">
        <w:rPr>
          <w:rFonts w:ascii="Times New Roman" w:hAnsi="Times New Roman"/>
          <w:b w:val="0"/>
          <w:sz w:val="20"/>
        </w:rPr>
        <w:t xml:space="preserve">solvents considered more sustainable </w:t>
      </w:r>
      <w:r w:rsidR="00906AC7">
        <w:rPr>
          <w:rFonts w:ascii="Times New Roman" w:hAnsi="Times New Roman"/>
          <w:b w:val="0"/>
          <w:sz w:val="20"/>
        </w:rPr>
        <w:t>such as</w:t>
      </w:r>
      <w:r w:rsidR="00906AC7" w:rsidRPr="00D22819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210C7B">
        <w:rPr>
          <w:rFonts w:ascii="Times New Roman" w:hAnsi="Times New Roman"/>
          <w:b w:val="0"/>
          <w:sz w:val="20"/>
        </w:rPr>
        <w:t>cyclopentyl</w:t>
      </w:r>
      <w:proofErr w:type="spellEnd"/>
      <w:r w:rsidR="00210C7B">
        <w:rPr>
          <w:rFonts w:ascii="Times New Roman" w:hAnsi="Times New Roman"/>
          <w:b w:val="0"/>
          <w:sz w:val="20"/>
        </w:rPr>
        <w:t xml:space="preserve"> methyl ether, dimethyl isosorbide</w:t>
      </w:r>
      <w:r w:rsidR="00E75E98" w:rsidRPr="00D22819">
        <w:rPr>
          <w:rFonts w:ascii="Times New Roman" w:hAnsi="Times New Roman"/>
          <w:b w:val="0"/>
          <w:sz w:val="20"/>
        </w:rPr>
        <w:t xml:space="preserve">, </w:t>
      </w:r>
      <w:proofErr w:type="spellStart"/>
      <w:r w:rsidR="00E75E98" w:rsidRPr="00D22819">
        <w:rPr>
          <w:rFonts w:ascii="Times New Roman" w:hAnsi="Times New Roman"/>
          <w:b w:val="0"/>
          <w:sz w:val="20"/>
        </w:rPr>
        <w:t>cyrene</w:t>
      </w:r>
      <w:proofErr w:type="spellEnd"/>
      <w:r w:rsidR="00E75E98" w:rsidRPr="00D22819">
        <w:rPr>
          <w:rFonts w:ascii="Times New Roman" w:hAnsi="Times New Roman"/>
          <w:b w:val="0"/>
          <w:sz w:val="20"/>
        </w:rPr>
        <w:t>™</w:t>
      </w:r>
      <w:r w:rsidR="00BD03DA">
        <w:rPr>
          <w:rFonts w:ascii="Times New Roman" w:hAnsi="Times New Roman"/>
          <w:b w:val="0"/>
          <w:sz w:val="20"/>
        </w:rPr>
        <w:t>,</w:t>
      </w:r>
      <w:r w:rsidR="00E75E98" w:rsidRPr="00D22819">
        <w:rPr>
          <w:rFonts w:ascii="Times New Roman" w:hAnsi="Times New Roman"/>
          <w:b w:val="0"/>
          <w:sz w:val="20"/>
        </w:rPr>
        <w:t xml:space="preserve"> and triacetin in the hydroformylation of 1-octene, styrene</w:t>
      </w:r>
      <w:r w:rsidR="00BD03DA">
        <w:rPr>
          <w:rFonts w:ascii="Times New Roman" w:hAnsi="Times New Roman"/>
          <w:b w:val="0"/>
          <w:sz w:val="20"/>
        </w:rPr>
        <w:t>,</w:t>
      </w:r>
      <w:r w:rsidR="00E75E98" w:rsidRPr="00D22819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E75E98" w:rsidRPr="00D22819">
        <w:rPr>
          <w:rFonts w:ascii="Times New Roman" w:hAnsi="Times New Roman"/>
          <w:b w:val="0"/>
          <w:sz w:val="20"/>
        </w:rPr>
        <w:t>perillyl</w:t>
      </w:r>
      <w:proofErr w:type="spellEnd"/>
      <w:r w:rsidR="00E75E98" w:rsidRPr="00D22819">
        <w:rPr>
          <w:rFonts w:ascii="Times New Roman" w:hAnsi="Times New Roman"/>
          <w:b w:val="0"/>
          <w:sz w:val="20"/>
        </w:rPr>
        <w:t xml:space="preserve"> alcohol in rhodium/PPh</w:t>
      </w:r>
      <w:r w:rsidR="00E75E98" w:rsidRPr="00D22819">
        <w:rPr>
          <w:rFonts w:ascii="Times New Roman" w:hAnsi="Times New Roman"/>
          <w:b w:val="0"/>
          <w:sz w:val="20"/>
          <w:vertAlign w:val="subscript"/>
        </w:rPr>
        <w:t>3</w:t>
      </w:r>
      <w:r w:rsidR="00E75E98" w:rsidRPr="00D22819">
        <w:rPr>
          <w:rFonts w:ascii="Times New Roman" w:hAnsi="Times New Roman"/>
          <w:b w:val="0"/>
          <w:sz w:val="20"/>
        </w:rPr>
        <w:t xml:space="preserve"> </w:t>
      </w:r>
      <w:r w:rsidR="00E80092" w:rsidRPr="00D22819">
        <w:rPr>
          <w:rFonts w:ascii="Times New Roman" w:hAnsi="Times New Roman"/>
          <w:b w:val="0"/>
          <w:sz w:val="20"/>
        </w:rPr>
        <w:t xml:space="preserve">catalytic </w:t>
      </w:r>
      <w:r w:rsidR="00E75E98" w:rsidRPr="00D22819">
        <w:rPr>
          <w:rFonts w:ascii="Times New Roman" w:hAnsi="Times New Roman"/>
          <w:b w:val="0"/>
          <w:sz w:val="20"/>
        </w:rPr>
        <w:t>systems.</w:t>
      </w:r>
      <w:r w:rsidR="00E80092" w:rsidRPr="00D22819">
        <w:rPr>
          <w:rFonts w:ascii="Times New Roman" w:hAnsi="Times New Roman"/>
          <w:b w:val="0"/>
          <w:sz w:val="20"/>
        </w:rPr>
        <w:t xml:space="preserve"> Some parameters such as conversion, </w:t>
      </w:r>
      <w:proofErr w:type="spellStart"/>
      <w:r w:rsidR="00E80092" w:rsidRPr="00D22819">
        <w:rPr>
          <w:rFonts w:ascii="Times New Roman" w:hAnsi="Times New Roman"/>
          <w:b w:val="0"/>
          <w:sz w:val="20"/>
        </w:rPr>
        <w:t>selectivities</w:t>
      </w:r>
      <w:proofErr w:type="spellEnd"/>
      <w:r w:rsidR="00BD03DA">
        <w:rPr>
          <w:rFonts w:ascii="Times New Roman" w:hAnsi="Times New Roman"/>
          <w:b w:val="0"/>
          <w:sz w:val="20"/>
        </w:rPr>
        <w:t>,</w:t>
      </w:r>
      <w:r w:rsidR="00E80092" w:rsidRPr="00D22819">
        <w:rPr>
          <w:rFonts w:ascii="Times New Roman" w:hAnsi="Times New Roman"/>
          <w:b w:val="0"/>
          <w:sz w:val="20"/>
        </w:rPr>
        <w:t xml:space="preserve"> and reaction rates were evaluated</w:t>
      </w:r>
      <w:r w:rsidR="00E75E98" w:rsidRPr="00D22819">
        <w:rPr>
          <w:rFonts w:ascii="Times New Roman" w:hAnsi="Times New Roman"/>
          <w:b w:val="0"/>
          <w:sz w:val="20"/>
        </w:rPr>
        <w:t xml:space="preserve"> </w:t>
      </w:r>
      <w:r w:rsidR="00E80092" w:rsidRPr="00D22819">
        <w:rPr>
          <w:rFonts w:ascii="Times New Roman" w:hAnsi="Times New Roman"/>
          <w:b w:val="0"/>
          <w:sz w:val="20"/>
        </w:rPr>
        <w:t xml:space="preserve">and compared with toluene and texanol reactions. The 1-octene and styrene reactions in triacetin results in conversions above 97% and </w:t>
      </w:r>
      <w:proofErr w:type="spellStart"/>
      <w:r w:rsidR="00E80092" w:rsidRPr="00D22819">
        <w:rPr>
          <w:rFonts w:ascii="Times New Roman" w:hAnsi="Times New Roman"/>
          <w:b w:val="0"/>
          <w:sz w:val="20"/>
        </w:rPr>
        <w:t>selectivities</w:t>
      </w:r>
      <w:proofErr w:type="spellEnd"/>
      <w:r w:rsidR="00E80092" w:rsidRPr="00D22819">
        <w:rPr>
          <w:rFonts w:ascii="Times New Roman" w:hAnsi="Times New Roman"/>
          <w:b w:val="0"/>
          <w:sz w:val="20"/>
        </w:rPr>
        <w:t xml:space="preserve"> similar to toluene reactions. In </w:t>
      </w:r>
      <w:proofErr w:type="spellStart"/>
      <w:r w:rsidR="00E80092" w:rsidRPr="00D22819">
        <w:rPr>
          <w:rFonts w:ascii="Times New Roman" w:hAnsi="Times New Roman"/>
          <w:b w:val="0"/>
          <w:sz w:val="20"/>
        </w:rPr>
        <w:t>cyrene</w:t>
      </w:r>
      <w:proofErr w:type="spellEnd"/>
      <w:r w:rsidR="00E80092" w:rsidRPr="00D22819">
        <w:rPr>
          <w:rFonts w:ascii="Times New Roman" w:hAnsi="Times New Roman"/>
          <w:b w:val="0"/>
          <w:sz w:val="20"/>
        </w:rPr>
        <w:t xml:space="preserve">™, 1-octene and </w:t>
      </w:r>
      <w:proofErr w:type="spellStart"/>
      <w:r w:rsidR="00E80092" w:rsidRPr="00D22819">
        <w:rPr>
          <w:rFonts w:ascii="Times New Roman" w:hAnsi="Times New Roman"/>
          <w:b w:val="0"/>
          <w:sz w:val="20"/>
        </w:rPr>
        <w:t>perillyl</w:t>
      </w:r>
      <w:proofErr w:type="spellEnd"/>
      <w:r w:rsidR="00E80092" w:rsidRPr="00D22819">
        <w:rPr>
          <w:rFonts w:ascii="Times New Roman" w:hAnsi="Times New Roman"/>
          <w:b w:val="0"/>
          <w:sz w:val="20"/>
        </w:rPr>
        <w:t xml:space="preserve"> alcohol systems also </w:t>
      </w:r>
      <w:r w:rsidR="00F75299" w:rsidRPr="00D22819">
        <w:rPr>
          <w:rFonts w:ascii="Times New Roman" w:hAnsi="Times New Roman"/>
          <w:b w:val="0"/>
          <w:sz w:val="20"/>
        </w:rPr>
        <w:t xml:space="preserve">results in satisfying. Therefore, the green solvents </w:t>
      </w:r>
      <w:r w:rsidR="001C5892">
        <w:rPr>
          <w:rFonts w:ascii="Times New Roman" w:hAnsi="Times New Roman"/>
          <w:b w:val="0"/>
          <w:sz w:val="20"/>
        </w:rPr>
        <w:t xml:space="preserve">were </w:t>
      </w:r>
      <w:r w:rsidR="00F75299" w:rsidRPr="00D22819">
        <w:rPr>
          <w:rFonts w:ascii="Times New Roman" w:hAnsi="Times New Roman"/>
          <w:b w:val="0"/>
          <w:sz w:val="20"/>
        </w:rPr>
        <w:t xml:space="preserve">proved to be an </w:t>
      </w:r>
      <w:r w:rsidR="00BD03DA">
        <w:rPr>
          <w:rFonts w:ascii="Times New Roman" w:hAnsi="Times New Roman"/>
          <w:b w:val="0"/>
          <w:sz w:val="20"/>
        </w:rPr>
        <w:t>interesting</w:t>
      </w:r>
      <w:r w:rsidR="00BD03DA" w:rsidRPr="00D22819">
        <w:rPr>
          <w:rFonts w:ascii="Times New Roman" w:hAnsi="Times New Roman"/>
          <w:b w:val="0"/>
          <w:sz w:val="20"/>
        </w:rPr>
        <w:t xml:space="preserve"> </w:t>
      </w:r>
      <w:r w:rsidR="00F75299" w:rsidRPr="00D22819">
        <w:rPr>
          <w:rFonts w:ascii="Times New Roman" w:hAnsi="Times New Roman"/>
          <w:b w:val="0"/>
          <w:sz w:val="20"/>
        </w:rPr>
        <w:t xml:space="preserve">alternative to </w:t>
      </w:r>
      <w:r w:rsidR="001C5892">
        <w:rPr>
          <w:rFonts w:ascii="Times New Roman" w:hAnsi="Times New Roman"/>
          <w:b w:val="0"/>
          <w:sz w:val="20"/>
        </w:rPr>
        <w:t xml:space="preserve">be used in the </w:t>
      </w:r>
      <w:r w:rsidR="00F75299" w:rsidRPr="00D22819">
        <w:rPr>
          <w:rFonts w:ascii="Times New Roman" w:hAnsi="Times New Roman"/>
          <w:b w:val="0"/>
          <w:sz w:val="20"/>
        </w:rPr>
        <w:t>hydroformylation of 1-octene, styrene</w:t>
      </w:r>
      <w:r w:rsidR="00BD03DA">
        <w:rPr>
          <w:rFonts w:ascii="Times New Roman" w:hAnsi="Times New Roman"/>
          <w:b w:val="0"/>
          <w:sz w:val="20"/>
        </w:rPr>
        <w:t>,</w:t>
      </w:r>
      <w:r w:rsidR="00F75299" w:rsidRPr="00D22819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F75299" w:rsidRPr="00D22819">
        <w:rPr>
          <w:rFonts w:ascii="Times New Roman" w:hAnsi="Times New Roman"/>
          <w:b w:val="0"/>
          <w:sz w:val="20"/>
        </w:rPr>
        <w:t>perillyl</w:t>
      </w:r>
      <w:proofErr w:type="spellEnd"/>
      <w:r w:rsidR="00F75299" w:rsidRPr="00D22819">
        <w:rPr>
          <w:rFonts w:ascii="Times New Roman" w:hAnsi="Times New Roman"/>
          <w:b w:val="0"/>
          <w:sz w:val="20"/>
        </w:rPr>
        <w:t xml:space="preserve"> alcohol</w:t>
      </w:r>
      <w:r w:rsidR="00AB2553" w:rsidRPr="00D22819">
        <w:rPr>
          <w:rFonts w:ascii="Times New Roman" w:hAnsi="Times New Roman"/>
          <w:b w:val="0"/>
          <w:sz w:val="20"/>
        </w:rPr>
        <w:t>.</w:t>
      </w:r>
    </w:p>
    <w:p w14:paraId="339C233A" w14:textId="77777777" w:rsidR="00A1323A" w:rsidRPr="00D22819" w:rsidRDefault="00A1323A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5F4A84E8" w14:textId="36F3657A" w:rsidR="00EA4E1B" w:rsidRPr="00D22819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D22819">
        <w:rPr>
          <w:rFonts w:ascii="Times New Roman" w:hAnsi="Times New Roman"/>
          <w:b w:val="0"/>
          <w:i/>
          <w:sz w:val="20"/>
        </w:rPr>
        <w:t>Keywords</w:t>
      </w:r>
      <w:r w:rsidR="00AC69E5" w:rsidRPr="00D22819">
        <w:rPr>
          <w:rFonts w:ascii="Times New Roman" w:hAnsi="Times New Roman"/>
          <w:b w:val="0"/>
          <w:i/>
          <w:sz w:val="20"/>
        </w:rPr>
        <w:t xml:space="preserve">: sustainable solvents, </w:t>
      </w:r>
      <w:r w:rsidR="008015C7">
        <w:rPr>
          <w:rFonts w:ascii="Times New Roman" w:hAnsi="Times New Roman"/>
          <w:b w:val="0"/>
          <w:i/>
          <w:sz w:val="20"/>
        </w:rPr>
        <w:t>terpenes</w:t>
      </w:r>
      <w:r w:rsidR="00AC69E5" w:rsidRPr="00D22819">
        <w:rPr>
          <w:rFonts w:ascii="Times New Roman" w:hAnsi="Times New Roman"/>
          <w:b w:val="0"/>
          <w:i/>
          <w:sz w:val="20"/>
        </w:rPr>
        <w:t xml:space="preserve">; </w:t>
      </w:r>
      <w:proofErr w:type="spellStart"/>
      <w:r w:rsidR="00AC69E5" w:rsidRPr="00D22819">
        <w:rPr>
          <w:rFonts w:ascii="Times New Roman" w:hAnsi="Times New Roman"/>
          <w:b w:val="0"/>
          <w:i/>
          <w:sz w:val="20"/>
        </w:rPr>
        <w:t>biorenewable</w:t>
      </w:r>
      <w:proofErr w:type="spellEnd"/>
      <w:r w:rsidR="00AC69E5" w:rsidRPr="00D22819">
        <w:rPr>
          <w:rFonts w:ascii="Times New Roman" w:hAnsi="Times New Roman"/>
          <w:b w:val="0"/>
          <w:i/>
          <w:sz w:val="20"/>
        </w:rPr>
        <w:t xml:space="preserve"> feedstock.</w:t>
      </w:r>
    </w:p>
    <w:bookmarkEnd w:id="1"/>
    <w:p w14:paraId="79F58C86" w14:textId="77777777" w:rsidR="00B67CA7" w:rsidRPr="00D22819" w:rsidRDefault="00B67CA7" w:rsidP="00EA4E1B">
      <w:pPr>
        <w:rPr>
          <w:lang w:val="en-US"/>
        </w:rPr>
        <w:sectPr w:rsidR="00B67CA7" w:rsidRPr="00D22819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4224468E" w14:textId="04B384F0" w:rsidR="004F781C" w:rsidRPr="004F781C" w:rsidRDefault="00EA4E1B" w:rsidP="004F781C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3853840" w14:textId="79CAC758" w:rsidR="003A5E86" w:rsidRDefault="000A6528" w:rsidP="00292FE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hidr</w:t>
      </w:r>
      <w:r w:rsidR="005E56BE">
        <w:rPr>
          <w:rFonts w:ascii="Times New Roman" w:hAnsi="Times New Roman"/>
          <w:lang w:val="pt-BR"/>
        </w:rPr>
        <w:t xml:space="preserve">oformilação de olefinas </w:t>
      </w:r>
      <w:r w:rsidR="006F2B8D">
        <w:rPr>
          <w:rFonts w:ascii="Times New Roman" w:hAnsi="Times New Roman"/>
          <w:lang w:val="pt-BR"/>
        </w:rPr>
        <w:t>é uma</w:t>
      </w:r>
      <w:r w:rsidR="00091277">
        <w:rPr>
          <w:rFonts w:ascii="Times New Roman" w:hAnsi="Times New Roman"/>
          <w:lang w:val="pt-BR"/>
        </w:rPr>
        <w:t xml:space="preserve"> das</w:t>
      </w:r>
      <w:r w:rsidR="006F2B8D">
        <w:rPr>
          <w:rFonts w:ascii="Times New Roman" w:hAnsi="Times New Roman"/>
          <w:lang w:val="pt-BR"/>
        </w:rPr>
        <w:t xml:space="preserve"> </w:t>
      </w:r>
      <w:r w:rsidR="00091277">
        <w:rPr>
          <w:rFonts w:ascii="Times New Roman" w:hAnsi="Times New Roman"/>
          <w:lang w:val="pt-BR"/>
        </w:rPr>
        <w:t xml:space="preserve">reações mais importantes </w:t>
      </w:r>
      <w:r w:rsidR="001139C1">
        <w:rPr>
          <w:rFonts w:ascii="Times New Roman" w:hAnsi="Times New Roman"/>
          <w:lang w:val="pt-BR"/>
        </w:rPr>
        <w:t xml:space="preserve">para a </w:t>
      </w:r>
      <w:r w:rsidR="00E65549">
        <w:rPr>
          <w:rFonts w:ascii="Times New Roman" w:hAnsi="Times New Roman"/>
          <w:lang w:val="pt-BR"/>
        </w:rPr>
        <w:t xml:space="preserve">produção de </w:t>
      </w:r>
      <w:r w:rsidR="00B4784A">
        <w:rPr>
          <w:rFonts w:ascii="Times New Roman" w:hAnsi="Times New Roman"/>
          <w:lang w:val="pt-BR"/>
        </w:rPr>
        <w:t xml:space="preserve">aldeídos </w:t>
      </w:r>
      <w:r w:rsidR="00D22819">
        <w:rPr>
          <w:rFonts w:ascii="Times New Roman" w:hAnsi="Times New Roman"/>
          <w:lang w:val="pt-BR"/>
        </w:rPr>
        <w:t xml:space="preserve">alifáticos </w:t>
      </w:r>
      <w:r w:rsidR="003D1CF8">
        <w:rPr>
          <w:rFonts w:ascii="Times New Roman" w:hAnsi="Times New Roman"/>
          <w:lang w:val="pt-BR"/>
        </w:rPr>
        <w:t>na</w:t>
      </w:r>
      <w:r w:rsidR="00225FD7">
        <w:rPr>
          <w:rFonts w:ascii="Times New Roman" w:hAnsi="Times New Roman"/>
          <w:lang w:val="pt-BR"/>
        </w:rPr>
        <w:t xml:space="preserve"> indústria de </w:t>
      </w:r>
      <w:r w:rsidR="003D1CF8">
        <w:rPr>
          <w:rFonts w:ascii="Times New Roman" w:hAnsi="Times New Roman"/>
          <w:i/>
          <w:lang w:val="pt-BR"/>
        </w:rPr>
        <w:t>commo</w:t>
      </w:r>
      <w:r w:rsidR="00225FD7" w:rsidRPr="00225FD7">
        <w:rPr>
          <w:rFonts w:ascii="Times New Roman" w:hAnsi="Times New Roman"/>
          <w:i/>
          <w:lang w:val="pt-BR"/>
        </w:rPr>
        <w:t>dities</w:t>
      </w:r>
      <w:r w:rsidR="003D1CF8">
        <w:rPr>
          <w:rFonts w:ascii="Times New Roman" w:hAnsi="Times New Roman"/>
          <w:lang w:val="pt-BR"/>
        </w:rPr>
        <w:t xml:space="preserve"> e</w:t>
      </w:r>
      <w:r w:rsidR="00225FD7">
        <w:rPr>
          <w:rFonts w:ascii="Times New Roman" w:hAnsi="Times New Roman"/>
          <w:lang w:val="pt-BR"/>
        </w:rPr>
        <w:t xml:space="preserve"> química fina</w:t>
      </w:r>
      <w:r w:rsidR="003D1CF8">
        <w:rPr>
          <w:rFonts w:ascii="Times New Roman" w:hAnsi="Times New Roman"/>
          <w:lang w:val="pt-BR"/>
        </w:rPr>
        <w:t xml:space="preserve"> (1,2)</w:t>
      </w:r>
      <w:r w:rsidR="009E23DB">
        <w:rPr>
          <w:rFonts w:ascii="Times New Roman" w:hAnsi="Times New Roman"/>
          <w:lang w:val="pt-BR"/>
        </w:rPr>
        <w:t xml:space="preserve">. </w:t>
      </w:r>
      <w:r w:rsidR="00D22819">
        <w:rPr>
          <w:rFonts w:ascii="Times New Roman" w:hAnsi="Times New Roman"/>
          <w:lang w:val="pt-BR"/>
        </w:rPr>
        <w:t>Em</w:t>
      </w:r>
      <w:r w:rsidR="009E23DB">
        <w:rPr>
          <w:rFonts w:ascii="Times New Roman" w:hAnsi="Times New Roman"/>
          <w:lang w:val="pt-BR"/>
        </w:rPr>
        <w:t xml:space="preserve"> 2014,</w:t>
      </w:r>
      <w:r w:rsidR="003D1CF8">
        <w:rPr>
          <w:rFonts w:ascii="Times New Roman" w:hAnsi="Times New Roman"/>
          <w:lang w:val="pt-BR"/>
        </w:rPr>
        <w:t xml:space="preserve"> mais de 10</w:t>
      </w:r>
      <w:r w:rsidR="00091277">
        <w:rPr>
          <w:rFonts w:ascii="Times New Roman" w:hAnsi="Times New Roman"/>
          <w:lang w:val="pt-BR"/>
        </w:rPr>
        <w:t xml:space="preserve"> milhões de toneladas </w:t>
      </w:r>
      <w:r w:rsidR="00D22819">
        <w:rPr>
          <w:rFonts w:ascii="Times New Roman" w:hAnsi="Times New Roman"/>
          <w:lang w:val="pt-BR"/>
        </w:rPr>
        <w:t xml:space="preserve">métricas </w:t>
      </w:r>
      <w:r w:rsidR="00FE695E">
        <w:rPr>
          <w:rFonts w:ascii="Times New Roman" w:hAnsi="Times New Roman"/>
          <w:lang w:val="pt-BR"/>
        </w:rPr>
        <w:t xml:space="preserve">de </w:t>
      </w:r>
      <w:r w:rsidR="00D22819">
        <w:rPr>
          <w:rFonts w:ascii="Times New Roman" w:hAnsi="Times New Roman"/>
          <w:lang w:val="pt-BR"/>
        </w:rPr>
        <w:t>aldeídos</w:t>
      </w:r>
      <w:r w:rsidR="003D1CF8">
        <w:rPr>
          <w:rFonts w:ascii="Times New Roman" w:hAnsi="Times New Roman"/>
          <w:lang w:val="pt-BR"/>
        </w:rPr>
        <w:t xml:space="preserve"> foram produzidos </w:t>
      </w:r>
      <w:r w:rsidR="00D22819">
        <w:rPr>
          <w:rFonts w:ascii="Times New Roman" w:hAnsi="Times New Roman"/>
          <w:lang w:val="pt-BR"/>
        </w:rPr>
        <w:t xml:space="preserve">por meio desta transformação </w:t>
      </w:r>
      <w:r w:rsidR="0039736D">
        <w:rPr>
          <w:rFonts w:ascii="Times New Roman" w:hAnsi="Times New Roman"/>
          <w:lang w:val="pt-BR"/>
        </w:rPr>
        <w:t>(1)</w:t>
      </w:r>
      <w:r w:rsidR="00FE695E">
        <w:rPr>
          <w:rFonts w:ascii="Times New Roman" w:hAnsi="Times New Roman"/>
          <w:lang w:val="pt-BR"/>
        </w:rPr>
        <w:t>.</w:t>
      </w:r>
    </w:p>
    <w:p w14:paraId="496ACFB3" w14:textId="1AE8E0DF" w:rsidR="005E32DB" w:rsidRDefault="00C51D36" w:rsidP="0015069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Estudos </w:t>
      </w:r>
      <w:r w:rsidR="00D22819">
        <w:rPr>
          <w:rFonts w:ascii="Times New Roman" w:hAnsi="Times New Roman"/>
          <w:lang w:val="pt-BR"/>
        </w:rPr>
        <w:t>sugerem que</w:t>
      </w:r>
      <w:r w:rsidR="005E32DB">
        <w:rPr>
          <w:rFonts w:ascii="Times New Roman" w:hAnsi="Times New Roman"/>
          <w:lang w:val="pt-BR"/>
        </w:rPr>
        <w:t xml:space="preserve"> apesar do elevado preço do </w:t>
      </w:r>
      <w:r w:rsidR="00D22819">
        <w:rPr>
          <w:rFonts w:ascii="Times New Roman" w:hAnsi="Times New Roman"/>
          <w:lang w:val="pt-BR"/>
        </w:rPr>
        <w:t>r</w:t>
      </w:r>
      <w:r w:rsidR="005E32DB">
        <w:rPr>
          <w:rFonts w:ascii="Times New Roman" w:hAnsi="Times New Roman"/>
          <w:lang w:val="pt-BR"/>
        </w:rPr>
        <w:t>ódio</w:t>
      </w:r>
      <w:r w:rsidR="00016012">
        <w:rPr>
          <w:rFonts w:ascii="Times New Roman" w:hAnsi="Times New Roman"/>
          <w:lang w:val="pt-BR"/>
        </w:rPr>
        <w:t xml:space="preserve"> (Rh)</w:t>
      </w:r>
      <w:r w:rsidR="005E32DB">
        <w:rPr>
          <w:rFonts w:ascii="Times New Roman" w:hAnsi="Times New Roman"/>
          <w:lang w:val="pt-BR"/>
        </w:rPr>
        <w:t>, ele é o metal mais ativo para</w:t>
      </w:r>
      <w:r w:rsidR="00342E5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catalisar a</w:t>
      </w:r>
      <w:r w:rsidR="00A93CE5">
        <w:rPr>
          <w:rFonts w:ascii="Times New Roman" w:hAnsi="Times New Roman"/>
          <w:lang w:val="pt-BR"/>
        </w:rPr>
        <w:t xml:space="preserve"> reação de</w:t>
      </w:r>
      <w:r w:rsidR="005E32DB">
        <w:rPr>
          <w:rFonts w:ascii="Times New Roman" w:hAnsi="Times New Roman"/>
          <w:lang w:val="pt-BR"/>
        </w:rPr>
        <w:t xml:space="preserve"> hidroformilação (3). Nesse sentido, </w:t>
      </w:r>
      <w:r w:rsidR="0015069B">
        <w:rPr>
          <w:rFonts w:ascii="Times New Roman" w:hAnsi="Times New Roman"/>
          <w:lang w:val="pt-BR"/>
        </w:rPr>
        <w:t xml:space="preserve">também já foi mostrado que os ligantes de </w:t>
      </w:r>
      <w:r w:rsidR="006E0E25">
        <w:rPr>
          <w:rFonts w:ascii="Times New Roman" w:hAnsi="Times New Roman"/>
          <w:lang w:val="pt-BR"/>
        </w:rPr>
        <w:t xml:space="preserve">fósforo </w:t>
      </w:r>
      <w:r w:rsidR="00546B65">
        <w:rPr>
          <w:rFonts w:ascii="Times New Roman" w:hAnsi="Times New Roman"/>
          <w:lang w:val="pt-BR"/>
        </w:rPr>
        <w:t>apresentam</w:t>
      </w:r>
      <w:r w:rsidR="006E0E25">
        <w:rPr>
          <w:rFonts w:ascii="Times New Roman" w:hAnsi="Times New Roman"/>
          <w:lang w:val="pt-BR"/>
        </w:rPr>
        <w:t xml:space="preserve"> maior</w:t>
      </w:r>
      <w:r w:rsidR="00546B65">
        <w:rPr>
          <w:rFonts w:ascii="Times New Roman" w:hAnsi="Times New Roman"/>
          <w:lang w:val="pt-BR"/>
        </w:rPr>
        <w:t xml:space="preserve"> </w:t>
      </w:r>
      <w:r w:rsidR="0015069B">
        <w:rPr>
          <w:rFonts w:ascii="Times New Roman" w:hAnsi="Times New Roman"/>
          <w:lang w:val="pt-BR"/>
        </w:rPr>
        <w:t xml:space="preserve">sucesso </w:t>
      </w:r>
      <w:r w:rsidR="00A93CE5">
        <w:rPr>
          <w:rFonts w:ascii="Times New Roman" w:hAnsi="Times New Roman"/>
          <w:lang w:val="pt-BR"/>
        </w:rPr>
        <w:t xml:space="preserve">no controle da </w:t>
      </w:r>
      <w:r w:rsidR="0015069B">
        <w:rPr>
          <w:rFonts w:ascii="Times New Roman" w:hAnsi="Times New Roman"/>
          <w:lang w:val="pt-BR"/>
        </w:rPr>
        <w:t>regio</w:t>
      </w:r>
      <w:r w:rsidR="00546B65" w:rsidRPr="00F354AF">
        <w:rPr>
          <w:rFonts w:ascii="Times New Roman" w:hAnsi="Times New Roman"/>
          <w:lang w:val="pt-BR"/>
        </w:rPr>
        <w:t>s</w:t>
      </w:r>
      <w:r w:rsidR="0015069B" w:rsidRPr="00F354AF">
        <w:rPr>
          <w:rFonts w:ascii="Times New Roman" w:hAnsi="Times New Roman"/>
          <w:lang w:val="pt-BR"/>
        </w:rPr>
        <w:t>s</w:t>
      </w:r>
      <w:r w:rsidR="00D00713">
        <w:rPr>
          <w:rFonts w:ascii="Times New Roman" w:hAnsi="Times New Roman"/>
          <w:lang w:val="pt-BR"/>
        </w:rPr>
        <w:t xml:space="preserve">eletividade </w:t>
      </w:r>
      <w:r w:rsidR="00364DED">
        <w:rPr>
          <w:rFonts w:ascii="Times New Roman" w:hAnsi="Times New Roman"/>
          <w:lang w:val="pt-BR"/>
        </w:rPr>
        <w:t>e influenciam</w:t>
      </w:r>
      <w:r w:rsidR="0083400D">
        <w:rPr>
          <w:rFonts w:ascii="Times New Roman" w:hAnsi="Times New Roman"/>
          <w:lang w:val="pt-BR"/>
        </w:rPr>
        <w:t xml:space="preserve"> </w:t>
      </w:r>
      <w:r w:rsidR="00A93CE5">
        <w:rPr>
          <w:rFonts w:ascii="Times New Roman" w:hAnsi="Times New Roman"/>
          <w:lang w:val="pt-BR"/>
        </w:rPr>
        <w:t>n</w:t>
      </w:r>
      <w:r w:rsidR="0083400D">
        <w:rPr>
          <w:rFonts w:ascii="Times New Roman" w:hAnsi="Times New Roman"/>
          <w:lang w:val="pt-BR"/>
        </w:rPr>
        <w:t>a atividade d</w:t>
      </w:r>
      <w:r w:rsidR="006E0E25">
        <w:rPr>
          <w:rFonts w:ascii="Times New Roman" w:hAnsi="Times New Roman"/>
          <w:lang w:val="pt-BR"/>
        </w:rPr>
        <w:t>o catalisad</w:t>
      </w:r>
      <w:r w:rsidR="0083400D">
        <w:rPr>
          <w:rFonts w:ascii="Times New Roman" w:hAnsi="Times New Roman"/>
          <w:lang w:val="pt-BR"/>
        </w:rPr>
        <w:t>or</w:t>
      </w:r>
      <w:r w:rsidR="00364DED">
        <w:rPr>
          <w:rFonts w:ascii="Times New Roman" w:hAnsi="Times New Roman"/>
          <w:lang w:val="pt-BR"/>
        </w:rPr>
        <w:t xml:space="preserve"> </w:t>
      </w:r>
      <w:r w:rsidR="0015069B">
        <w:rPr>
          <w:rFonts w:ascii="Times New Roman" w:hAnsi="Times New Roman"/>
          <w:lang w:val="pt-BR"/>
        </w:rPr>
        <w:t>(4).</w:t>
      </w:r>
      <w:r w:rsidR="00F354AF">
        <w:rPr>
          <w:rFonts w:ascii="Times New Roman" w:hAnsi="Times New Roman"/>
          <w:lang w:val="pt-BR"/>
        </w:rPr>
        <w:t xml:space="preserve"> Portanto, no setor industrial</w:t>
      </w:r>
      <w:r w:rsidR="00016012">
        <w:rPr>
          <w:rFonts w:ascii="Times New Roman" w:hAnsi="Times New Roman"/>
          <w:lang w:val="pt-BR"/>
        </w:rPr>
        <w:t xml:space="preserve"> é comum o uso de </w:t>
      </w:r>
      <w:r w:rsidR="00A93CE5">
        <w:rPr>
          <w:rFonts w:ascii="Times New Roman" w:hAnsi="Times New Roman"/>
          <w:lang w:val="pt-BR"/>
        </w:rPr>
        <w:t>precursores</w:t>
      </w:r>
      <w:r w:rsidR="00016012">
        <w:rPr>
          <w:rFonts w:ascii="Times New Roman" w:hAnsi="Times New Roman"/>
          <w:lang w:val="pt-BR"/>
        </w:rPr>
        <w:t xml:space="preserve"> de Rh e fosfinas do tipo PR</w:t>
      </w:r>
      <w:r w:rsidR="00016012" w:rsidRPr="00016012">
        <w:rPr>
          <w:rFonts w:ascii="Times New Roman" w:hAnsi="Times New Roman"/>
          <w:vertAlign w:val="subscript"/>
          <w:lang w:val="pt-BR"/>
        </w:rPr>
        <w:t>3</w:t>
      </w:r>
      <w:r w:rsidR="00016012">
        <w:rPr>
          <w:rFonts w:ascii="Times New Roman" w:hAnsi="Times New Roman"/>
          <w:lang w:val="pt-BR"/>
        </w:rPr>
        <w:t xml:space="preserve"> </w:t>
      </w:r>
      <w:r w:rsidR="00016012" w:rsidRPr="00016012">
        <w:rPr>
          <w:rFonts w:ascii="Times New Roman" w:hAnsi="Times New Roman"/>
          <w:lang w:val="pt-BR"/>
        </w:rPr>
        <w:t xml:space="preserve">(R = </w:t>
      </w:r>
      <w:r w:rsidR="00016012" w:rsidRPr="00016012">
        <w:rPr>
          <w:rFonts w:ascii="Times New Roman" w:hAnsi="Times New Roman"/>
          <w:i/>
          <w:lang w:val="pt-BR"/>
        </w:rPr>
        <w:t>n</w:t>
      </w:r>
      <w:r w:rsidR="00016012" w:rsidRPr="00016012">
        <w:rPr>
          <w:rFonts w:ascii="Times New Roman" w:hAnsi="Times New Roman"/>
          <w:lang w:val="pt-BR"/>
        </w:rPr>
        <w:t>-C</w:t>
      </w:r>
      <w:r w:rsidR="00016012" w:rsidRPr="00016012">
        <w:rPr>
          <w:rFonts w:ascii="Times New Roman" w:hAnsi="Times New Roman"/>
          <w:vertAlign w:val="subscript"/>
          <w:lang w:val="pt-BR"/>
        </w:rPr>
        <w:t>4</w:t>
      </w:r>
      <w:r w:rsidR="00016012" w:rsidRPr="00016012">
        <w:rPr>
          <w:rFonts w:ascii="Times New Roman" w:hAnsi="Times New Roman"/>
          <w:lang w:val="pt-BR"/>
        </w:rPr>
        <w:t>H</w:t>
      </w:r>
      <w:r w:rsidR="00016012" w:rsidRPr="00016012">
        <w:rPr>
          <w:rFonts w:ascii="Times New Roman" w:hAnsi="Times New Roman"/>
          <w:vertAlign w:val="subscript"/>
          <w:lang w:val="pt-BR"/>
        </w:rPr>
        <w:t>9</w:t>
      </w:r>
      <w:r w:rsidR="00016012" w:rsidRPr="00016012">
        <w:rPr>
          <w:rFonts w:ascii="Times New Roman" w:hAnsi="Times New Roman"/>
          <w:lang w:val="pt-BR"/>
        </w:rPr>
        <w:t>, C</w:t>
      </w:r>
      <w:r w:rsidR="00016012" w:rsidRPr="00016012">
        <w:rPr>
          <w:rFonts w:ascii="Times New Roman" w:hAnsi="Times New Roman"/>
          <w:vertAlign w:val="subscript"/>
          <w:lang w:val="pt-BR"/>
        </w:rPr>
        <w:t>6</w:t>
      </w:r>
      <w:r w:rsidR="00016012" w:rsidRPr="00016012">
        <w:rPr>
          <w:rFonts w:ascii="Times New Roman" w:hAnsi="Times New Roman"/>
          <w:lang w:val="pt-BR"/>
        </w:rPr>
        <w:t>H</w:t>
      </w:r>
      <w:r w:rsidR="00016012" w:rsidRPr="00016012">
        <w:rPr>
          <w:rFonts w:ascii="Times New Roman" w:hAnsi="Times New Roman"/>
          <w:vertAlign w:val="subscript"/>
          <w:lang w:val="pt-BR"/>
        </w:rPr>
        <w:t>5</w:t>
      </w:r>
      <w:r w:rsidR="00D22819">
        <w:rPr>
          <w:rFonts w:ascii="Times New Roman" w:hAnsi="Times New Roman"/>
          <w:lang w:val="pt-BR"/>
        </w:rPr>
        <w:t>,</w:t>
      </w:r>
      <w:r w:rsidR="00016012" w:rsidRPr="00016012">
        <w:rPr>
          <w:rFonts w:ascii="Times New Roman" w:hAnsi="Times New Roman"/>
          <w:lang w:val="pt-BR"/>
        </w:rPr>
        <w:t xml:space="preserve"> etc.)</w:t>
      </w:r>
      <w:r w:rsidR="00D371E4">
        <w:rPr>
          <w:rFonts w:ascii="Times New Roman" w:hAnsi="Times New Roman"/>
          <w:lang w:val="pt-BR"/>
        </w:rPr>
        <w:t xml:space="preserve"> (3,5).</w:t>
      </w:r>
    </w:p>
    <w:p w14:paraId="24F34375" w14:textId="18316E9D" w:rsidR="000222AA" w:rsidRDefault="00D65CAF" w:rsidP="000222A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solvente exerce forte influência nas reações de hidroformilação. Ele pode</w:t>
      </w:r>
      <w:r w:rsidR="00B23EE1">
        <w:rPr>
          <w:rFonts w:ascii="Times New Roman" w:hAnsi="Times New Roman"/>
          <w:lang w:val="pt-BR"/>
        </w:rPr>
        <w:t xml:space="preserve"> </w:t>
      </w:r>
      <w:r w:rsidR="00B64754">
        <w:rPr>
          <w:rFonts w:ascii="Times New Roman" w:hAnsi="Times New Roman"/>
          <w:lang w:val="pt-BR"/>
        </w:rPr>
        <w:t>afetar</w:t>
      </w:r>
      <w:r w:rsidR="00B23EE1">
        <w:rPr>
          <w:rFonts w:ascii="Times New Roman" w:hAnsi="Times New Roman"/>
          <w:lang w:val="pt-BR"/>
        </w:rPr>
        <w:t xml:space="preserve"> a </w:t>
      </w:r>
      <w:r w:rsidR="009B0721">
        <w:rPr>
          <w:rFonts w:ascii="Times New Roman" w:hAnsi="Times New Roman"/>
          <w:lang w:val="pt-BR"/>
        </w:rPr>
        <w:t>quimios</w:t>
      </w:r>
      <w:r w:rsidR="00B23EE1">
        <w:rPr>
          <w:rFonts w:ascii="Times New Roman" w:hAnsi="Times New Roman"/>
          <w:lang w:val="pt-BR"/>
        </w:rPr>
        <w:t>seletividade,</w:t>
      </w:r>
      <w:r>
        <w:rPr>
          <w:rFonts w:ascii="Times New Roman" w:hAnsi="Times New Roman"/>
          <w:lang w:val="pt-BR"/>
        </w:rPr>
        <w:t xml:space="preserve"> modificar a atividade do catalisador</w:t>
      </w:r>
      <w:r w:rsidR="00AD7E22">
        <w:rPr>
          <w:rFonts w:ascii="Times New Roman" w:hAnsi="Times New Roman"/>
          <w:lang w:val="pt-BR"/>
        </w:rPr>
        <w:t xml:space="preserve"> e </w:t>
      </w:r>
      <w:r w:rsidR="00B64754">
        <w:rPr>
          <w:rFonts w:ascii="Times New Roman" w:hAnsi="Times New Roman"/>
          <w:lang w:val="pt-BR"/>
        </w:rPr>
        <w:t>interferir</w:t>
      </w:r>
      <w:r w:rsidR="00AD7E22">
        <w:rPr>
          <w:rFonts w:ascii="Times New Roman" w:hAnsi="Times New Roman"/>
          <w:lang w:val="pt-BR"/>
        </w:rPr>
        <w:t xml:space="preserve"> </w:t>
      </w:r>
      <w:r w:rsidR="00B64754">
        <w:rPr>
          <w:rFonts w:ascii="Times New Roman" w:hAnsi="Times New Roman"/>
          <w:lang w:val="pt-BR"/>
        </w:rPr>
        <w:t>n</w:t>
      </w:r>
      <w:r>
        <w:rPr>
          <w:rFonts w:ascii="Times New Roman" w:hAnsi="Times New Roman"/>
          <w:lang w:val="pt-BR"/>
        </w:rPr>
        <w:t xml:space="preserve">a recuperação do catalisador e </w:t>
      </w:r>
      <w:r w:rsidR="00B64754">
        <w:rPr>
          <w:rFonts w:ascii="Times New Roman" w:hAnsi="Times New Roman"/>
          <w:lang w:val="pt-BR"/>
        </w:rPr>
        <w:t>n</w:t>
      </w:r>
      <w:r w:rsidR="00E0668E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>separação do produto</w:t>
      </w:r>
      <w:r w:rsidR="00E0668E">
        <w:rPr>
          <w:rFonts w:ascii="Times New Roman" w:hAnsi="Times New Roman"/>
          <w:lang w:val="pt-BR"/>
        </w:rPr>
        <w:t xml:space="preserve"> (5</w:t>
      </w:r>
      <w:r w:rsidR="00B23EE1">
        <w:rPr>
          <w:rFonts w:ascii="Times New Roman" w:hAnsi="Times New Roman"/>
          <w:lang w:val="pt-BR"/>
        </w:rPr>
        <w:t>,6</w:t>
      </w:r>
      <w:r w:rsidR="00E0668E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.</w:t>
      </w:r>
      <w:r w:rsidR="00E0668E">
        <w:rPr>
          <w:rFonts w:ascii="Times New Roman" w:hAnsi="Times New Roman"/>
          <w:lang w:val="pt-BR"/>
        </w:rPr>
        <w:t xml:space="preserve"> </w:t>
      </w:r>
      <w:r w:rsidR="00E0668E">
        <w:rPr>
          <w:rFonts w:ascii="Times New Roman" w:hAnsi="Times New Roman"/>
          <w:lang w:val="pt-BR"/>
        </w:rPr>
        <w:t>Além desses motivos, outros fatores também contribuem para que a escolha do solvente seja feita de forma cautelosa, como</w:t>
      </w:r>
      <w:r w:rsidR="00537EFF">
        <w:rPr>
          <w:rFonts w:ascii="Times New Roman" w:hAnsi="Times New Roman"/>
          <w:lang w:val="pt-BR"/>
        </w:rPr>
        <w:t xml:space="preserve"> os riscos à saúde e</w:t>
      </w:r>
      <w:r w:rsidR="00E0668E">
        <w:rPr>
          <w:rFonts w:ascii="Times New Roman" w:hAnsi="Times New Roman"/>
          <w:lang w:val="pt-BR"/>
        </w:rPr>
        <w:t xml:space="preserve"> a responsabilidade ambiental. </w:t>
      </w:r>
      <w:r w:rsidR="002A7CC7">
        <w:rPr>
          <w:rFonts w:ascii="Times New Roman" w:hAnsi="Times New Roman"/>
          <w:lang w:val="pt-BR"/>
        </w:rPr>
        <w:t>Alguns solventes industriais utilizados em reações de hidroformilação apresentam riscos ambientais e toxicológicos associado</w:t>
      </w:r>
      <w:r w:rsidR="000222AA">
        <w:rPr>
          <w:rFonts w:ascii="Times New Roman" w:hAnsi="Times New Roman"/>
          <w:lang w:val="pt-BR"/>
        </w:rPr>
        <w:t>s a eles, como o</w:t>
      </w:r>
      <w:r w:rsidR="002A7CC7">
        <w:rPr>
          <w:rFonts w:ascii="Times New Roman" w:hAnsi="Times New Roman"/>
          <w:lang w:val="pt-BR"/>
        </w:rPr>
        <w:t xml:space="preserve"> </w:t>
      </w:r>
      <w:r w:rsidR="009106E2">
        <w:rPr>
          <w:rFonts w:ascii="Times New Roman" w:hAnsi="Times New Roman"/>
          <w:lang w:val="pt-BR"/>
        </w:rPr>
        <w:t>benzeno</w:t>
      </w:r>
      <w:r w:rsidR="00D95E85">
        <w:rPr>
          <w:rFonts w:ascii="Times New Roman" w:hAnsi="Times New Roman"/>
          <w:lang w:val="pt-BR"/>
        </w:rPr>
        <w:t xml:space="preserve"> e o to</w:t>
      </w:r>
      <w:r w:rsidR="00225FD7">
        <w:rPr>
          <w:rFonts w:ascii="Times New Roman" w:hAnsi="Times New Roman"/>
          <w:lang w:val="pt-BR"/>
        </w:rPr>
        <w:t>lueno, que são classificados</w:t>
      </w:r>
      <w:r w:rsidR="000222AA">
        <w:rPr>
          <w:rFonts w:ascii="Times New Roman" w:hAnsi="Times New Roman"/>
          <w:lang w:val="pt-BR"/>
        </w:rPr>
        <w:t xml:space="preserve"> no g</w:t>
      </w:r>
      <w:r w:rsidR="00225FD7">
        <w:rPr>
          <w:rFonts w:ascii="Times New Roman" w:hAnsi="Times New Roman"/>
          <w:lang w:val="pt-BR"/>
        </w:rPr>
        <w:t>uia da GlaxoSmithKline® (GSK) como problemático</w:t>
      </w:r>
      <w:r w:rsidR="009B0721">
        <w:rPr>
          <w:rFonts w:ascii="Times New Roman" w:hAnsi="Times New Roman"/>
          <w:lang w:val="pt-BR"/>
        </w:rPr>
        <w:t>s</w:t>
      </w:r>
      <w:r w:rsidR="00225FD7">
        <w:rPr>
          <w:rFonts w:ascii="Times New Roman" w:hAnsi="Times New Roman"/>
          <w:lang w:val="pt-BR"/>
        </w:rPr>
        <w:t xml:space="preserve"> </w:t>
      </w:r>
      <w:r w:rsidR="000222AA">
        <w:rPr>
          <w:rFonts w:ascii="Times New Roman" w:hAnsi="Times New Roman"/>
          <w:lang w:val="pt-BR"/>
        </w:rPr>
        <w:t>(</w:t>
      </w:r>
      <w:r w:rsidR="00B23EE1">
        <w:rPr>
          <w:rFonts w:ascii="Times New Roman" w:hAnsi="Times New Roman"/>
          <w:lang w:val="pt-BR"/>
        </w:rPr>
        <w:t>5,7</w:t>
      </w:r>
      <w:r w:rsidR="00CD3135">
        <w:rPr>
          <w:rFonts w:ascii="Times New Roman" w:hAnsi="Times New Roman"/>
          <w:lang w:val="pt-BR"/>
        </w:rPr>
        <w:t>)</w:t>
      </w:r>
      <w:r w:rsidR="000222AA">
        <w:rPr>
          <w:rFonts w:ascii="Times New Roman" w:hAnsi="Times New Roman"/>
          <w:lang w:val="pt-BR"/>
        </w:rPr>
        <w:t>. Esse guia leva em consideração a disposição de resíduos, os impactos ao meio ambiente, os impactos na saú</w:t>
      </w:r>
      <w:r w:rsidR="00225FD7">
        <w:rPr>
          <w:rFonts w:ascii="Times New Roman" w:hAnsi="Times New Roman"/>
          <w:lang w:val="pt-BR"/>
        </w:rPr>
        <w:t xml:space="preserve">de humana e a segurança </w:t>
      </w:r>
      <w:r w:rsidR="009B0721">
        <w:rPr>
          <w:rFonts w:ascii="Times New Roman" w:hAnsi="Times New Roman"/>
          <w:lang w:val="pt-BR"/>
        </w:rPr>
        <w:t xml:space="preserve">relacionada ao seu </w:t>
      </w:r>
      <w:r w:rsidR="00225FD7">
        <w:rPr>
          <w:rFonts w:ascii="Times New Roman" w:hAnsi="Times New Roman"/>
          <w:lang w:val="pt-BR"/>
        </w:rPr>
        <w:t>uso</w:t>
      </w:r>
      <w:r w:rsidR="00B64754">
        <w:rPr>
          <w:rFonts w:ascii="Times New Roman" w:hAnsi="Times New Roman"/>
          <w:lang w:val="pt-BR"/>
        </w:rPr>
        <w:t xml:space="preserve"> (7)</w:t>
      </w:r>
      <w:r w:rsidR="00225FD7">
        <w:rPr>
          <w:rFonts w:ascii="Times New Roman" w:hAnsi="Times New Roman"/>
          <w:lang w:val="pt-BR"/>
        </w:rPr>
        <w:t>.</w:t>
      </w:r>
    </w:p>
    <w:p w14:paraId="01E90F7E" w14:textId="1F5FD54A" w:rsidR="00CB5C4C" w:rsidRDefault="00B82998" w:rsidP="009B0721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Portanto, </w:t>
      </w:r>
      <w:r w:rsidR="00294F5C">
        <w:rPr>
          <w:rFonts w:ascii="Times New Roman" w:hAnsi="Times New Roman"/>
          <w:lang w:val="pt-BR"/>
        </w:rPr>
        <w:t xml:space="preserve">considerando </w:t>
      </w:r>
      <w:r w:rsidR="00294F5C" w:rsidRPr="00B23EE1">
        <w:rPr>
          <w:rFonts w:ascii="Times New Roman" w:hAnsi="Times New Roman"/>
          <w:lang w:val="pt-BR"/>
        </w:rPr>
        <w:t>que 28 milhões de toneladas de solventes são utilizados por ano em todo o mundo</w:t>
      </w:r>
      <w:r w:rsidRPr="00B23EE1">
        <w:rPr>
          <w:rFonts w:ascii="Times New Roman" w:hAnsi="Times New Roman"/>
          <w:lang w:val="pt-BR"/>
        </w:rPr>
        <w:t>, é importante pen</w:t>
      </w:r>
      <w:r w:rsidR="00294F5C" w:rsidRPr="00B23EE1">
        <w:rPr>
          <w:rFonts w:ascii="Times New Roman" w:hAnsi="Times New Roman"/>
          <w:lang w:val="pt-BR"/>
        </w:rPr>
        <w:t>sar em possíveis substituições</w:t>
      </w:r>
      <w:r w:rsidR="00852ADD">
        <w:rPr>
          <w:rFonts w:ascii="Times New Roman" w:hAnsi="Times New Roman"/>
          <w:lang w:val="pt-BR"/>
        </w:rPr>
        <w:t xml:space="preserve"> (8)</w:t>
      </w:r>
      <w:r w:rsidRPr="00B23EE1">
        <w:rPr>
          <w:rFonts w:ascii="Times New Roman" w:hAnsi="Times New Roman"/>
          <w:lang w:val="pt-BR"/>
        </w:rPr>
        <w:t>. Para isso</w:t>
      </w:r>
      <w:r w:rsidR="00CD3135" w:rsidRPr="00B23EE1">
        <w:rPr>
          <w:rFonts w:ascii="Times New Roman" w:hAnsi="Times New Roman"/>
          <w:lang w:val="pt-BR"/>
        </w:rPr>
        <w:t>, podem ser aplicados os princípio</w:t>
      </w:r>
      <w:r w:rsidR="00075723" w:rsidRPr="00B23EE1">
        <w:rPr>
          <w:rFonts w:ascii="Times New Roman" w:hAnsi="Times New Roman"/>
          <w:lang w:val="pt-BR"/>
        </w:rPr>
        <w:t>s da química verde</w:t>
      </w:r>
      <w:r w:rsidR="00A46CDC">
        <w:rPr>
          <w:rFonts w:ascii="Times New Roman" w:hAnsi="Times New Roman"/>
          <w:lang w:val="pt-BR"/>
        </w:rPr>
        <w:t xml:space="preserve"> e sustentável</w:t>
      </w:r>
      <w:r w:rsidR="00075723" w:rsidRPr="00B23EE1">
        <w:rPr>
          <w:rFonts w:ascii="Times New Roman" w:hAnsi="Times New Roman"/>
          <w:lang w:val="pt-BR"/>
        </w:rPr>
        <w:t>,</w:t>
      </w:r>
      <w:r w:rsidR="00B23EE1">
        <w:rPr>
          <w:rFonts w:ascii="Times New Roman" w:hAnsi="Times New Roman"/>
          <w:lang w:val="pt-BR"/>
        </w:rPr>
        <w:t xml:space="preserve"> pensando no uso</w:t>
      </w:r>
      <w:r w:rsidR="00CB72C8">
        <w:rPr>
          <w:rFonts w:ascii="Times New Roman" w:hAnsi="Times New Roman"/>
          <w:lang w:val="pt-BR"/>
        </w:rPr>
        <w:t xml:space="preserve"> de solventes que sejam inócuos e </w:t>
      </w:r>
      <w:r w:rsidR="00CC7DE8">
        <w:rPr>
          <w:rFonts w:ascii="Times New Roman" w:hAnsi="Times New Roman"/>
          <w:lang w:val="pt-BR"/>
        </w:rPr>
        <w:t>alterem minimamente os</w:t>
      </w:r>
      <w:r w:rsidR="00B0318C">
        <w:rPr>
          <w:rFonts w:ascii="Times New Roman" w:hAnsi="Times New Roman"/>
          <w:lang w:val="pt-BR"/>
        </w:rPr>
        <w:t xml:space="preserve"> </w:t>
      </w:r>
      <w:r w:rsidR="00075723" w:rsidRPr="00B0318C">
        <w:rPr>
          <w:rFonts w:ascii="Times New Roman" w:hAnsi="Times New Roman"/>
          <w:lang w:val="pt-BR"/>
        </w:rPr>
        <w:t>parâmetros reacionais</w:t>
      </w:r>
      <w:r w:rsidR="00CB72C8">
        <w:rPr>
          <w:rFonts w:ascii="Times New Roman" w:hAnsi="Times New Roman"/>
          <w:lang w:val="pt-BR"/>
        </w:rPr>
        <w:t xml:space="preserve"> </w:t>
      </w:r>
      <w:r w:rsidR="00075723" w:rsidRPr="00B0318C">
        <w:rPr>
          <w:rFonts w:ascii="Times New Roman" w:hAnsi="Times New Roman"/>
          <w:lang w:val="pt-BR"/>
        </w:rPr>
        <w:t>ou</w:t>
      </w:r>
      <w:r w:rsidR="001C73DF">
        <w:rPr>
          <w:rFonts w:ascii="Times New Roman" w:hAnsi="Times New Roman"/>
          <w:lang w:val="pt-BR"/>
        </w:rPr>
        <w:t>,</w:t>
      </w:r>
      <w:r w:rsidR="00B0318C">
        <w:rPr>
          <w:rFonts w:ascii="Times New Roman" w:hAnsi="Times New Roman"/>
          <w:lang w:val="pt-BR"/>
        </w:rPr>
        <w:t xml:space="preserve"> se possível,</w:t>
      </w:r>
      <w:r w:rsidR="00CC7DE8">
        <w:rPr>
          <w:rFonts w:ascii="Times New Roman" w:hAnsi="Times New Roman"/>
          <w:lang w:val="pt-BR"/>
        </w:rPr>
        <w:t xml:space="preserve"> melhore-os </w:t>
      </w:r>
      <w:r w:rsidR="009B0721">
        <w:rPr>
          <w:rFonts w:ascii="Times New Roman" w:hAnsi="Times New Roman"/>
          <w:lang w:val="pt-BR"/>
        </w:rPr>
        <w:t xml:space="preserve">combinando eficiência </w:t>
      </w:r>
      <w:r w:rsidR="009B0721">
        <w:rPr>
          <w:rFonts w:ascii="Times New Roman" w:hAnsi="Times New Roman"/>
          <w:lang w:val="pt-BR"/>
        </w:rPr>
        <w:lastRenderedPageBreak/>
        <w:t xml:space="preserve">catalítica e sustentabilidade </w:t>
      </w:r>
      <w:r w:rsidR="00852ADD">
        <w:rPr>
          <w:rFonts w:ascii="Times New Roman" w:hAnsi="Times New Roman"/>
          <w:lang w:val="pt-BR"/>
        </w:rPr>
        <w:t>(9)</w:t>
      </w:r>
      <w:r w:rsidR="00075723" w:rsidRPr="00B23EE1">
        <w:rPr>
          <w:rFonts w:ascii="Times New Roman" w:hAnsi="Times New Roman"/>
          <w:lang w:val="pt-BR"/>
        </w:rPr>
        <w:t xml:space="preserve">. </w:t>
      </w:r>
      <w:r w:rsidR="00B23EE1">
        <w:rPr>
          <w:rFonts w:ascii="Times New Roman" w:hAnsi="Times New Roman"/>
          <w:lang w:val="pt-BR"/>
        </w:rPr>
        <w:t xml:space="preserve">Com base nisso, </w:t>
      </w:r>
      <w:r w:rsidR="00852ADD">
        <w:rPr>
          <w:rFonts w:ascii="Times New Roman" w:hAnsi="Times New Roman"/>
          <w:lang w:val="pt-BR"/>
        </w:rPr>
        <w:t xml:space="preserve">surgem alguns </w:t>
      </w:r>
      <w:r w:rsidR="00424C41">
        <w:rPr>
          <w:rFonts w:ascii="Times New Roman" w:hAnsi="Times New Roman"/>
          <w:lang w:val="pt-BR"/>
        </w:rPr>
        <w:t>produtos</w:t>
      </w:r>
      <w:r w:rsidR="00852ADD">
        <w:rPr>
          <w:rFonts w:ascii="Times New Roman" w:hAnsi="Times New Roman"/>
          <w:lang w:val="pt-BR"/>
        </w:rPr>
        <w:t xml:space="preserve"> já comerciais como possíveis alternativas</w:t>
      </w:r>
      <w:r w:rsidR="00CB5C4C">
        <w:rPr>
          <w:rFonts w:ascii="Times New Roman" w:hAnsi="Times New Roman"/>
          <w:lang w:val="pt-BR"/>
        </w:rPr>
        <w:t xml:space="preserve"> de solventes</w:t>
      </w:r>
      <w:r w:rsidR="00E4360C">
        <w:rPr>
          <w:rFonts w:ascii="Times New Roman" w:hAnsi="Times New Roman"/>
          <w:lang w:val="pt-BR"/>
        </w:rPr>
        <w:t>.</w:t>
      </w:r>
      <w:r w:rsidR="009B0721">
        <w:rPr>
          <w:rFonts w:ascii="Times New Roman" w:hAnsi="Times New Roman"/>
          <w:lang w:val="pt-BR"/>
        </w:rPr>
        <w:t xml:space="preserve"> </w:t>
      </w:r>
      <w:r w:rsidR="00DC0CE4">
        <w:rPr>
          <w:rFonts w:ascii="Times New Roman" w:hAnsi="Times New Roman"/>
          <w:lang w:val="pt-BR"/>
        </w:rPr>
        <w:t xml:space="preserve">O </w:t>
      </w:r>
      <w:proofErr w:type="spellStart"/>
      <w:r w:rsidR="00DC0CE4">
        <w:rPr>
          <w:rFonts w:ascii="Times New Roman" w:hAnsi="Times New Roman"/>
          <w:lang w:val="pt-BR"/>
        </w:rPr>
        <w:t>metóxiciclopentano</w:t>
      </w:r>
      <w:proofErr w:type="spellEnd"/>
      <w:r w:rsidR="00DC0CE4">
        <w:rPr>
          <w:rFonts w:ascii="Times New Roman" w:hAnsi="Times New Roman"/>
          <w:lang w:val="pt-BR"/>
        </w:rPr>
        <w:t xml:space="preserve"> (CPME) é um éter derivado do </w:t>
      </w:r>
      <w:r w:rsidR="00DC0CE4" w:rsidRPr="00134FF9">
        <w:rPr>
          <w:rFonts w:ascii="Times New Roman" w:hAnsi="Times New Roman"/>
          <w:lang w:val="pt-BR"/>
        </w:rPr>
        <w:t>petróleo</w:t>
      </w:r>
      <w:r w:rsidR="00DC0CE4">
        <w:rPr>
          <w:rFonts w:ascii="Times New Roman" w:hAnsi="Times New Roman"/>
          <w:lang w:val="pt-BR"/>
        </w:rPr>
        <w:t xml:space="preserve">, contudo, </w:t>
      </w:r>
      <w:r w:rsidR="009B0721">
        <w:rPr>
          <w:rFonts w:ascii="Times New Roman" w:hAnsi="Times New Roman"/>
          <w:lang w:val="pt-BR"/>
        </w:rPr>
        <w:t>é considerado uma</w:t>
      </w:r>
      <w:r w:rsidR="00DC0CE4">
        <w:rPr>
          <w:rFonts w:ascii="Times New Roman" w:hAnsi="Times New Roman"/>
          <w:lang w:val="pt-BR"/>
        </w:rPr>
        <w:t xml:space="preserve"> alternativa sustentável devido </w:t>
      </w:r>
      <w:proofErr w:type="spellStart"/>
      <w:r w:rsidR="00DC0CE4">
        <w:rPr>
          <w:rFonts w:ascii="Times New Roman" w:hAnsi="Times New Roman"/>
          <w:lang w:val="pt-BR"/>
        </w:rPr>
        <w:t>a</w:t>
      </w:r>
      <w:proofErr w:type="spellEnd"/>
      <w:r w:rsidR="00DC0CE4">
        <w:rPr>
          <w:rFonts w:ascii="Times New Roman" w:hAnsi="Times New Roman"/>
          <w:lang w:val="pt-BR"/>
        </w:rPr>
        <w:t xml:space="preserve"> baixa formação de peróxidos, que o torna interessante para substituir outros éteres utilizados em processos químicos (10). Ele pode ser produzido pela adição de metanol ao </w:t>
      </w:r>
      <w:proofErr w:type="spellStart"/>
      <w:r w:rsidR="00DC0CE4">
        <w:rPr>
          <w:rFonts w:ascii="Times New Roman" w:hAnsi="Times New Roman"/>
          <w:lang w:val="pt-BR"/>
        </w:rPr>
        <w:t>ciclopenteno</w:t>
      </w:r>
      <w:proofErr w:type="spellEnd"/>
      <w:r w:rsidR="00DC0CE4">
        <w:rPr>
          <w:rFonts w:ascii="Times New Roman" w:hAnsi="Times New Roman"/>
          <w:lang w:val="pt-BR"/>
        </w:rPr>
        <w:t xml:space="preserve"> ou pela </w:t>
      </w:r>
      <w:proofErr w:type="spellStart"/>
      <w:r w:rsidR="00DC0CE4">
        <w:rPr>
          <w:rFonts w:ascii="Times New Roman" w:hAnsi="Times New Roman"/>
          <w:lang w:val="pt-BR"/>
        </w:rPr>
        <w:t>metilação</w:t>
      </w:r>
      <w:proofErr w:type="spellEnd"/>
      <w:r w:rsidR="00DC0CE4">
        <w:rPr>
          <w:rFonts w:ascii="Times New Roman" w:hAnsi="Times New Roman"/>
          <w:lang w:val="pt-BR"/>
        </w:rPr>
        <w:t xml:space="preserve"> do </w:t>
      </w:r>
      <w:proofErr w:type="spellStart"/>
      <w:r w:rsidR="00DC0CE4">
        <w:rPr>
          <w:rFonts w:ascii="Times New Roman" w:hAnsi="Times New Roman"/>
          <w:lang w:val="pt-BR"/>
        </w:rPr>
        <w:t>ciclopentanol</w:t>
      </w:r>
      <w:proofErr w:type="spellEnd"/>
      <w:r w:rsidR="00DC0CE4">
        <w:rPr>
          <w:rFonts w:ascii="Times New Roman" w:hAnsi="Times New Roman"/>
          <w:lang w:val="pt-BR"/>
        </w:rPr>
        <w:t xml:space="preserve">, utilizando sulfato de </w:t>
      </w:r>
      <w:proofErr w:type="spellStart"/>
      <w:r w:rsidR="00DC0CE4">
        <w:rPr>
          <w:rFonts w:ascii="Times New Roman" w:hAnsi="Times New Roman"/>
          <w:lang w:val="pt-BR"/>
        </w:rPr>
        <w:t>dimetila</w:t>
      </w:r>
      <w:proofErr w:type="spellEnd"/>
      <w:r w:rsidR="00DC0CE4">
        <w:rPr>
          <w:rFonts w:ascii="Times New Roman" w:hAnsi="Times New Roman"/>
          <w:lang w:val="pt-BR"/>
        </w:rPr>
        <w:t xml:space="preserve"> (10). </w:t>
      </w:r>
      <w:r w:rsidR="009B0721">
        <w:rPr>
          <w:rFonts w:ascii="Times New Roman" w:hAnsi="Times New Roman"/>
          <w:lang w:val="pt-BR"/>
        </w:rPr>
        <w:t>Outra possível alternativa apontada pelos guias de solventes é o</w:t>
      </w:r>
      <w:r w:rsidR="00DC0CE4">
        <w:rPr>
          <w:rFonts w:ascii="Times New Roman" w:hAnsi="Times New Roman"/>
          <w:lang w:val="pt-BR"/>
        </w:rPr>
        <w:t xml:space="preserve"> </w:t>
      </w:r>
      <w:proofErr w:type="spellStart"/>
      <w:r w:rsidR="00DC0CE4">
        <w:rPr>
          <w:rFonts w:ascii="Times New Roman" w:hAnsi="Times New Roman"/>
          <w:lang w:val="pt-BR"/>
        </w:rPr>
        <w:t>isosorbato</w:t>
      </w:r>
      <w:proofErr w:type="spellEnd"/>
      <w:r w:rsidR="00DC0CE4">
        <w:rPr>
          <w:rFonts w:ascii="Times New Roman" w:hAnsi="Times New Roman"/>
          <w:lang w:val="pt-BR"/>
        </w:rPr>
        <w:t xml:space="preserve"> de </w:t>
      </w:r>
      <w:proofErr w:type="spellStart"/>
      <w:r w:rsidR="00DC0CE4">
        <w:rPr>
          <w:rFonts w:ascii="Times New Roman" w:hAnsi="Times New Roman"/>
          <w:lang w:val="pt-BR"/>
        </w:rPr>
        <w:t>dimetila</w:t>
      </w:r>
      <w:proofErr w:type="spellEnd"/>
      <w:r w:rsidR="00DC0CE4">
        <w:rPr>
          <w:rFonts w:ascii="Times New Roman" w:hAnsi="Times New Roman"/>
          <w:lang w:val="pt-BR"/>
        </w:rPr>
        <w:t xml:space="preserve"> (DMI)</w:t>
      </w:r>
      <w:r w:rsidR="009B0721">
        <w:rPr>
          <w:rFonts w:ascii="Times New Roman" w:hAnsi="Times New Roman"/>
          <w:lang w:val="pt-BR"/>
        </w:rPr>
        <w:t>. Esse solvente</w:t>
      </w:r>
      <w:r w:rsidR="00DC0CE4">
        <w:rPr>
          <w:rFonts w:ascii="Times New Roman" w:hAnsi="Times New Roman"/>
          <w:lang w:val="pt-BR"/>
        </w:rPr>
        <w:t xml:space="preserve"> é produzido pela reação entre o carbonato de </w:t>
      </w:r>
      <w:proofErr w:type="spellStart"/>
      <w:r w:rsidR="00DC0CE4">
        <w:rPr>
          <w:rFonts w:ascii="Times New Roman" w:hAnsi="Times New Roman"/>
          <w:lang w:val="pt-BR"/>
        </w:rPr>
        <w:t>dimetila</w:t>
      </w:r>
      <w:proofErr w:type="spellEnd"/>
      <w:r w:rsidR="00DC0CE4">
        <w:rPr>
          <w:rFonts w:ascii="Times New Roman" w:hAnsi="Times New Roman"/>
          <w:lang w:val="pt-BR"/>
        </w:rPr>
        <w:t>, um produto que apresenta baixa toxicidade, e o D-</w:t>
      </w:r>
      <w:proofErr w:type="spellStart"/>
      <w:r w:rsidR="00DC0CE4">
        <w:rPr>
          <w:rFonts w:ascii="Times New Roman" w:hAnsi="Times New Roman"/>
          <w:lang w:val="pt-BR"/>
        </w:rPr>
        <w:t>sorbitol</w:t>
      </w:r>
      <w:proofErr w:type="spellEnd"/>
      <w:r w:rsidR="00DC0CE4">
        <w:rPr>
          <w:rFonts w:ascii="Times New Roman" w:hAnsi="Times New Roman"/>
          <w:lang w:val="pt-BR"/>
        </w:rPr>
        <w:t xml:space="preserve">, fruto da hidrogenação da glicose (11,12). </w:t>
      </w:r>
      <w:r w:rsidR="00402B2C">
        <w:rPr>
          <w:rFonts w:ascii="Times New Roman" w:hAnsi="Times New Roman"/>
          <w:lang w:val="pt-BR"/>
        </w:rPr>
        <w:t>A diidrolevoglucosenona</w:t>
      </w:r>
      <w:r w:rsidR="000752DA">
        <w:rPr>
          <w:rFonts w:ascii="Times New Roman" w:hAnsi="Times New Roman"/>
          <w:lang w:val="pt-BR"/>
        </w:rPr>
        <w:t xml:space="preserve"> </w:t>
      </w:r>
      <w:r w:rsidR="00402B2C">
        <w:rPr>
          <w:rFonts w:ascii="Times New Roman" w:hAnsi="Times New Roman"/>
          <w:lang w:val="pt-BR"/>
        </w:rPr>
        <w:t>(</w:t>
      </w:r>
      <w:r w:rsidR="00993554">
        <w:rPr>
          <w:rFonts w:ascii="Times New Roman" w:hAnsi="Times New Roman"/>
          <w:lang w:val="pt-BR"/>
        </w:rPr>
        <w:t>c</w:t>
      </w:r>
      <w:r w:rsidR="000752DA">
        <w:rPr>
          <w:rFonts w:ascii="Times New Roman" w:hAnsi="Times New Roman"/>
          <w:lang w:val="pt-BR"/>
        </w:rPr>
        <w:t>yrene</w:t>
      </w:r>
      <w:r w:rsidR="000752DA">
        <w:rPr>
          <w:rFonts w:ascii="Times New Roman" w:hAnsi="Times New Roman"/>
          <w:vertAlign w:val="superscript"/>
          <w:lang w:val="pt-BR"/>
        </w:rPr>
        <w:t>TM</w:t>
      </w:r>
      <w:r w:rsidR="00402B2C">
        <w:rPr>
          <w:rFonts w:ascii="Times New Roman" w:hAnsi="Times New Roman"/>
          <w:lang w:val="pt-BR"/>
        </w:rPr>
        <w:t xml:space="preserve">) </w:t>
      </w:r>
      <w:r w:rsidR="00424C41">
        <w:rPr>
          <w:rFonts w:ascii="Times New Roman" w:hAnsi="Times New Roman"/>
          <w:lang w:val="pt-BR"/>
        </w:rPr>
        <w:t xml:space="preserve">é um produto </w:t>
      </w:r>
      <w:r w:rsidR="007D417A">
        <w:rPr>
          <w:rFonts w:ascii="Times New Roman" w:hAnsi="Times New Roman"/>
          <w:lang w:val="pt-BR"/>
        </w:rPr>
        <w:t>obtido a partir da celulose</w:t>
      </w:r>
      <w:r w:rsidR="00424C41">
        <w:rPr>
          <w:rFonts w:ascii="Times New Roman" w:hAnsi="Times New Roman"/>
          <w:lang w:val="pt-BR"/>
        </w:rPr>
        <w:t xml:space="preserve">, </w:t>
      </w:r>
      <w:r w:rsidR="007D417A">
        <w:rPr>
          <w:rFonts w:ascii="Times New Roman" w:hAnsi="Times New Roman"/>
          <w:lang w:val="pt-BR"/>
        </w:rPr>
        <w:t>seu processo de síntese não necessita de solvente</w:t>
      </w:r>
      <w:r w:rsidR="00476ADE">
        <w:rPr>
          <w:rFonts w:ascii="Times New Roman" w:hAnsi="Times New Roman"/>
          <w:lang w:val="pt-BR"/>
        </w:rPr>
        <w:t xml:space="preserve"> e</w:t>
      </w:r>
      <w:r w:rsidR="007D417A">
        <w:rPr>
          <w:rFonts w:ascii="Times New Roman" w:hAnsi="Times New Roman"/>
          <w:lang w:val="pt-BR"/>
        </w:rPr>
        <w:t xml:space="preserve"> ocorre em temperatura ambiente possui</w:t>
      </w:r>
      <w:r w:rsidR="00476ADE">
        <w:rPr>
          <w:rFonts w:ascii="Times New Roman" w:hAnsi="Times New Roman"/>
          <w:lang w:val="pt-BR"/>
        </w:rPr>
        <w:t>ndo</w:t>
      </w:r>
      <w:r w:rsidR="007D417A">
        <w:rPr>
          <w:rFonts w:ascii="Times New Roman" w:hAnsi="Times New Roman"/>
          <w:lang w:val="pt-BR"/>
        </w:rPr>
        <w:t xml:space="preserve"> uma baixa </w:t>
      </w:r>
      <w:r w:rsidR="00476ADE">
        <w:rPr>
          <w:rFonts w:ascii="Times New Roman" w:hAnsi="Times New Roman"/>
          <w:lang w:val="pt-BR"/>
        </w:rPr>
        <w:t>emissão gases do efeito estufa</w:t>
      </w:r>
      <w:r w:rsidR="007D417A">
        <w:rPr>
          <w:rFonts w:ascii="Times New Roman" w:hAnsi="Times New Roman"/>
          <w:lang w:val="pt-BR"/>
        </w:rPr>
        <w:t xml:space="preserve"> </w:t>
      </w:r>
      <w:r w:rsidR="00DC0CE4">
        <w:rPr>
          <w:rFonts w:ascii="Times New Roman" w:hAnsi="Times New Roman"/>
          <w:lang w:val="pt-BR"/>
        </w:rPr>
        <w:t>(13,14</w:t>
      </w:r>
      <w:r w:rsidR="007D417A" w:rsidRPr="00CC7DE8">
        <w:rPr>
          <w:rFonts w:ascii="Times New Roman" w:hAnsi="Times New Roman"/>
          <w:lang w:val="pt-BR"/>
        </w:rPr>
        <w:t>)</w:t>
      </w:r>
      <w:r w:rsidR="00CB5C4C">
        <w:rPr>
          <w:rFonts w:ascii="Times New Roman" w:hAnsi="Times New Roman"/>
          <w:lang w:val="pt-BR"/>
        </w:rPr>
        <w:t xml:space="preserve">. </w:t>
      </w:r>
      <w:r w:rsidR="00860C45">
        <w:rPr>
          <w:rFonts w:ascii="Times New Roman" w:hAnsi="Times New Roman"/>
          <w:lang w:val="pt-BR"/>
        </w:rPr>
        <w:t>O</w:t>
      </w:r>
      <w:r w:rsidR="00C44D5B">
        <w:rPr>
          <w:rFonts w:ascii="Times New Roman" w:hAnsi="Times New Roman"/>
          <w:lang w:val="pt-BR"/>
        </w:rPr>
        <w:t xml:space="preserve"> </w:t>
      </w:r>
      <w:proofErr w:type="spellStart"/>
      <w:r w:rsidR="009148E7">
        <w:rPr>
          <w:rFonts w:ascii="Times New Roman" w:hAnsi="Times New Roman"/>
          <w:lang w:val="pt-BR"/>
        </w:rPr>
        <w:t>triacetato</w:t>
      </w:r>
      <w:proofErr w:type="spellEnd"/>
      <w:r w:rsidR="009148E7">
        <w:rPr>
          <w:rFonts w:ascii="Times New Roman" w:hAnsi="Times New Roman"/>
          <w:lang w:val="pt-BR"/>
        </w:rPr>
        <w:t xml:space="preserve"> de glicerina (triacetina) é um éster derivado do glicerol</w:t>
      </w:r>
      <w:r w:rsidR="00A93CE5">
        <w:rPr>
          <w:rFonts w:ascii="Times New Roman" w:hAnsi="Times New Roman"/>
          <w:lang w:val="pt-BR"/>
        </w:rPr>
        <w:t xml:space="preserve"> fortemente recomendado pelo</w:t>
      </w:r>
      <w:r w:rsidR="00134FF9">
        <w:rPr>
          <w:rFonts w:ascii="Times New Roman" w:hAnsi="Times New Roman"/>
          <w:lang w:val="pt-BR"/>
        </w:rPr>
        <w:t>s guias de sustentabilidade (7,15</w:t>
      </w:r>
      <w:r w:rsidR="006F0579">
        <w:rPr>
          <w:rFonts w:ascii="Times New Roman" w:hAnsi="Times New Roman"/>
          <w:lang w:val="pt-BR"/>
        </w:rPr>
        <w:t>)</w:t>
      </w:r>
      <w:r w:rsidR="00C44D5B">
        <w:rPr>
          <w:rFonts w:ascii="Times New Roman" w:hAnsi="Times New Roman"/>
          <w:lang w:val="pt-BR"/>
        </w:rPr>
        <w:t>.</w:t>
      </w:r>
      <w:r w:rsidR="009263A4">
        <w:rPr>
          <w:rFonts w:ascii="Times New Roman" w:hAnsi="Times New Roman"/>
          <w:lang w:val="pt-BR"/>
        </w:rPr>
        <w:t xml:space="preserve"> </w:t>
      </w:r>
      <w:r w:rsidR="0076646F">
        <w:rPr>
          <w:rFonts w:ascii="Times New Roman" w:hAnsi="Times New Roman"/>
          <w:lang w:val="pt-BR"/>
        </w:rPr>
        <w:t xml:space="preserve">Os acetatos </w:t>
      </w:r>
      <w:r w:rsidR="009263A4">
        <w:rPr>
          <w:rFonts w:ascii="Times New Roman" w:hAnsi="Times New Roman"/>
          <w:lang w:val="pt-BR"/>
        </w:rPr>
        <w:t xml:space="preserve">de glicerina podem ser </w:t>
      </w:r>
      <w:r w:rsidR="00C26315">
        <w:rPr>
          <w:rFonts w:ascii="Times New Roman" w:hAnsi="Times New Roman"/>
          <w:lang w:val="pt-BR"/>
        </w:rPr>
        <w:t>produzidos</w:t>
      </w:r>
      <w:r w:rsidR="009263A4">
        <w:rPr>
          <w:rFonts w:ascii="Times New Roman" w:hAnsi="Times New Roman"/>
          <w:lang w:val="pt-BR"/>
        </w:rPr>
        <w:t xml:space="preserve"> pela reação do glicerol com ácido acético ou anidrido a</w:t>
      </w:r>
      <w:r w:rsidR="00C26315">
        <w:rPr>
          <w:rFonts w:ascii="Times New Roman" w:hAnsi="Times New Roman"/>
          <w:lang w:val="pt-BR"/>
        </w:rPr>
        <w:t>cético</w:t>
      </w:r>
      <w:r w:rsidR="009263A4">
        <w:rPr>
          <w:rFonts w:ascii="Times New Roman" w:hAnsi="Times New Roman"/>
          <w:lang w:val="pt-BR"/>
        </w:rPr>
        <w:t xml:space="preserve"> ou pela transesterificação do acetato de metila</w:t>
      </w:r>
      <w:r w:rsidR="00134FF9">
        <w:rPr>
          <w:rFonts w:ascii="Times New Roman" w:hAnsi="Times New Roman"/>
          <w:lang w:val="pt-BR"/>
        </w:rPr>
        <w:t xml:space="preserve"> (15</w:t>
      </w:r>
      <w:r w:rsidR="009263A4">
        <w:rPr>
          <w:rFonts w:ascii="Times New Roman" w:hAnsi="Times New Roman"/>
          <w:lang w:val="pt-BR"/>
        </w:rPr>
        <w:t>).</w:t>
      </w:r>
    </w:p>
    <w:p w14:paraId="3AD7546B" w14:textId="34EE033E" w:rsidR="004F781C" w:rsidRDefault="00FB1A07" w:rsidP="00B957D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Neste </w:t>
      </w:r>
      <w:r w:rsidR="00296215">
        <w:rPr>
          <w:rFonts w:ascii="Times New Roman" w:hAnsi="Times New Roman"/>
          <w:lang w:val="pt-BR"/>
        </w:rPr>
        <w:t xml:space="preserve">trabalho </w:t>
      </w:r>
      <w:r w:rsidR="00402B2C">
        <w:rPr>
          <w:rFonts w:ascii="Times New Roman" w:hAnsi="Times New Roman"/>
          <w:lang w:val="pt-BR"/>
        </w:rPr>
        <w:t>foi avalia</w:t>
      </w:r>
      <w:r>
        <w:rPr>
          <w:rFonts w:ascii="Times New Roman" w:hAnsi="Times New Roman"/>
          <w:lang w:val="pt-BR"/>
        </w:rPr>
        <w:t>da</w:t>
      </w:r>
      <w:r w:rsidR="00402B2C">
        <w:rPr>
          <w:rFonts w:ascii="Times New Roman" w:hAnsi="Times New Roman"/>
          <w:lang w:val="pt-BR"/>
        </w:rPr>
        <w:t xml:space="preserve"> a influência do</w:t>
      </w:r>
      <w:r w:rsidR="00B02E93">
        <w:rPr>
          <w:rFonts w:ascii="Times New Roman" w:hAnsi="Times New Roman"/>
          <w:lang w:val="pt-BR"/>
        </w:rPr>
        <w:t>s solventes</w:t>
      </w:r>
      <w:r w:rsidR="00DC0CE4">
        <w:rPr>
          <w:rFonts w:ascii="Times New Roman" w:hAnsi="Times New Roman"/>
          <w:lang w:val="pt-BR"/>
        </w:rPr>
        <w:t xml:space="preserve"> CPME, DMI,</w:t>
      </w:r>
      <w:r w:rsidR="00402B2C">
        <w:rPr>
          <w:rFonts w:ascii="Times New Roman" w:hAnsi="Times New Roman"/>
          <w:lang w:val="pt-BR"/>
        </w:rPr>
        <w:t xml:space="preserve"> </w:t>
      </w:r>
      <w:r w:rsidR="00993554">
        <w:rPr>
          <w:rFonts w:ascii="Times New Roman" w:hAnsi="Times New Roman"/>
          <w:lang w:val="pt-BR"/>
        </w:rPr>
        <w:t>c</w:t>
      </w:r>
      <w:r w:rsidR="00402B2C">
        <w:rPr>
          <w:rFonts w:ascii="Times New Roman" w:hAnsi="Times New Roman"/>
          <w:lang w:val="pt-BR"/>
        </w:rPr>
        <w:t>yrene</w:t>
      </w:r>
      <w:r w:rsidR="00402B2C">
        <w:rPr>
          <w:rFonts w:ascii="Times New Roman" w:hAnsi="Times New Roman"/>
          <w:vertAlign w:val="superscript"/>
          <w:lang w:val="pt-BR"/>
        </w:rPr>
        <w:t>TM</w:t>
      </w:r>
      <w:r w:rsidR="00DC0CE4">
        <w:rPr>
          <w:rFonts w:ascii="Times New Roman" w:hAnsi="Times New Roman"/>
          <w:lang w:val="pt-BR"/>
        </w:rPr>
        <w:t xml:space="preserve"> e triacetina </w:t>
      </w:r>
      <w:r w:rsidR="00402B2C">
        <w:rPr>
          <w:rFonts w:ascii="Times New Roman" w:hAnsi="Times New Roman"/>
          <w:lang w:val="pt-BR"/>
        </w:rPr>
        <w:t>nas reações de hidroformilação do</w:t>
      </w:r>
      <w:r w:rsidR="00A46CDC">
        <w:rPr>
          <w:rFonts w:ascii="Times New Roman" w:hAnsi="Times New Roman"/>
          <w:lang w:val="pt-BR"/>
        </w:rPr>
        <w:t xml:space="preserve"> 1-octeno, estireno e álcool per</w:t>
      </w:r>
      <w:r w:rsidR="00402B2C">
        <w:rPr>
          <w:rFonts w:ascii="Times New Roman" w:hAnsi="Times New Roman"/>
          <w:lang w:val="pt-BR"/>
        </w:rPr>
        <w:t xml:space="preserve">ílico, </w:t>
      </w:r>
      <w:r>
        <w:rPr>
          <w:rFonts w:ascii="Times New Roman" w:hAnsi="Times New Roman"/>
          <w:lang w:val="pt-BR"/>
        </w:rPr>
        <w:t>em relação aos solventes modelos tolueno e texanol™</w:t>
      </w:r>
      <w:r w:rsidR="00402B2C">
        <w:rPr>
          <w:rFonts w:ascii="Times New Roman" w:hAnsi="Times New Roman"/>
          <w:lang w:val="pt-BR"/>
        </w:rPr>
        <w:t>.</w:t>
      </w:r>
      <w:r w:rsidR="008015C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Foi realizada uma análise baseada nas conversões, seletividades e velocidades de reação, buscando obter resultados iguais ou superiores para os sistemas dos solventes sustentáveis em relação aos sistemas dos solventes convencionais.</w:t>
      </w:r>
    </w:p>
    <w:p w14:paraId="52FFAC79" w14:textId="75AE8424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7A4EFE0" w14:textId="3248E19B" w:rsidR="00D34E8B" w:rsidRDefault="00BD1BF2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BD1BF2">
        <w:rPr>
          <w:rFonts w:ascii="Times New Roman" w:hAnsi="Times New Roman"/>
          <w:i/>
          <w:lang w:val="pt-BR"/>
        </w:rPr>
        <w:t>Observações gerais</w:t>
      </w:r>
      <w:r w:rsidRPr="00BD1BF2" w:rsidDel="00476ADE">
        <w:rPr>
          <w:rFonts w:ascii="Times New Roman" w:hAnsi="Times New Roman"/>
          <w:i/>
          <w:lang w:val="pt-BR"/>
        </w:rPr>
        <w:t xml:space="preserve"> </w:t>
      </w:r>
    </w:p>
    <w:p w14:paraId="0C7EA3CD" w14:textId="2047ED36" w:rsidR="00D34E8B" w:rsidRDefault="00D34E8B" w:rsidP="00D34E8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Em todos os sistemas foi utilizado </w:t>
      </w:r>
      <w:r w:rsidR="00476ADE">
        <w:rPr>
          <w:rFonts w:ascii="Times New Roman" w:hAnsi="Times New Roman"/>
          <w:lang w:val="pt-BR"/>
        </w:rPr>
        <w:t xml:space="preserve">o </w:t>
      </w:r>
      <w:r w:rsidR="00476ADE" w:rsidRPr="00D34E8B">
        <w:rPr>
          <w:rFonts w:ascii="Times New Roman" w:hAnsi="Times New Roman"/>
          <w:i/>
          <w:lang w:val="pt-BR"/>
        </w:rPr>
        <w:t>p</w:t>
      </w:r>
      <w:r w:rsidR="00476ADE">
        <w:rPr>
          <w:rFonts w:ascii="Times New Roman" w:hAnsi="Times New Roman"/>
          <w:lang w:val="pt-BR"/>
        </w:rPr>
        <w:t xml:space="preserve">-xileno (1,4-dimetilbenzeno para HPLC, </w:t>
      </w:r>
      <w:r w:rsidR="00476ADE" w:rsidRPr="00D34E8B">
        <w:rPr>
          <w:rFonts w:ascii="Times New Roman" w:hAnsi="Times New Roman"/>
          <w:lang w:val="pt-BR"/>
        </w:rPr>
        <w:t>≥</w:t>
      </w:r>
      <w:r w:rsidR="00476ADE">
        <w:rPr>
          <w:rFonts w:ascii="Times New Roman" w:hAnsi="Times New Roman"/>
          <w:lang w:val="pt-BR"/>
        </w:rPr>
        <w:t xml:space="preserve"> 99%) </w:t>
      </w:r>
      <w:r>
        <w:rPr>
          <w:rFonts w:ascii="Times New Roman" w:hAnsi="Times New Roman"/>
          <w:lang w:val="pt-BR"/>
        </w:rPr>
        <w:t>como padrão interno sem tratamento prévio</w:t>
      </w:r>
      <w:r w:rsidR="00476ADE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476ADE">
        <w:rPr>
          <w:rFonts w:ascii="Times New Roman" w:hAnsi="Times New Roman"/>
          <w:lang w:val="pt-BR"/>
        </w:rPr>
        <w:t>[Rh(</w:t>
      </w:r>
      <w:proofErr w:type="spellStart"/>
      <w:r w:rsidR="00476ADE">
        <w:rPr>
          <w:rFonts w:ascii="Times New Roman" w:hAnsi="Times New Roman"/>
          <w:lang w:val="pt-BR"/>
        </w:rPr>
        <w:t>acac</w:t>
      </w:r>
      <w:proofErr w:type="spellEnd"/>
      <w:proofErr w:type="gramStart"/>
      <w:r w:rsidR="00476ADE">
        <w:rPr>
          <w:rFonts w:ascii="Times New Roman" w:hAnsi="Times New Roman"/>
          <w:lang w:val="pt-BR"/>
        </w:rPr>
        <w:t>)(</w:t>
      </w:r>
      <w:proofErr w:type="gramEnd"/>
      <w:r w:rsidR="00476ADE">
        <w:rPr>
          <w:rFonts w:ascii="Times New Roman" w:hAnsi="Times New Roman"/>
          <w:lang w:val="pt-BR"/>
        </w:rPr>
        <w:t>CO</w:t>
      </w:r>
      <w:r w:rsidR="00476ADE">
        <w:rPr>
          <w:rFonts w:ascii="Times New Roman" w:hAnsi="Times New Roman"/>
          <w:vertAlign w:val="subscript"/>
          <w:lang w:val="pt-BR"/>
        </w:rPr>
        <w:t>2</w:t>
      </w:r>
      <w:r w:rsidR="00476ADE">
        <w:rPr>
          <w:rFonts w:ascii="Times New Roman" w:hAnsi="Times New Roman"/>
          <w:lang w:val="pt-BR"/>
        </w:rPr>
        <w:t>)] ((</w:t>
      </w:r>
      <w:proofErr w:type="spellStart"/>
      <w:r w:rsidR="00476ADE">
        <w:rPr>
          <w:rFonts w:ascii="Times New Roman" w:hAnsi="Times New Roman"/>
          <w:lang w:val="pt-BR"/>
        </w:rPr>
        <w:t>acetilacetonato</w:t>
      </w:r>
      <w:proofErr w:type="spellEnd"/>
      <w:r w:rsidR="00476ADE">
        <w:rPr>
          <w:rFonts w:ascii="Times New Roman" w:hAnsi="Times New Roman"/>
          <w:lang w:val="pt-BR"/>
        </w:rPr>
        <w:t>)</w:t>
      </w:r>
      <w:proofErr w:type="spellStart"/>
      <w:r w:rsidR="00476ADE">
        <w:rPr>
          <w:rFonts w:ascii="Times New Roman" w:hAnsi="Times New Roman"/>
          <w:lang w:val="pt-BR"/>
        </w:rPr>
        <w:t>dicarbonilródio</w:t>
      </w:r>
      <w:proofErr w:type="spellEnd"/>
      <w:r w:rsidR="00476ADE">
        <w:rPr>
          <w:rFonts w:ascii="Times New Roman" w:hAnsi="Times New Roman"/>
          <w:lang w:val="pt-BR"/>
        </w:rPr>
        <w:t xml:space="preserve"> (I), 99%) foi empregado como</w:t>
      </w:r>
      <w:r>
        <w:rPr>
          <w:rFonts w:ascii="Times New Roman" w:hAnsi="Times New Roman"/>
          <w:lang w:val="pt-BR"/>
        </w:rPr>
        <w:t xml:space="preserve"> precursor catalítico</w:t>
      </w:r>
      <w:r w:rsidR="00476ADE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e </w:t>
      </w:r>
      <w:r w:rsidR="00476ADE">
        <w:rPr>
          <w:rFonts w:ascii="Times New Roman" w:hAnsi="Times New Roman"/>
          <w:lang w:val="pt-BR"/>
        </w:rPr>
        <w:t>PPh</w:t>
      </w:r>
      <w:r w:rsidR="00476ADE">
        <w:rPr>
          <w:rFonts w:ascii="Times New Roman" w:hAnsi="Times New Roman"/>
          <w:vertAlign w:val="subscript"/>
          <w:lang w:val="pt-BR"/>
        </w:rPr>
        <w:t>3</w:t>
      </w:r>
      <w:r w:rsidR="00476ADE">
        <w:rPr>
          <w:rFonts w:ascii="Times New Roman" w:hAnsi="Times New Roman"/>
          <w:lang w:val="pt-BR"/>
        </w:rPr>
        <w:t xml:space="preserve"> (trifenilfosfina, 99%), </w:t>
      </w:r>
      <w:r>
        <w:rPr>
          <w:rFonts w:ascii="Times New Roman" w:hAnsi="Times New Roman"/>
          <w:lang w:val="pt-BR"/>
        </w:rPr>
        <w:t>como ligante de fósforo</w:t>
      </w:r>
      <w:r w:rsidRPr="006521AD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8023C2">
        <w:rPr>
          <w:rFonts w:ascii="Times New Roman" w:hAnsi="Times New Roman"/>
          <w:lang w:val="pt-BR"/>
        </w:rPr>
        <w:t>Com relação aos gases reagentes, foram utilizados o gás hidrogênio (</w:t>
      </w:r>
      <w:r w:rsidR="00476ADE">
        <w:rPr>
          <w:rFonts w:ascii="Times New Roman" w:hAnsi="Times New Roman"/>
          <w:lang w:val="pt-BR"/>
        </w:rPr>
        <w:t>h</w:t>
      </w:r>
      <w:r w:rsidR="008023C2">
        <w:rPr>
          <w:rFonts w:ascii="Times New Roman" w:hAnsi="Times New Roman"/>
          <w:lang w:val="pt-BR"/>
        </w:rPr>
        <w:t xml:space="preserve">idrogênio comprimido 5.0, Air </w:t>
      </w:r>
      <w:proofErr w:type="spellStart"/>
      <w:r w:rsidR="008023C2">
        <w:rPr>
          <w:rFonts w:ascii="Times New Roman" w:hAnsi="Times New Roman"/>
          <w:lang w:val="pt-BR"/>
        </w:rPr>
        <w:t>Products</w:t>
      </w:r>
      <w:proofErr w:type="spellEnd"/>
      <w:r w:rsidR="008023C2">
        <w:rPr>
          <w:rFonts w:ascii="Times New Roman" w:hAnsi="Times New Roman"/>
          <w:lang w:val="pt-BR"/>
        </w:rPr>
        <w:t>) e o monóxido de carbono (</w:t>
      </w:r>
      <w:r w:rsidR="008023C2" w:rsidRPr="00C733D7">
        <w:rPr>
          <w:rFonts w:ascii="Times New Roman" w:hAnsi="Times New Roman"/>
          <w:lang w:val="pt-BR"/>
        </w:rPr>
        <w:t xml:space="preserve">White Martins </w:t>
      </w:r>
      <w:proofErr w:type="spellStart"/>
      <w:r w:rsidR="008023C2" w:rsidRPr="00C733D7">
        <w:rPr>
          <w:rFonts w:ascii="Times New Roman" w:hAnsi="Times New Roman"/>
          <w:lang w:val="pt-BR"/>
        </w:rPr>
        <w:t>Praxair</w:t>
      </w:r>
      <w:proofErr w:type="spellEnd"/>
      <w:r w:rsidR="008023C2" w:rsidRPr="00C733D7">
        <w:rPr>
          <w:rFonts w:ascii="Times New Roman" w:hAnsi="Times New Roman"/>
          <w:lang w:val="pt-BR"/>
        </w:rPr>
        <w:t xml:space="preserve"> Inc.).</w:t>
      </w:r>
    </w:p>
    <w:p w14:paraId="4B7C6621" w14:textId="094FC1D2" w:rsidR="00AA51E2" w:rsidRDefault="00A36491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1-octeno (98%</w:t>
      </w:r>
      <w:r w:rsidR="00AA51E2">
        <w:rPr>
          <w:rFonts w:ascii="Times New Roman" w:hAnsi="Times New Roman"/>
          <w:lang w:val="pt-BR"/>
        </w:rPr>
        <w:t xml:space="preserve">) e o </w:t>
      </w:r>
      <w:r w:rsidR="00AA51E2" w:rsidRPr="005C41E2">
        <w:rPr>
          <w:rFonts w:ascii="Times New Roman" w:hAnsi="Times New Roman"/>
          <w:lang w:val="pt-BR"/>
        </w:rPr>
        <w:t>estireno</w:t>
      </w:r>
      <w:r w:rsidR="005C41E2">
        <w:rPr>
          <w:rFonts w:ascii="Times New Roman" w:hAnsi="Times New Roman"/>
          <w:lang w:val="pt-BR"/>
        </w:rPr>
        <w:t xml:space="preserve"> (</w:t>
      </w:r>
      <w:r>
        <w:rPr>
          <w:rFonts w:ascii="Times New Roman" w:hAnsi="Times New Roman"/>
          <w:lang w:val="pt-BR"/>
        </w:rPr>
        <w:t>99%</w:t>
      </w:r>
      <w:r w:rsidR="005C41E2">
        <w:rPr>
          <w:rFonts w:ascii="Times New Roman" w:hAnsi="Times New Roman"/>
          <w:lang w:val="pt-BR"/>
        </w:rPr>
        <w:t>)</w:t>
      </w:r>
      <w:r w:rsidR="00AA51E2">
        <w:rPr>
          <w:rFonts w:ascii="Times New Roman" w:hAnsi="Times New Roman"/>
          <w:lang w:val="pt-BR"/>
        </w:rPr>
        <w:t xml:space="preserve"> foram utilizados sem tratamento prévio</w:t>
      </w:r>
      <w:r w:rsidR="00476ADE">
        <w:rPr>
          <w:rFonts w:ascii="Times New Roman" w:hAnsi="Times New Roman"/>
          <w:lang w:val="pt-BR"/>
        </w:rPr>
        <w:t>.</w:t>
      </w:r>
      <w:r w:rsidR="00AA51E2">
        <w:rPr>
          <w:rFonts w:ascii="Times New Roman" w:hAnsi="Times New Roman"/>
          <w:lang w:val="pt-BR"/>
        </w:rPr>
        <w:t xml:space="preserve">  Já o álcool perílico (Sigma</w:t>
      </w:r>
      <w:r w:rsidR="00D13ADE">
        <w:rPr>
          <w:rFonts w:ascii="Times New Roman" w:hAnsi="Times New Roman"/>
          <w:lang w:val="pt-BR"/>
        </w:rPr>
        <w:t xml:space="preserve"> Aldrich) foi destilado a vácuo e armazenado sob atmosfera inerte</w:t>
      </w:r>
      <w:r w:rsidR="00AA51E2">
        <w:rPr>
          <w:rFonts w:ascii="Times New Roman" w:hAnsi="Times New Roman"/>
          <w:lang w:val="pt-BR"/>
        </w:rPr>
        <w:t xml:space="preserve">. </w:t>
      </w:r>
      <w:r w:rsidR="00D13ADE" w:rsidRPr="00A36491">
        <w:rPr>
          <w:rFonts w:ascii="Times New Roman" w:hAnsi="Times New Roman"/>
          <w:lang w:val="pt-BR"/>
        </w:rPr>
        <w:t xml:space="preserve">Todos os substratos </w:t>
      </w:r>
      <w:r w:rsidR="00E04E69" w:rsidRPr="00A36491">
        <w:rPr>
          <w:rFonts w:ascii="Times New Roman" w:hAnsi="Times New Roman"/>
          <w:lang w:val="pt-BR"/>
        </w:rPr>
        <w:t>foram obtidos da</w:t>
      </w:r>
      <w:r w:rsidR="00D13ADE" w:rsidRPr="00A36491">
        <w:rPr>
          <w:rFonts w:ascii="Times New Roman" w:hAnsi="Times New Roman"/>
          <w:lang w:val="pt-BR"/>
        </w:rPr>
        <w:t xml:space="preserve"> Sigma-Aldrich.</w:t>
      </w:r>
    </w:p>
    <w:p w14:paraId="34FF9E34" w14:textId="498C7506" w:rsidR="005C41E2" w:rsidRDefault="005C41E2" w:rsidP="006F6ABC">
      <w:pPr>
        <w:pStyle w:val="TAMainText"/>
        <w:rPr>
          <w:rFonts w:ascii="Times New Roman" w:hAnsi="Times New Roman"/>
          <w:lang w:val="pt-BR"/>
        </w:rPr>
      </w:pPr>
      <w:r w:rsidRPr="00A36491">
        <w:rPr>
          <w:rFonts w:ascii="Times New Roman" w:hAnsi="Times New Roman"/>
          <w:lang w:val="pt-BR"/>
        </w:rPr>
        <w:t>O tolue</w:t>
      </w:r>
      <w:r w:rsidR="00DB70EB" w:rsidRPr="00A36491">
        <w:rPr>
          <w:rFonts w:ascii="Times New Roman" w:hAnsi="Times New Roman"/>
          <w:lang w:val="pt-BR"/>
        </w:rPr>
        <w:t>no (anidro, 99,8%</w:t>
      </w:r>
      <w:r w:rsidRPr="00A36491">
        <w:rPr>
          <w:rFonts w:ascii="Times New Roman" w:hAnsi="Times New Roman"/>
          <w:lang w:val="pt-BR"/>
        </w:rPr>
        <w:t>)</w:t>
      </w:r>
      <w:r w:rsidR="00DB70EB" w:rsidRPr="00A36491">
        <w:rPr>
          <w:rFonts w:ascii="Times New Roman" w:hAnsi="Times New Roman"/>
          <w:lang w:val="pt-BR"/>
        </w:rPr>
        <w:t xml:space="preserve"> e o CPME (anidro</w:t>
      </w:r>
      <w:r w:rsidR="00C733D7">
        <w:rPr>
          <w:rFonts w:ascii="Times New Roman" w:hAnsi="Times New Roman"/>
          <w:lang w:val="pt-BR"/>
        </w:rPr>
        <w:t>, ≥99,9%</w:t>
      </w:r>
      <w:r w:rsidRPr="00A36491">
        <w:rPr>
          <w:rFonts w:ascii="Times New Roman" w:hAnsi="Times New Roman"/>
          <w:lang w:val="pt-BR"/>
        </w:rPr>
        <w:t xml:space="preserve">) foram armazenados </w:t>
      </w:r>
      <w:r w:rsidR="00D13ADE" w:rsidRPr="00A36491">
        <w:rPr>
          <w:rFonts w:ascii="Times New Roman" w:hAnsi="Times New Roman"/>
          <w:lang w:val="pt-BR"/>
        </w:rPr>
        <w:t xml:space="preserve">sob atmosfera inerte </w:t>
      </w:r>
      <w:r w:rsidRPr="00A36491">
        <w:rPr>
          <w:rFonts w:ascii="Times New Roman" w:hAnsi="Times New Roman"/>
          <w:lang w:val="pt-BR"/>
        </w:rPr>
        <w:t xml:space="preserve">e utilizados sem tratamento prévio. </w:t>
      </w:r>
      <w:r w:rsidR="00A36491" w:rsidRPr="00A36491">
        <w:rPr>
          <w:rFonts w:ascii="Times New Roman" w:hAnsi="Times New Roman"/>
          <w:lang w:val="pt-BR"/>
        </w:rPr>
        <w:t>O Texanol (mistura de isômeros, 99%)</w:t>
      </w:r>
      <w:r w:rsidR="00A93CE5" w:rsidRPr="00A36491">
        <w:rPr>
          <w:rFonts w:ascii="Times New Roman" w:hAnsi="Times New Roman"/>
          <w:lang w:val="pt-BR"/>
        </w:rPr>
        <w:t>, o</w:t>
      </w:r>
      <w:r w:rsidRPr="00A36491">
        <w:rPr>
          <w:rFonts w:ascii="Times New Roman" w:hAnsi="Times New Roman"/>
          <w:lang w:val="pt-BR"/>
        </w:rPr>
        <w:t xml:space="preserve"> </w:t>
      </w:r>
      <w:r w:rsidR="00993554">
        <w:rPr>
          <w:rFonts w:ascii="Times New Roman" w:hAnsi="Times New Roman"/>
          <w:lang w:val="pt-BR"/>
        </w:rPr>
        <w:t>c</w:t>
      </w:r>
      <w:r w:rsidRPr="00A36491">
        <w:rPr>
          <w:rFonts w:ascii="Times New Roman" w:hAnsi="Times New Roman"/>
          <w:lang w:val="pt-BR"/>
        </w:rPr>
        <w:t>yrene</w:t>
      </w:r>
      <w:r w:rsidRPr="00A36491">
        <w:rPr>
          <w:rFonts w:ascii="Times New Roman" w:hAnsi="Times New Roman"/>
          <w:vertAlign w:val="superscript"/>
          <w:lang w:val="pt-BR"/>
        </w:rPr>
        <w:t>TM</w:t>
      </w:r>
      <w:r w:rsidR="00E04E69" w:rsidRPr="00A36491">
        <w:rPr>
          <w:rFonts w:ascii="Times New Roman" w:hAnsi="Times New Roman"/>
          <w:lang w:val="pt-BR"/>
        </w:rPr>
        <w:t>,</w:t>
      </w:r>
      <w:r w:rsidR="006F6ABC" w:rsidRPr="00A36491">
        <w:rPr>
          <w:rFonts w:ascii="Times New Roman" w:hAnsi="Times New Roman"/>
          <w:lang w:val="pt-BR"/>
        </w:rPr>
        <w:t xml:space="preserve"> o DMI</w:t>
      </w:r>
      <w:r w:rsidR="00A36491">
        <w:rPr>
          <w:rFonts w:ascii="Times New Roman" w:hAnsi="Times New Roman"/>
          <w:lang w:val="pt-BR"/>
        </w:rPr>
        <w:t xml:space="preserve"> </w:t>
      </w:r>
      <w:r w:rsidR="00A36491" w:rsidRPr="00C733D7">
        <w:rPr>
          <w:rFonts w:ascii="Times New Roman" w:hAnsi="Times New Roman"/>
          <w:lang w:val="pt-BR"/>
        </w:rPr>
        <w:t>(</w:t>
      </w:r>
      <w:r w:rsidR="00C733D7" w:rsidRPr="00C733D7">
        <w:rPr>
          <w:rFonts w:ascii="Times New Roman" w:hAnsi="Times New Roman"/>
          <w:lang w:val="pt-BR"/>
        </w:rPr>
        <w:t>≥99%</w:t>
      </w:r>
      <w:r w:rsidR="00A36491" w:rsidRPr="00C733D7">
        <w:rPr>
          <w:rFonts w:ascii="Times New Roman" w:hAnsi="Times New Roman"/>
          <w:lang w:val="pt-BR"/>
        </w:rPr>
        <w:t>)</w:t>
      </w:r>
      <w:r w:rsidR="00D13ADE" w:rsidRPr="00A36491">
        <w:rPr>
          <w:rFonts w:ascii="Times New Roman" w:hAnsi="Times New Roman"/>
          <w:lang w:val="pt-BR"/>
        </w:rPr>
        <w:t xml:space="preserve"> </w:t>
      </w:r>
      <w:r w:rsidR="00E04E69" w:rsidRPr="00A36491">
        <w:rPr>
          <w:rFonts w:ascii="Times New Roman" w:hAnsi="Times New Roman"/>
          <w:lang w:val="pt-BR"/>
        </w:rPr>
        <w:t>e a triacetina</w:t>
      </w:r>
      <w:r w:rsidR="00A36491" w:rsidRPr="00A36491">
        <w:rPr>
          <w:rFonts w:ascii="Times New Roman" w:hAnsi="Times New Roman"/>
          <w:lang w:val="pt-BR"/>
        </w:rPr>
        <w:t xml:space="preserve"> (99%)</w:t>
      </w:r>
      <w:r w:rsidR="00E04E69" w:rsidRPr="00A36491">
        <w:rPr>
          <w:rFonts w:ascii="Times New Roman" w:hAnsi="Times New Roman"/>
          <w:lang w:val="pt-BR"/>
        </w:rPr>
        <w:t xml:space="preserve"> </w:t>
      </w:r>
      <w:r w:rsidR="00D13ADE" w:rsidRPr="00A36491">
        <w:rPr>
          <w:rFonts w:ascii="Times New Roman" w:hAnsi="Times New Roman"/>
          <w:lang w:val="pt-BR"/>
        </w:rPr>
        <w:t>foram</w:t>
      </w:r>
      <w:r w:rsidR="00A93CE5" w:rsidRPr="00A36491">
        <w:rPr>
          <w:rFonts w:ascii="Times New Roman" w:hAnsi="Times New Roman"/>
          <w:lang w:val="pt-BR"/>
        </w:rPr>
        <w:t xml:space="preserve"> </w:t>
      </w:r>
      <w:r w:rsidR="00D13ADE" w:rsidRPr="00A36491">
        <w:rPr>
          <w:rFonts w:ascii="Times New Roman" w:hAnsi="Times New Roman"/>
          <w:lang w:val="pt-BR"/>
        </w:rPr>
        <w:t xml:space="preserve">destilados a vácuo e armazenados </w:t>
      </w:r>
      <w:r w:rsidR="006F6ABC" w:rsidRPr="00A36491">
        <w:rPr>
          <w:rFonts w:ascii="Times New Roman" w:hAnsi="Times New Roman"/>
          <w:lang w:val="pt-BR"/>
        </w:rPr>
        <w:t>sob atmosfera inerte</w:t>
      </w:r>
      <w:r w:rsidR="00D13ADE" w:rsidRPr="00A36491">
        <w:rPr>
          <w:rFonts w:ascii="Times New Roman" w:hAnsi="Times New Roman"/>
          <w:lang w:val="pt-BR"/>
        </w:rPr>
        <w:t xml:space="preserve">. </w:t>
      </w:r>
      <w:r w:rsidR="00E04E69" w:rsidRPr="00A36491">
        <w:rPr>
          <w:rFonts w:ascii="Times New Roman" w:hAnsi="Times New Roman"/>
          <w:lang w:val="pt-BR"/>
        </w:rPr>
        <w:t>Todos os</w:t>
      </w:r>
      <w:r w:rsidR="00BD1BF2">
        <w:rPr>
          <w:rFonts w:ascii="Times New Roman" w:hAnsi="Times New Roman"/>
          <w:lang w:val="pt-BR"/>
        </w:rPr>
        <w:t xml:space="preserve"> reagentes mencionados foram</w:t>
      </w:r>
      <w:r w:rsidR="00E04E69" w:rsidRPr="00A36491">
        <w:rPr>
          <w:rFonts w:ascii="Times New Roman" w:hAnsi="Times New Roman"/>
          <w:lang w:val="pt-BR"/>
        </w:rPr>
        <w:t xml:space="preserve"> obtidos da</w:t>
      </w:r>
      <w:r w:rsidR="00D13ADE" w:rsidRPr="00A36491">
        <w:rPr>
          <w:rFonts w:ascii="Times New Roman" w:hAnsi="Times New Roman"/>
          <w:lang w:val="pt-BR"/>
        </w:rPr>
        <w:t xml:space="preserve"> Sigma-Aldrich.</w:t>
      </w:r>
    </w:p>
    <w:p w14:paraId="206DBCE5" w14:textId="1954C99F" w:rsidR="004327BA" w:rsidRDefault="004327BA" w:rsidP="00EC3538">
      <w:pPr>
        <w:pStyle w:val="TAMainText"/>
        <w:ind w:firstLine="0"/>
        <w:rPr>
          <w:rFonts w:ascii="Times New Roman" w:hAnsi="Times New Roman"/>
          <w:lang w:val="pt-BR"/>
        </w:rPr>
      </w:pPr>
    </w:p>
    <w:p w14:paraId="6758CDA5" w14:textId="26B8CFF1" w:rsidR="00EC3538" w:rsidRDefault="00365C75" w:rsidP="00EC3538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Testes catalíticos</w:t>
      </w:r>
    </w:p>
    <w:p w14:paraId="63127C71" w14:textId="271B0416" w:rsidR="00524A08" w:rsidRDefault="00134FF9" w:rsidP="002D27E9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D27CAB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reagentes</w:t>
      </w:r>
      <w:r w:rsidR="00D27CAB">
        <w:rPr>
          <w:rFonts w:ascii="Times New Roman" w:hAnsi="Times New Roman"/>
          <w:lang w:val="pt-BR"/>
        </w:rPr>
        <w:t xml:space="preserve"> </w:t>
      </w:r>
      <w:r w:rsidR="00E04E69">
        <w:rPr>
          <w:rFonts w:ascii="Times New Roman" w:hAnsi="Times New Roman"/>
          <w:lang w:val="pt-BR"/>
        </w:rPr>
        <w:t xml:space="preserve">foram manipulados sob atmosfera inerte de argônio estabelecida por linha dupla de vácuo/argônio, por meio de uma caixa de luvas ou por vidrarias do tipo </w:t>
      </w:r>
      <w:proofErr w:type="spellStart"/>
      <w:r w:rsidR="00E04E69">
        <w:rPr>
          <w:rFonts w:ascii="Times New Roman" w:hAnsi="Times New Roman"/>
          <w:lang w:val="pt-BR"/>
        </w:rPr>
        <w:t>Schlenk</w:t>
      </w:r>
      <w:proofErr w:type="spellEnd"/>
      <w:r w:rsidR="004327BA">
        <w:rPr>
          <w:rFonts w:ascii="Times New Roman" w:hAnsi="Times New Roman"/>
          <w:lang w:val="pt-BR"/>
        </w:rPr>
        <w:t>.</w:t>
      </w:r>
      <w:r w:rsidR="00524A08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Assim, os componentes da reação armazenados na caixa de luvas eram </w:t>
      </w:r>
      <w:r w:rsidR="00D27CAB">
        <w:rPr>
          <w:rFonts w:ascii="Times New Roman" w:hAnsi="Times New Roman"/>
          <w:lang w:val="pt-BR"/>
        </w:rPr>
        <w:t>os primeiros a serem</w:t>
      </w:r>
      <w:r w:rsidR="001855BE">
        <w:rPr>
          <w:rFonts w:ascii="Times New Roman" w:hAnsi="Times New Roman"/>
          <w:lang w:val="pt-BR"/>
        </w:rPr>
        <w:t xml:space="preserve"> transferidos para o </w:t>
      </w:r>
      <w:proofErr w:type="spellStart"/>
      <w:proofErr w:type="gramStart"/>
      <w:r>
        <w:rPr>
          <w:rFonts w:ascii="Times New Roman" w:hAnsi="Times New Roman"/>
          <w:lang w:val="pt-BR"/>
        </w:rPr>
        <w:t>Schlenk</w:t>
      </w:r>
      <w:proofErr w:type="spellEnd"/>
      <w:r w:rsidR="00D27CAB">
        <w:rPr>
          <w:rFonts w:ascii="Times New Roman" w:hAnsi="Times New Roman"/>
          <w:lang w:val="pt-BR"/>
        </w:rPr>
        <w:t>,</w:t>
      </w:r>
      <w:r w:rsidR="00BD1BF2">
        <w:rPr>
          <w:rFonts w:ascii="Times New Roman" w:hAnsi="Times New Roman"/>
          <w:lang w:val="pt-BR"/>
        </w:rPr>
        <w:t>.</w:t>
      </w:r>
      <w:proofErr w:type="gramEnd"/>
      <w:r w:rsidR="00D27CAB">
        <w:rPr>
          <w:rFonts w:ascii="Times New Roman" w:hAnsi="Times New Roman"/>
          <w:lang w:val="pt-BR"/>
        </w:rPr>
        <w:t xml:space="preserve"> </w:t>
      </w:r>
      <w:r w:rsidR="00BD1BF2">
        <w:rPr>
          <w:rFonts w:ascii="Times New Roman" w:hAnsi="Times New Roman"/>
          <w:lang w:val="pt-BR"/>
        </w:rPr>
        <w:t>E</w:t>
      </w:r>
      <w:r w:rsidR="00D27CAB">
        <w:rPr>
          <w:rFonts w:ascii="Times New Roman" w:hAnsi="Times New Roman"/>
          <w:lang w:val="pt-BR"/>
        </w:rPr>
        <w:t xml:space="preserve">m seguida, o </w:t>
      </w:r>
      <w:proofErr w:type="spellStart"/>
      <w:r w:rsidR="00D27CAB">
        <w:rPr>
          <w:rFonts w:ascii="Times New Roman" w:hAnsi="Times New Roman"/>
          <w:lang w:val="pt-BR"/>
        </w:rPr>
        <w:t>Schlenk</w:t>
      </w:r>
      <w:proofErr w:type="spellEnd"/>
      <w:r w:rsidR="00D27CAB">
        <w:rPr>
          <w:rFonts w:ascii="Times New Roman" w:hAnsi="Times New Roman"/>
          <w:lang w:val="pt-BR"/>
        </w:rPr>
        <w:t xml:space="preserve"> era retirado </w:t>
      </w:r>
      <w:r w:rsidR="00A47C58">
        <w:rPr>
          <w:rFonts w:ascii="Times New Roman" w:hAnsi="Times New Roman"/>
          <w:lang w:val="pt-BR"/>
        </w:rPr>
        <w:t xml:space="preserve">e </w:t>
      </w:r>
      <w:r w:rsidR="00D27CAB">
        <w:rPr>
          <w:rFonts w:ascii="Times New Roman" w:hAnsi="Times New Roman"/>
          <w:lang w:val="pt-BR"/>
        </w:rPr>
        <w:t xml:space="preserve">colocado em linha dupla de vácuo/argônio e </w:t>
      </w:r>
      <w:r w:rsidR="001855BE">
        <w:rPr>
          <w:rFonts w:ascii="Times New Roman" w:hAnsi="Times New Roman"/>
          <w:lang w:val="pt-BR"/>
        </w:rPr>
        <w:t xml:space="preserve">os demais reagentes líquidos que estavam fora </w:t>
      </w:r>
      <w:r w:rsidR="00D27CAB">
        <w:rPr>
          <w:rFonts w:ascii="Times New Roman" w:hAnsi="Times New Roman"/>
          <w:lang w:val="pt-BR"/>
        </w:rPr>
        <w:t>da caixa de luvas eram adicionados.</w:t>
      </w:r>
    </w:p>
    <w:p w14:paraId="759B10CE" w14:textId="51DB8C74" w:rsidR="00524A08" w:rsidRDefault="00D27CAB" w:rsidP="00D27CAB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</w:t>
      </w:r>
      <w:r w:rsidR="001855BE">
        <w:rPr>
          <w:rFonts w:ascii="Times New Roman" w:hAnsi="Times New Roman"/>
          <w:lang w:val="pt-BR"/>
        </w:rPr>
        <w:t xml:space="preserve">m um </w:t>
      </w:r>
      <w:proofErr w:type="spellStart"/>
      <w:r w:rsidR="001855BE">
        <w:rPr>
          <w:rFonts w:ascii="Times New Roman" w:hAnsi="Times New Roman"/>
          <w:lang w:val="pt-BR"/>
        </w:rPr>
        <w:t>Schlenk</w:t>
      </w:r>
      <w:proofErr w:type="spellEnd"/>
      <w:r w:rsidR="001855BE">
        <w:rPr>
          <w:rFonts w:ascii="Times New Roman" w:hAnsi="Times New Roman"/>
          <w:lang w:val="pt-BR"/>
        </w:rPr>
        <w:t>, f</w:t>
      </w:r>
      <w:r w:rsidR="00524A08">
        <w:rPr>
          <w:rFonts w:ascii="Times New Roman" w:hAnsi="Times New Roman"/>
          <w:lang w:val="pt-BR"/>
        </w:rPr>
        <w:t xml:space="preserve">oi preparada uma solução contendo o substrato (8,0 mmol), </w:t>
      </w:r>
      <w:r w:rsidR="002D27E9">
        <w:rPr>
          <w:rFonts w:ascii="Times New Roman" w:hAnsi="Times New Roman"/>
          <w:lang w:val="pt-BR"/>
        </w:rPr>
        <w:t xml:space="preserve">o </w:t>
      </w:r>
      <w:r w:rsidR="00524A08">
        <w:rPr>
          <w:rFonts w:ascii="Times New Roman" w:hAnsi="Times New Roman"/>
          <w:lang w:val="pt-BR"/>
        </w:rPr>
        <w:t xml:space="preserve">padrão interno: </w:t>
      </w:r>
      <w:r w:rsidR="00524A08" w:rsidRPr="005C3579">
        <w:rPr>
          <w:rFonts w:ascii="Times New Roman" w:hAnsi="Times New Roman"/>
          <w:i/>
          <w:iCs/>
          <w:lang w:val="pt-BR"/>
        </w:rPr>
        <w:t>p</w:t>
      </w:r>
      <w:r w:rsidR="00524A08">
        <w:rPr>
          <w:rFonts w:ascii="Times New Roman" w:hAnsi="Times New Roman"/>
          <w:lang w:val="pt-BR"/>
        </w:rPr>
        <w:t xml:space="preserve">-xileno (4 mmol; 490 µL) e </w:t>
      </w:r>
      <w:r w:rsidR="002D27E9">
        <w:rPr>
          <w:rFonts w:ascii="Times New Roman" w:hAnsi="Times New Roman"/>
          <w:lang w:val="pt-BR"/>
        </w:rPr>
        <w:t xml:space="preserve">o </w:t>
      </w:r>
      <w:r w:rsidR="00524A08">
        <w:rPr>
          <w:rFonts w:ascii="Times New Roman" w:hAnsi="Times New Roman"/>
          <w:lang w:val="pt-BR"/>
        </w:rPr>
        <w:t xml:space="preserve">solvente (20 </w:t>
      </w:r>
      <w:proofErr w:type="spellStart"/>
      <w:r w:rsidR="00524A08">
        <w:rPr>
          <w:rFonts w:ascii="Times New Roman" w:hAnsi="Times New Roman"/>
          <w:lang w:val="pt-BR"/>
        </w:rPr>
        <w:t>mL</w:t>
      </w:r>
      <w:proofErr w:type="spellEnd"/>
      <w:r w:rsidR="00524A08">
        <w:rPr>
          <w:rFonts w:ascii="Times New Roman" w:hAnsi="Times New Roman"/>
          <w:lang w:val="pt-BR"/>
        </w:rPr>
        <w:t xml:space="preserve">). </w:t>
      </w:r>
      <w:r w:rsidR="001855BE">
        <w:rPr>
          <w:rFonts w:ascii="Times New Roman" w:hAnsi="Times New Roman"/>
          <w:lang w:val="pt-BR"/>
        </w:rPr>
        <w:t xml:space="preserve">Essa solução </w:t>
      </w:r>
      <w:r w:rsidR="00BD1BF2">
        <w:rPr>
          <w:rFonts w:ascii="Times New Roman" w:hAnsi="Times New Roman"/>
          <w:lang w:val="pt-BR"/>
        </w:rPr>
        <w:t xml:space="preserve">foi </w:t>
      </w:r>
      <w:r w:rsidR="001855BE">
        <w:rPr>
          <w:rFonts w:ascii="Times New Roman" w:hAnsi="Times New Roman"/>
          <w:lang w:val="pt-BR"/>
        </w:rPr>
        <w:t>agitada a fim de que os r</w:t>
      </w:r>
      <w:r w:rsidR="00DC0CE4">
        <w:rPr>
          <w:rFonts w:ascii="Times New Roman" w:hAnsi="Times New Roman"/>
          <w:lang w:val="pt-BR"/>
        </w:rPr>
        <w:t>eagentes solubilizassem</w:t>
      </w:r>
      <w:r w:rsidR="001855BE">
        <w:rPr>
          <w:rFonts w:ascii="Times New Roman" w:hAnsi="Times New Roman"/>
          <w:lang w:val="pt-BR"/>
        </w:rPr>
        <w:t xml:space="preserve">. </w:t>
      </w:r>
      <w:r w:rsidR="00BD1BF2">
        <w:rPr>
          <w:rFonts w:ascii="Times New Roman" w:hAnsi="Times New Roman"/>
          <w:lang w:val="pt-BR"/>
        </w:rPr>
        <w:t>O</w:t>
      </w:r>
      <w:r w:rsidR="00524A08">
        <w:rPr>
          <w:rFonts w:ascii="Times New Roman" w:hAnsi="Times New Roman"/>
          <w:lang w:val="pt-BR"/>
        </w:rPr>
        <w:t xml:space="preserve"> precursor catalítico [Rh(</w:t>
      </w:r>
      <w:proofErr w:type="spellStart"/>
      <w:r w:rsidR="00524A08">
        <w:rPr>
          <w:rFonts w:ascii="Times New Roman" w:hAnsi="Times New Roman"/>
          <w:lang w:val="pt-BR"/>
        </w:rPr>
        <w:t>acac</w:t>
      </w:r>
      <w:proofErr w:type="spellEnd"/>
      <w:proofErr w:type="gramStart"/>
      <w:r w:rsidR="00524A08">
        <w:rPr>
          <w:rFonts w:ascii="Times New Roman" w:hAnsi="Times New Roman"/>
          <w:lang w:val="pt-BR"/>
        </w:rPr>
        <w:t>)(</w:t>
      </w:r>
      <w:proofErr w:type="gramEnd"/>
      <w:r w:rsidR="00524A08">
        <w:rPr>
          <w:rFonts w:ascii="Times New Roman" w:hAnsi="Times New Roman"/>
          <w:lang w:val="pt-BR"/>
        </w:rPr>
        <w:t>CO</w:t>
      </w:r>
      <w:r w:rsidR="00524A08">
        <w:rPr>
          <w:rFonts w:ascii="Times New Roman" w:hAnsi="Times New Roman"/>
          <w:vertAlign w:val="subscript"/>
          <w:lang w:val="pt-BR"/>
        </w:rPr>
        <w:t>2</w:t>
      </w:r>
      <w:r w:rsidR="00524A08">
        <w:rPr>
          <w:rFonts w:ascii="Times New Roman" w:hAnsi="Times New Roman"/>
          <w:lang w:val="pt-BR"/>
        </w:rPr>
        <w:t>)] (10 µmol; 2,58 mg) e o ligante: PPh</w:t>
      </w:r>
      <w:r w:rsidR="00524A08">
        <w:rPr>
          <w:rFonts w:ascii="Times New Roman" w:hAnsi="Times New Roman"/>
          <w:vertAlign w:val="subscript"/>
          <w:lang w:val="pt-BR"/>
        </w:rPr>
        <w:t>3</w:t>
      </w:r>
      <w:r w:rsidR="00524A08">
        <w:rPr>
          <w:rFonts w:ascii="Times New Roman" w:hAnsi="Times New Roman"/>
          <w:lang w:val="pt-BR"/>
        </w:rPr>
        <w:t xml:space="preserve"> (100 µ</w:t>
      </w:r>
      <w:r w:rsidR="002D27E9">
        <w:rPr>
          <w:rFonts w:ascii="Times New Roman" w:hAnsi="Times New Roman"/>
          <w:lang w:val="pt-BR"/>
        </w:rPr>
        <w:t>mol; 26,23 mg)</w:t>
      </w:r>
      <w:r w:rsidR="00524A08">
        <w:rPr>
          <w:rFonts w:ascii="Times New Roman" w:hAnsi="Times New Roman"/>
          <w:lang w:val="pt-BR"/>
        </w:rPr>
        <w:t xml:space="preserve"> foram transferidos para o reator contendo uma barra magnética</w:t>
      </w:r>
      <w:r w:rsidR="002D27E9">
        <w:rPr>
          <w:rFonts w:ascii="Times New Roman" w:hAnsi="Times New Roman"/>
          <w:lang w:val="pt-BR"/>
        </w:rPr>
        <w:t>, o qual foi fechado</w:t>
      </w:r>
      <w:r w:rsidR="00A47C58">
        <w:rPr>
          <w:rFonts w:ascii="Times New Roman" w:hAnsi="Times New Roman"/>
          <w:lang w:val="pt-BR"/>
        </w:rPr>
        <w:t>.</w:t>
      </w:r>
      <w:r w:rsidR="00DB70E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O reator utilizado é</w:t>
      </w:r>
      <w:r w:rsidRPr="00D13ADE">
        <w:rPr>
          <w:rFonts w:ascii="Times New Roman" w:hAnsi="Times New Roman"/>
          <w:lang w:val="pt-BR"/>
        </w:rPr>
        <w:t xml:space="preserve"> uma autoclave de fabricação própria, feita de aço inox, com capacidade de 100 </w:t>
      </w:r>
      <w:proofErr w:type="spellStart"/>
      <w:r w:rsidRPr="00D13ADE">
        <w:rPr>
          <w:rFonts w:ascii="Times New Roman" w:hAnsi="Times New Roman"/>
          <w:lang w:val="pt-BR"/>
        </w:rPr>
        <w:t>mL</w:t>
      </w:r>
      <w:proofErr w:type="spellEnd"/>
      <w:r w:rsidRPr="00D13ADE">
        <w:rPr>
          <w:rFonts w:ascii="Times New Roman" w:hAnsi="Times New Roman"/>
          <w:lang w:val="pt-BR"/>
        </w:rPr>
        <w:t xml:space="preserve"> e contendo amostrador para coleta de alíquotas.</w:t>
      </w:r>
      <w:r>
        <w:rPr>
          <w:rFonts w:ascii="Times New Roman" w:hAnsi="Times New Roman"/>
          <w:lang w:val="pt-BR"/>
        </w:rPr>
        <w:t xml:space="preserve"> </w:t>
      </w:r>
      <w:r w:rsidR="002D27E9">
        <w:rPr>
          <w:rFonts w:ascii="Times New Roman" w:hAnsi="Times New Roman"/>
          <w:lang w:val="pt-BR"/>
        </w:rPr>
        <w:t xml:space="preserve">Em seguida, </w:t>
      </w:r>
      <w:r>
        <w:rPr>
          <w:rFonts w:ascii="Times New Roman" w:hAnsi="Times New Roman"/>
          <w:lang w:val="pt-BR"/>
        </w:rPr>
        <w:t>esse</w:t>
      </w:r>
      <w:r w:rsidR="002D27E9">
        <w:rPr>
          <w:rFonts w:ascii="Times New Roman" w:hAnsi="Times New Roman"/>
          <w:lang w:val="pt-BR"/>
        </w:rPr>
        <w:t xml:space="preserve"> reator foi colocado sob atmosfera inerte e, com o auxílio de uma seringa, a solução preparada no </w:t>
      </w:r>
      <w:proofErr w:type="spellStart"/>
      <w:r w:rsidR="002D27E9">
        <w:rPr>
          <w:rFonts w:ascii="Times New Roman" w:hAnsi="Times New Roman"/>
          <w:lang w:val="pt-BR"/>
        </w:rPr>
        <w:t>Schlenk</w:t>
      </w:r>
      <w:proofErr w:type="spellEnd"/>
      <w:r w:rsidR="002D27E9">
        <w:rPr>
          <w:rFonts w:ascii="Times New Roman" w:hAnsi="Times New Roman"/>
          <w:lang w:val="pt-BR"/>
        </w:rPr>
        <w:t xml:space="preserve"> fo</w:t>
      </w:r>
      <w:r>
        <w:rPr>
          <w:rFonts w:ascii="Times New Roman" w:hAnsi="Times New Roman"/>
          <w:lang w:val="pt-BR"/>
        </w:rPr>
        <w:t>i transferi</w:t>
      </w:r>
      <w:r w:rsidR="00A47C58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 xml:space="preserve">a para </w:t>
      </w:r>
      <w:r w:rsidR="00BD1BF2">
        <w:rPr>
          <w:rFonts w:ascii="Times New Roman" w:hAnsi="Times New Roman"/>
          <w:lang w:val="pt-BR"/>
        </w:rPr>
        <w:t>o reator</w:t>
      </w:r>
      <w:r w:rsidR="002D27E9">
        <w:rPr>
          <w:rFonts w:ascii="Times New Roman" w:hAnsi="Times New Roman"/>
          <w:lang w:val="pt-BR"/>
        </w:rPr>
        <w:t>.</w:t>
      </w:r>
    </w:p>
    <w:p w14:paraId="0A2D255D" w14:textId="579DDCDA" w:rsidR="001855BE" w:rsidRDefault="001855BE" w:rsidP="00A0181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Na sequência, o reator foi pressurizado com o gás de síntese (H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/CO) em proporção igual a 1:1 (20-40 </w:t>
      </w:r>
      <w:r w:rsidR="00DC0CE4">
        <w:rPr>
          <w:rFonts w:ascii="Times New Roman" w:hAnsi="Times New Roman"/>
          <w:lang w:val="pt-BR"/>
        </w:rPr>
        <w:t>bar</w:t>
      </w:r>
      <w:r>
        <w:rPr>
          <w:rFonts w:ascii="Times New Roman" w:hAnsi="Times New Roman"/>
          <w:lang w:val="pt-BR"/>
        </w:rPr>
        <w:t>).</w:t>
      </w:r>
      <w:r w:rsidR="00A0181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 solução foi mantida sob agitação magnética (700 rpm) e aquecimento (80 ºC) constante. Para o acompanhamento da reação, foram retiradas alíquotas</w:t>
      </w:r>
      <w:r w:rsidR="00BD1BF2">
        <w:rPr>
          <w:rFonts w:ascii="Times New Roman" w:hAnsi="Times New Roman"/>
          <w:lang w:val="pt-BR"/>
        </w:rPr>
        <w:t xml:space="preserve"> periódicas</w:t>
      </w:r>
      <w:r>
        <w:rPr>
          <w:rFonts w:ascii="Times New Roman" w:hAnsi="Times New Roman"/>
          <w:lang w:val="pt-BR"/>
        </w:rPr>
        <w:t>.</w:t>
      </w:r>
      <w:r w:rsidR="008E5D2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Ao término do tempo, o reator foi resfriado</w:t>
      </w:r>
      <w:r w:rsidR="008E5D2B">
        <w:rPr>
          <w:rFonts w:ascii="Times New Roman" w:hAnsi="Times New Roman"/>
          <w:lang w:val="pt-BR"/>
        </w:rPr>
        <w:t xml:space="preserve"> </w:t>
      </w:r>
      <w:r w:rsidR="00CE08CB">
        <w:rPr>
          <w:rFonts w:ascii="Times New Roman" w:hAnsi="Times New Roman"/>
          <w:lang w:val="pt-BR"/>
        </w:rPr>
        <w:t>até a temperatura ambiente</w:t>
      </w:r>
      <w:r>
        <w:rPr>
          <w:rFonts w:ascii="Times New Roman" w:hAnsi="Times New Roman"/>
          <w:lang w:val="pt-BR"/>
        </w:rPr>
        <w:t xml:space="preserve"> e despressurizado </w:t>
      </w:r>
      <w:r w:rsidR="008E5D2B">
        <w:rPr>
          <w:rFonts w:ascii="Times New Roman" w:hAnsi="Times New Roman"/>
          <w:lang w:val="pt-BR"/>
        </w:rPr>
        <w:t>dentro da</w:t>
      </w:r>
      <w:r>
        <w:rPr>
          <w:rFonts w:ascii="Times New Roman" w:hAnsi="Times New Roman"/>
          <w:lang w:val="pt-BR"/>
        </w:rPr>
        <w:t xml:space="preserve"> capela.</w:t>
      </w:r>
      <w:r w:rsidR="00A01817">
        <w:rPr>
          <w:rFonts w:ascii="Times New Roman" w:hAnsi="Times New Roman"/>
          <w:lang w:val="pt-BR"/>
        </w:rPr>
        <w:t xml:space="preserve"> </w:t>
      </w:r>
      <w:r w:rsidR="003D04FF">
        <w:rPr>
          <w:rFonts w:ascii="Times New Roman" w:hAnsi="Times New Roman"/>
          <w:lang w:val="pt-BR"/>
        </w:rPr>
        <w:t>Devido às periculosidades associadas ao</w:t>
      </w:r>
      <w:r w:rsidR="00A01817">
        <w:rPr>
          <w:rFonts w:ascii="Times New Roman" w:hAnsi="Times New Roman"/>
          <w:lang w:val="pt-BR"/>
        </w:rPr>
        <w:t xml:space="preserve"> gás hidrogênio (H</w:t>
      </w:r>
      <w:r w:rsidR="00A01817">
        <w:rPr>
          <w:rFonts w:ascii="Times New Roman" w:hAnsi="Times New Roman"/>
          <w:vertAlign w:val="subscript"/>
          <w:lang w:val="pt-BR"/>
        </w:rPr>
        <w:t>2</w:t>
      </w:r>
      <w:r w:rsidR="00A01817">
        <w:rPr>
          <w:rFonts w:ascii="Times New Roman" w:hAnsi="Times New Roman"/>
          <w:lang w:val="pt-BR"/>
        </w:rPr>
        <w:t>)</w:t>
      </w:r>
      <w:r w:rsidR="003D04FF">
        <w:rPr>
          <w:rFonts w:ascii="Times New Roman" w:hAnsi="Times New Roman"/>
          <w:lang w:val="pt-BR"/>
        </w:rPr>
        <w:t xml:space="preserve"> e</w:t>
      </w:r>
      <w:r w:rsidR="00A01817">
        <w:rPr>
          <w:rFonts w:ascii="Times New Roman" w:hAnsi="Times New Roman"/>
          <w:lang w:val="pt-BR"/>
        </w:rPr>
        <w:t xml:space="preserve"> </w:t>
      </w:r>
      <w:r w:rsidR="003D04FF">
        <w:rPr>
          <w:rFonts w:ascii="Times New Roman" w:hAnsi="Times New Roman"/>
          <w:lang w:val="pt-BR"/>
        </w:rPr>
        <w:t>a</w:t>
      </w:r>
      <w:r w:rsidR="00A01817">
        <w:rPr>
          <w:rFonts w:ascii="Times New Roman" w:hAnsi="Times New Roman"/>
          <w:lang w:val="pt-BR"/>
        </w:rPr>
        <w:t xml:space="preserve">o monóxido de carbono (CO), </w:t>
      </w:r>
      <w:r w:rsidR="00E1761F">
        <w:rPr>
          <w:rFonts w:ascii="Times New Roman" w:hAnsi="Times New Roman"/>
          <w:lang w:val="pt-BR"/>
        </w:rPr>
        <w:t>os processos citados</w:t>
      </w:r>
      <w:r w:rsidR="00A01817">
        <w:rPr>
          <w:rFonts w:ascii="Times New Roman" w:hAnsi="Times New Roman"/>
          <w:lang w:val="pt-BR"/>
        </w:rPr>
        <w:t xml:space="preserve"> </w:t>
      </w:r>
      <w:r w:rsidR="00760E22">
        <w:rPr>
          <w:rFonts w:ascii="Times New Roman" w:hAnsi="Times New Roman"/>
          <w:lang w:val="pt-BR"/>
        </w:rPr>
        <w:t>foram</w:t>
      </w:r>
      <w:r w:rsidR="003D04FF">
        <w:rPr>
          <w:rFonts w:ascii="Times New Roman" w:hAnsi="Times New Roman"/>
          <w:lang w:val="pt-BR"/>
        </w:rPr>
        <w:t xml:space="preserve"> realizado</w:t>
      </w:r>
      <w:r w:rsidR="00A01817">
        <w:rPr>
          <w:rFonts w:ascii="Times New Roman" w:hAnsi="Times New Roman"/>
          <w:lang w:val="pt-BR"/>
        </w:rPr>
        <w:t xml:space="preserve">s seguindo o protocolo de segurança do grupo. </w:t>
      </w:r>
    </w:p>
    <w:p w14:paraId="2C67E640" w14:textId="112704F9" w:rsidR="00E1761F" w:rsidRPr="00A83E95" w:rsidRDefault="008E5D2B" w:rsidP="00A0181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</w:t>
      </w:r>
      <w:r w:rsidR="00E1761F">
        <w:rPr>
          <w:rFonts w:ascii="Times New Roman" w:hAnsi="Times New Roman"/>
          <w:lang w:val="pt-BR"/>
        </w:rPr>
        <w:t>análises cromatográficas</w:t>
      </w:r>
      <w:r>
        <w:rPr>
          <w:rFonts w:ascii="Times New Roman" w:hAnsi="Times New Roman"/>
          <w:lang w:val="pt-BR"/>
        </w:rPr>
        <w:t xml:space="preserve"> foram realizadas utilizando um cromatógrafo a gás</w:t>
      </w:r>
      <w:r w:rsidR="00F17785">
        <w:rPr>
          <w:rFonts w:ascii="Times New Roman" w:hAnsi="Times New Roman"/>
          <w:lang w:val="pt-BR"/>
        </w:rPr>
        <w:t xml:space="preserve"> (CG)</w:t>
      </w:r>
      <w:r>
        <w:rPr>
          <w:rFonts w:ascii="Times New Roman" w:hAnsi="Times New Roman"/>
          <w:lang w:val="pt-BR"/>
        </w:rPr>
        <w:t xml:space="preserve"> </w:t>
      </w:r>
      <w:proofErr w:type="spellStart"/>
      <w:r w:rsidRPr="008E5D2B">
        <w:rPr>
          <w:rFonts w:ascii="Times New Roman" w:hAnsi="Times New Roman"/>
          <w:i/>
          <w:lang w:val="pt-BR"/>
        </w:rPr>
        <w:t>Shimadzu</w:t>
      </w:r>
      <w:proofErr w:type="spellEnd"/>
      <w:r>
        <w:rPr>
          <w:rFonts w:ascii="Times New Roman" w:hAnsi="Times New Roman"/>
          <w:i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modelo GC-2010, equipado com coluna capilar apolar </w:t>
      </w:r>
      <w:proofErr w:type="spellStart"/>
      <w:r>
        <w:rPr>
          <w:rFonts w:ascii="Times New Roman" w:hAnsi="Times New Roman"/>
          <w:lang w:val="pt-BR"/>
        </w:rPr>
        <w:t>Rtx</w:t>
      </w:r>
      <w:proofErr w:type="spellEnd"/>
      <w:r>
        <w:rPr>
          <w:rFonts w:ascii="Times New Roman" w:hAnsi="Times New Roman"/>
          <w:lang w:val="pt-BR"/>
        </w:rPr>
        <w:t xml:space="preserve">®-5MS e detector de chamas (FID). </w:t>
      </w:r>
    </w:p>
    <w:p w14:paraId="37292D84" w14:textId="77777777" w:rsidR="00AA51E2" w:rsidRDefault="00AA51E2" w:rsidP="00D27CAB">
      <w:pPr>
        <w:pStyle w:val="TAMainText"/>
        <w:ind w:firstLine="0"/>
        <w:rPr>
          <w:rFonts w:ascii="Times New Roman" w:hAnsi="Times New Roman"/>
          <w:lang w:val="pt-BR"/>
        </w:rPr>
      </w:pPr>
    </w:p>
    <w:p w14:paraId="1422002D" w14:textId="1BFAFFAF" w:rsidR="00760E22" w:rsidRPr="00EE5A51" w:rsidRDefault="00EA4E1B" w:rsidP="00EE5A51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4A9D027" w14:textId="0AF0F1C2" w:rsidR="006B638A" w:rsidRDefault="00F4198A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reações de hidroformilação foram realizadas utilizando o [Rh(</w:t>
      </w:r>
      <w:proofErr w:type="spellStart"/>
      <w:r>
        <w:rPr>
          <w:rFonts w:ascii="Times New Roman" w:hAnsi="Times New Roman"/>
          <w:lang w:val="pt-BR"/>
        </w:rPr>
        <w:t>acac</w:t>
      </w:r>
      <w:proofErr w:type="spellEnd"/>
      <w:proofErr w:type="gramStart"/>
      <w:r>
        <w:rPr>
          <w:rFonts w:ascii="Times New Roman" w:hAnsi="Times New Roman"/>
          <w:lang w:val="pt-BR"/>
        </w:rPr>
        <w:t>)(</w:t>
      </w:r>
      <w:proofErr w:type="gramEnd"/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2</w:t>
      </w:r>
      <w:r w:rsidR="00741744">
        <w:rPr>
          <w:rFonts w:ascii="Times New Roman" w:hAnsi="Times New Roman"/>
          <w:lang w:val="pt-BR"/>
        </w:rPr>
        <w:t>)] como precursor catalítico e</w:t>
      </w:r>
      <w:r>
        <w:rPr>
          <w:rFonts w:ascii="Times New Roman" w:hAnsi="Times New Roman"/>
          <w:lang w:val="pt-BR"/>
        </w:rPr>
        <w:t xml:space="preserve"> a PPh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como </w:t>
      </w:r>
      <w:r w:rsidR="00FB1A07">
        <w:rPr>
          <w:rFonts w:ascii="Times New Roman" w:hAnsi="Times New Roman"/>
          <w:lang w:val="pt-BR"/>
        </w:rPr>
        <w:t>ligante</w:t>
      </w:r>
      <w:r>
        <w:rPr>
          <w:rFonts w:ascii="Times New Roman" w:hAnsi="Times New Roman"/>
          <w:lang w:val="pt-BR"/>
        </w:rPr>
        <w:t>. O tolueno e o texanol</w:t>
      </w:r>
      <w:r w:rsidR="00993554">
        <w:rPr>
          <w:rFonts w:ascii="Times New Roman" w:hAnsi="Times New Roman"/>
          <w:lang w:val="pt-BR"/>
        </w:rPr>
        <w:t>™</w:t>
      </w:r>
      <w:r>
        <w:rPr>
          <w:rFonts w:ascii="Times New Roman" w:hAnsi="Times New Roman"/>
          <w:lang w:val="pt-BR"/>
        </w:rPr>
        <w:t xml:space="preserve"> foram utilizados como solventes de referência por apresentar</w:t>
      </w:r>
      <w:r w:rsidR="00FB1A07">
        <w:rPr>
          <w:rFonts w:ascii="Times New Roman" w:hAnsi="Times New Roman"/>
          <w:lang w:val="pt-BR"/>
        </w:rPr>
        <w:t>em</w:t>
      </w:r>
      <w:r>
        <w:rPr>
          <w:rFonts w:ascii="Times New Roman" w:hAnsi="Times New Roman"/>
          <w:lang w:val="pt-BR"/>
        </w:rPr>
        <w:t xml:space="preserve"> alta eficiência</w:t>
      </w:r>
      <w:r w:rsidR="00FB1A07">
        <w:rPr>
          <w:rFonts w:ascii="Times New Roman" w:hAnsi="Times New Roman"/>
          <w:lang w:val="pt-BR"/>
        </w:rPr>
        <w:t>,</w:t>
      </w:r>
      <w:r w:rsidR="00C0524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baixo custo,</w:t>
      </w:r>
      <w:r w:rsidR="00FB1A07">
        <w:rPr>
          <w:rFonts w:ascii="Times New Roman" w:hAnsi="Times New Roman"/>
          <w:lang w:val="pt-BR"/>
        </w:rPr>
        <w:t xml:space="preserve"> e</w:t>
      </w:r>
      <w:r w:rsidR="006B638A">
        <w:rPr>
          <w:rFonts w:ascii="Times New Roman" w:hAnsi="Times New Roman"/>
          <w:lang w:val="pt-BR"/>
        </w:rPr>
        <w:t xml:space="preserve"> ser</w:t>
      </w:r>
      <w:r w:rsidR="00FB1A07">
        <w:rPr>
          <w:rFonts w:ascii="Times New Roman" w:hAnsi="Times New Roman"/>
          <w:lang w:val="pt-BR"/>
        </w:rPr>
        <w:t>em</w:t>
      </w:r>
      <w:r w:rsidR="006B638A">
        <w:rPr>
          <w:rFonts w:ascii="Times New Roman" w:hAnsi="Times New Roman"/>
          <w:lang w:val="pt-BR"/>
        </w:rPr>
        <w:t xml:space="preserve"> utilizado</w:t>
      </w:r>
      <w:r w:rsidR="00FB1A07">
        <w:rPr>
          <w:rFonts w:ascii="Times New Roman" w:hAnsi="Times New Roman"/>
          <w:lang w:val="pt-BR"/>
        </w:rPr>
        <w:t>s</w:t>
      </w:r>
      <w:r w:rsidR="006B638A">
        <w:rPr>
          <w:rFonts w:ascii="Times New Roman" w:hAnsi="Times New Roman"/>
          <w:lang w:val="pt-BR"/>
        </w:rPr>
        <w:t xml:space="preserve"> na indústria química</w:t>
      </w:r>
      <w:r w:rsidR="00C733D7">
        <w:rPr>
          <w:rFonts w:ascii="Times New Roman" w:hAnsi="Times New Roman"/>
          <w:lang w:val="pt-BR"/>
        </w:rPr>
        <w:t xml:space="preserve"> </w:t>
      </w:r>
      <w:r w:rsidR="00134FF9">
        <w:rPr>
          <w:rFonts w:ascii="Times New Roman" w:hAnsi="Times New Roman"/>
          <w:lang w:val="pt-BR"/>
        </w:rPr>
        <w:t>(16</w:t>
      </w:r>
      <w:r w:rsidR="00F305FA">
        <w:rPr>
          <w:rFonts w:ascii="Times New Roman" w:hAnsi="Times New Roman"/>
          <w:lang w:val="pt-BR"/>
        </w:rPr>
        <w:t>)</w:t>
      </w:r>
      <w:r w:rsidR="006B638A">
        <w:rPr>
          <w:rFonts w:ascii="Times New Roman" w:hAnsi="Times New Roman"/>
          <w:lang w:val="pt-BR"/>
        </w:rPr>
        <w:t xml:space="preserve">. Os potenciais solventes comerciais sustentáveis </w:t>
      </w:r>
      <w:r w:rsidR="004316AF">
        <w:rPr>
          <w:rFonts w:ascii="Times New Roman" w:hAnsi="Times New Roman"/>
          <w:lang w:val="pt-BR"/>
        </w:rPr>
        <w:t>que foram testados na</w:t>
      </w:r>
      <w:r w:rsidR="006B638A">
        <w:rPr>
          <w:rFonts w:ascii="Times New Roman" w:hAnsi="Times New Roman"/>
          <w:lang w:val="pt-BR"/>
        </w:rPr>
        <w:t xml:space="preserve"> hid</w:t>
      </w:r>
      <w:r w:rsidR="00582A87">
        <w:rPr>
          <w:rFonts w:ascii="Times New Roman" w:hAnsi="Times New Roman"/>
          <w:lang w:val="pt-BR"/>
        </w:rPr>
        <w:t xml:space="preserve">roformilação de olefinas são: o </w:t>
      </w:r>
      <w:r w:rsidR="00FB1A07">
        <w:rPr>
          <w:rFonts w:ascii="Times New Roman" w:hAnsi="Times New Roman"/>
          <w:lang w:val="pt-BR"/>
        </w:rPr>
        <w:t>CPME</w:t>
      </w:r>
      <w:r w:rsidR="00582A87">
        <w:rPr>
          <w:rFonts w:ascii="Times New Roman" w:hAnsi="Times New Roman"/>
          <w:lang w:val="pt-BR"/>
        </w:rPr>
        <w:t xml:space="preserve">, o </w:t>
      </w:r>
      <w:r w:rsidR="00FB1A07">
        <w:rPr>
          <w:rFonts w:ascii="Times New Roman" w:hAnsi="Times New Roman"/>
          <w:lang w:val="pt-BR"/>
        </w:rPr>
        <w:t>DMI</w:t>
      </w:r>
      <w:r w:rsidR="00582A87">
        <w:rPr>
          <w:rFonts w:ascii="Times New Roman" w:hAnsi="Times New Roman"/>
          <w:lang w:val="pt-BR"/>
        </w:rPr>
        <w:t xml:space="preserve">, o </w:t>
      </w:r>
      <w:r w:rsidR="00993554">
        <w:rPr>
          <w:rFonts w:ascii="Times New Roman" w:hAnsi="Times New Roman"/>
          <w:lang w:val="pt-BR"/>
        </w:rPr>
        <w:t>c</w:t>
      </w:r>
      <w:r w:rsidR="006B638A">
        <w:rPr>
          <w:rFonts w:ascii="Times New Roman" w:hAnsi="Times New Roman"/>
          <w:lang w:val="pt-BR"/>
        </w:rPr>
        <w:t>yrene</w:t>
      </w:r>
      <w:r w:rsidR="006B638A">
        <w:rPr>
          <w:rFonts w:ascii="Times New Roman" w:hAnsi="Times New Roman"/>
          <w:vertAlign w:val="superscript"/>
          <w:lang w:val="pt-BR"/>
        </w:rPr>
        <w:t>TM</w:t>
      </w:r>
      <w:r w:rsidR="006B638A">
        <w:rPr>
          <w:rFonts w:ascii="Times New Roman" w:hAnsi="Times New Roman"/>
          <w:lang w:val="pt-BR"/>
        </w:rPr>
        <w:t xml:space="preserve">, </w:t>
      </w:r>
      <w:r w:rsidR="00582A87">
        <w:rPr>
          <w:rFonts w:ascii="Times New Roman" w:hAnsi="Times New Roman"/>
          <w:lang w:val="pt-BR"/>
        </w:rPr>
        <w:t xml:space="preserve">e o </w:t>
      </w:r>
      <w:proofErr w:type="spellStart"/>
      <w:r w:rsidR="00582A87">
        <w:rPr>
          <w:rFonts w:ascii="Times New Roman" w:hAnsi="Times New Roman"/>
          <w:lang w:val="pt-BR"/>
        </w:rPr>
        <w:t>triacetato</w:t>
      </w:r>
      <w:proofErr w:type="spellEnd"/>
      <w:r w:rsidR="006B638A">
        <w:rPr>
          <w:rFonts w:ascii="Times New Roman" w:hAnsi="Times New Roman"/>
          <w:lang w:val="pt-BR"/>
        </w:rPr>
        <w:t xml:space="preserve"> de glicerina</w:t>
      </w:r>
      <w:r w:rsidR="00C5467C">
        <w:rPr>
          <w:rFonts w:ascii="Times New Roman" w:hAnsi="Times New Roman"/>
          <w:lang w:val="pt-BR"/>
        </w:rPr>
        <w:t xml:space="preserve"> (</w:t>
      </w:r>
      <w:r w:rsidR="004D2BAE">
        <w:rPr>
          <w:rFonts w:ascii="Times New Roman" w:hAnsi="Times New Roman"/>
          <w:lang w:val="pt-BR"/>
        </w:rPr>
        <w:t>Figura 1</w:t>
      </w:r>
      <w:r w:rsidR="00C5467C">
        <w:rPr>
          <w:rFonts w:ascii="Times New Roman" w:hAnsi="Times New Roman"/>
          <w:lang w:val="pt-BR"/>
        </w:rPr>
        <w:t>)</w:t>
      </w:r>
      <w:r w:rsidR="004D2BAE">
        <w:rPr>
          <w:rFonts w:ascii="Times New Roman" w:hAnsi="Times New Roman"/>
          <w:lang w:val="pt-BR"/>
        </w:rPr>
        <w:t>.</w:t>
      </w:r>
      <w:r w:rsidR="006B638A">
        <w:rPr>
          <w:rFonts w:ascii="Times New Roman" w:hAnsi="Times New Roman"/>
          <w:lang w:val="pt-BR"/>
        </w:rPr>
        <w:t xml:space="preserve"> </w:t>
      </w:r>
    </w:p>
    <w:p w14:paraId="2CA5A381" w14:textId="77777777" w:rsidR="00466416" w:rsidRDefault="00466416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1E2B905" w14:textId="3B05FADC" w:rsidR="00466416" w:rsidRDefault="00466416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72F9347" w14:textId="353C9179" w:rsidR="00EE5A51" w:rsidRDefault="00E23A91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821118" wp14:editId="3E0D9107">
                <wp:simplePos x="0" y="0"/>
                <wp:positionH relativeFrom="column">
                  <wp:posOffset>49530</wp:posOffset>
                </wp:positionH>
                <wp:positionV relativeFrom="paragraph">
                  <wp:posOffset>2877185</wp:posOffset>
                </wp:positionV>
                <wp:extent cx="3027680" cy="635"/>
                <wp:effectExtent l="0" t="0" r="1270" b="3175"/>
                <wp:wrapTopAndBottom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037CB" w14:textId="6FF9A638" w:rsidR="004D2BAE" w:rsidRPr="00D304A4" w:rsidRDefault="004D2BAE" w:rsidP="00E23A91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 w:rsidR="008015C7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Estrutura dos solventes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2111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3.9pt;margin-top:226.55pt;width:238.4pt;height: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" stroked="f">
                <v:textbox style="mso-fit-shape-to-text:t" inset="0,0,0,0">
                  <w:txbxContent>
                    <w:p w14:paraId="172037CB" w14:textId="6FF9A638" w:rsidR="004D2BAE" w:rsidRPr="00D304A4" w:rsidRDefault="004D2BAE" w:rsidP="00E23A91">
                      <w:pPr>
                        <w:pStyle w:val="Legenda"/>
                        <w:jc w:val="center"/>
                        <w:rPr>
                          <w:rFonts w:ascii="Times New Roman" w:hAnsi="Times New Roman"/>
                          <w:noProof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 w:rsidR="008015C7">
                          <w:rPr>
                            <w:noProof/>
                          </w:rPr>
                          <w:t>1</w:t>
                        </w:r>
                      </w:fldSimple>
                      <w:r>
                        <w:t>. Estrutura dos solventes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32128" behindDoc="0" locked="0" layoutInCell="1" allowOverlap="1" wp14:anchorId="57004783" wp14:editId="4179E8C4">
            <wp:simplePos x="0" y="0"/>
            <wp:positionH relativeFrom="column">
              <wp:posOffset>411480</wp:posOffset>
            </wp:positionH>
            <wp:positionV relativeFrom="paragraph">
              <wp:posOffset>-2540</wp:posOffset>
            </wp:positionV>
            <wp:extent cx="2247900" cy="2677160"/>
            <wp:effectExtent l="0" t="0" r="0" b="889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38A">
        <w:rPr>
          <w:rFonts w:ascii="Times New Roman" w:hAnsi="Times New Roman"/>
          <w:lang w:val="pt-BR"/>
        </w:rPr>
        <w:t xml:space="preserve"> </w:t>
      </w:r>
    </w:p>
    <w:p w14:paraId="51632628" w14:textId="177EAFCB" w:rsidR="006B638A" w:rsidRDefault="006B638A" w:rsidP="006B638A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Hidroformilação do 1-octeno</w:t>
      </w:r>
    </w:p>
    <w:p w14:paraId="6CB9A68F" w14:textId="0FB17FD1" w:rsidR="006B638A" w:rsidRDefault="00E23A91" w:rsidP="00BF3DAF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676715" wp14:editId="4FC925E3">
                <wp:simplePos x="0" y="0"/>
                <wp:positionH relativeFrom="column">
                  <wp:posOffset>868680</wp:posOffset>
                </wp:positionH>
                <wp:positionV relativeFrom="paragraph">
                  <wp:posOffset>1614805</wp:posOffset>
                </wp:positionV>
                <wp:extent cx="962025" cy="635"/>
                <wp:effectExtent l="0" t="0" r="9525" b="3175"/>
                <wp:wrapTopAndBottom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4678A9" w14:textId="59FBF04E" w:rsidR="00E23A91" w:rsidRPr="00787F32" w:rsidRDefault="00E23A91" w:rsidP="00E23A91">
                            <w:pPr>
                              <w:pStyle w:val="Legenda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 w:rsidR="008015C7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 1-</w:t>
                            </w:r>
                            <w:proofErr w:type="gramStart"/>
                            <w:r>
                              <w:t>octeno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76715" id="Caixa de Texto 6" o:spid="_x0000_s1029" type="#_x0000_t202" style="position:absolute;left:0;text-align:left;margin-left:68.4pt;margin-top:127.15pt;width:75.75pt;height:.0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" stroked="f">
                <v:textbox style="mso-fit-shape-to-text:t" inset="0,0,0,0">
                  <w:txbxContent>
                    <w:p w14:paraId="274678A9" w14:textId="59FBF04E" w:rsidR="00E23A91" w:rsidRPr="00787F32" w:rsidRDefault="00E23A91" w:rsidP="00E23A91">
                      <w:pPr>
                        <w:pStyle w:val="Legenda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 w:rsidR="008015C7">
                          <w:rPr>
                            <w:noProof/>
                          </w:rPr>
                          <w:t>2</w:t>
                        </w:r>
                      </w:fldSimple>
                      <w:r>
                        <w:t>. 1-</w:t>
                      </w:r>
                      <w:proofErr w:type="gramStart"/>
                      <w:r>
                        <w:t>octeno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42368" behindDoc="0" locked="0" layoutInCell="1" allowOverlap="1" wp14:anchorId="03B06AB2" wp14:editId="2E3A65B0">
            <wp:simplePos x="0" y="0"/>
            <wp:positionH relativeFrom="column">
              <wp:posOffset>944880</wp:posOffset>
            </wp:positionH>
            <wp:positionV relativeFrom="paragraph">
              <wp:posOffset>1177925</wp:posOffset>
            </wp:positionV>
            <wp:extent cx="962025" cy="328930"/>
            <wp:effectExtent l="0" t="0" r="952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AF">
        <w:rPr>
          <w:rFonts w:ascii="Times New Roman" w:hAnsi="Times New Roman"/>
          <w:lang w:val="pt-BR"/>
        </w:rPr>
        <w:t>O 1-octe</w:t>
      </w:r>
      <w:r w:rsidR="000C7639" w:rsidRPr="00BF3DAF">
        <w:rPr>
          <w:rFonts w:ascii="Times New Roman" w:hAnsi="Times New Roman"/>
          <w:lang w:val="pt-BR"/>
        </w:rPr>
        <w:t>no</w:t>
      </w:r>
      <w:r w:rsidR="00C008C4">
        <w:rPr>
          <w:rFonts w:ascii="Times New Roman" w:hAnsi="Times New Roman"/>
          <w:lang w:val="pt-BR"/>
        </w:rPr>
        <w:t xml:space="preserve"> (</w:t>
      </w:r>
      <w:r>
        <w:rPr>
          <w:rFonts w:ascii="Times New Roman" w:hAnsi="Times New Roman"/>
          <w:lang w:val="pt-BR"/>
        </w:rPr>
        <w:t>Figura 2</w:t>
      </w:r>
      <w:r w:rsidR="00C008C4">
        <w:rPr>
          <w:rFonts w:ascii="Times New Roman" w:hAnsi="Times New Roman"/>
          <w:lang w:val="pt-BR"/>
        </w:rPr>
        <w:t>)</w:t>
      </w:r>
      <w:r w:rsidR="000C7639" w:rsidRPr="00BF3DAF">
        <w:rPr>
          <w:rFonts w:ascii="Times New Roman" w:hAnsi="Times New Roman"/>
          <w:lang w:val="pt-BR"/>
        </w:rPr>
        <w:t xml:space="preserve"> </w:t>
      </w:r>
      <w:r w:rsidR="00393599">
        <w:rPr>
          <w:rFonts w:ascii="Times New Roman" w:hAnsi="Times New Roman"/>
          <w:lang w:val="pt-BR"/>
        </w:rPr>
        <w:t>é comumente utilizado como</w:t>
      </w:r>
      <w:r w:rsidR="000C7639" w:rsidRPr="00BF3DAF">
        <w:rPr>
          <w:rFonts w:ascii="Times New Roman" w:hAnsi="Times New Roman"/>
          <w:lang w:val="pt-BR"/>
        </w:rPr>
        <w:t xml:space="preserve"> substrato modelo</w:t>
      </w:r>
      <w:r w:rsidR="000C7639">
        <w:rPr>
          <w:rFonts w:ascii="Times New Roman" w:hAnsi="Times New Roman"/>
          <w:lang w:val="pt-BR"/>
        </w:rPr>
        <w:t xml:space="preserve"> para esta reação. Em condições de hidroformilação pode apresentar como produtos o</w:t>
      </w:r>
      <w:r w:rsidR="00847E38">
        <w:rPr>
          <w:rFonts w:ascii="Times New Roman" w:hAnsi="Times New Roman"/>
          <w:lang w:val="pt-BR"/>
        </w:rPr>
        <w:t>s</w:t>
      </w:r>
      <w:r w:rsidR="000C7639">
        <w:rPr>
          <w:rFonts w:ascii="Times New Roman" w:hAnsi="Times New Roman"/>
          <w:lang w:val="pt-BR"/>
        </w:rPr>
        <w:t xml:space="preserve"> </w:t>
      </w:r>
      <w:proofErr w:type="gramStart"/>
      <w:r w:rsidR="000C7639">
        <w:rPr>
          <w:rFonts w:ascii="Times New Roman" w:hAnsi="Times New Roman"/>
          <w:lang w:val="pt-BR"/>
        </w:rPr>
        <w:t>aldeído</w:t>
      </w:r>
      <w:r w:rsidR="00847E38">
        <w:rPr>
          <w:rFonts w:ascii="Times New Roman" w:hAnsi="Times New Roman"/>
          <w:lang w:val="pt-BR"/>
        </w:rPr>
        <w:t>s</w:t>
      </w:r>
      <w:r w:rsidR="000C7639">
        <w:rPr>
          <w:rFonts w:ascii="Times New Roman" w:hAnsi="Times New Roman"/>
          <w:lang w:val="pt-BR"/>
        </w:rPr>
        <w:t xml:space="preserve"> linear</w:t>
      </w:r>
      <w:proofErr w:type="gramEnd"/>
      <w:r w:rsidR="0095679C">
        <w:rPr>
          <w:rFonts w:ascii="Times New Roman" w:hAnsi="Times New Roman"/>
          <w:lang w:val="pt-BR"/>
        </w:rPr>
        <w:t xml:space="preserve"> (AL)</w:t>
      </w:r>
      <w:r w:rsidR="000C7639">
        <w:rPr>
          <w:rFonts w:ascii="Times New Roman" w:hAnsi="Times New Roman"/>
          <w:lang w:val="pt-BR"/>
        </w:rPr>
        <w:t xml:space="preserve"> e ramificado</w:t>
      </w:r>
      <w:r w:rsidR="0095679C">
        <w:rPr>
          <w:rFonts w:ascii="Times New Roman" w:hAnsi="Times New Roman"/>
          <w:lang w:val="pt-BR"/>
        </w:rPr>
        <w:t xml:space="preserve"> (AR)</w:t>
      </w:r>
      <w:r w:rsidR="00847E38">
        <w:rPr>
          <w:rFonts w:ascii="Times New Roman" w:hAnsi="Times New Roman"/>
          <w:lang w:val="pt-BR"/>
        </w:rPr>
        <w:t xml:space="preserve"> e</w:t>
      </w:r>
      <w:r w:rsidR="0095679C">
        <w:rPr>
          <w:rFonts w:ascii="Times New Roman" w:hAnsi="Times New Roman"/>
          <w:lang w:val="pt-BR"/>
        </w:rPr>
        <w:t xml:space="preserve"> três </w:t>
      </w:r>
      <w:r w:rsidR="00847E38">
        <w:rPr>
          <w:rFonts w:ascii="Times New Roman" w:hAnsi="Times New Roman"/>
          <w:lang w:val="pt-BR"/>
        </w:rPr>
        <w:t xml:space="preserve">isômeros do 1-octeno, </w:t>
      </w:r>
      <w:r w:rsidR="00393599">
        <w:rPr>
          <w:rFonts w:ascii="Times New Roman" w:hAnsi="Times New Roman"/>
          <w:lang w:val="pt-BR"/>
        </w:rPr>
        <w:t>provenientes do processo de</w:t>
      </w:r>
      <w:r w:rsidR="00847E38">
        <w:rPr>
          <w:rFonts w:ascii="Times New Roman" w:hAnsi="Times New Roman"/>
          <w:lang w:val="pt-BR"/>
        </w:rPr>
        <w:t xml:space="preserve"> isomerização da olefina</w:t>
      </w:r>
      <w:r w:rsidR="00393599">
        <w:rPr>
          <w:rFonts w:ascii="Times New Roman" w:hAnsi="Times New Roman"/>
          <w:lang w:val="pt-BR"/>
        </w:rPr>
        <w:t>, o qual</w:t>
      </w:r>
      <w:r w:rsidR="00847E38">
        <w:rPr>
          <w:rFonts w:ascii="Times New Roman" w:hAnsi="Times New Roman"/>
          <w:lang w:val="pt-BR"/>
        </w:rPr>
        <w:t xml:space="preserve"> é uma reação que compete com a hidroformilação.</w:t>
      </w:r>
    </w:p>
    <w:p w14:paraId="6854B4A6" w14:textId="4BE23724" w:rsidR="00847E38" w:rsidRDefault="00847E38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resultados para a hidroformilação do 1-oct</w:t>
      </w:r>
      <w:r w:rsidR="00C10FCA">
        <w:rPr>
          <w:rFonts w:ascii="Times New Roman" w:hAnsi="Times New Roman"/>
          <w:lang w:val="pt-BR"/>
        </w:rPr>
        <w:t>eno são apresentados na Tabela 1</w:t>
      </w:r>
      <w:r>
        <w:rPr>
          <w:rFonts w:ascii="Times New Roman" w:hAnsi="Times New Roman"/>
          <w:lang w:val="pt-BR"/>
        </w:rPr>
        <w:t>.</w:t>
      </w:r>
    </w:p>
    <w:p w14:paraId="70274048" w14:textId="5F2A3EB3" w:rsidR="00C10FCA" w:rsidRDefault="004316AF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95679C">
        <w:rPr>
          <w:rFonts w:ascii="Times New Roman" w:hAnsi="Times New Roman"/>
          <w:lang w:val="pt-BR"/>
        </w:rPr>
        <w:t xml:space="preserve"> tolueno</w:t>
      </w:r>
      <w:r w:rsidR="00BF164E">
        <w:rPr>
          <w:rFonts w:ascii="Times New Roman" w:hAnsi="Times New Roman"/>
          <w:lang w:val="pt-BR"/>
        </w:rPr>
        <w:t xml:space="preserve">, bem como o texanol™ </w:t>
      </w:r>
      <w:r w:rsidR="0095679C">
        <w:rPr>
          <w:rFonts w:ascii="Times New Roman" w:hAnsi="Times New Roman"/>
          <w:lang w:val="pt-BR"/>
        </w:rPr>
        <w:t>apresent</w:t>
      </w:r>
      <w:r w:rsidR="00BF164E">
        <w:rPr>
          <w:rFonts w:ascii="Times New Roman" w:hAnsi="Times New Roman"/>
          <w:lang w:val="pt-BR"/>
        </w:rPr>
        <w:t>aram</w:t>
      </w:r>
      <w:r w:rsidR="0095679C">
        <w:rPr>
          <w:rFonts w:ascii="Times New Roman" w:hAnsi="Times New Roman"/>
          <w:lang w:val="pt-BR"/>
        </w:rPr>
        <w:t xml:space="preserve"> maior seletividade para o AL em comparação ao AR, </w:t>
      </w:r>
      <w:r>
        <w:rPr>
          <w:rFonts w:ascii="Times New Roman" w:hAnsi="Times New Roman"/>
          <w:lang w:val="pt-BR"/>
        </w:rPr>
        <w:t>finalizando a reação</w:t>
      </w:r>
      <w:r w:rsidR="0095679C">
        <w:rPr>
          <w:rFonts w:ascii="Times New Roman" w:hAnsi="Times New Roman"/>
          <w:lang w:val="pt-BR"/>
        </w:rPr>
        <w:t xml:space="preserve"> em</w:t>
      </w:r>
      <w:r w:rsidR="00B72C2B">
        <w:rPr>
          <w:rFonts w:ascii="Times New Roman" w:hAnsi="Times New Roman"/>
          <w:lang w:val="pt-BR"/>
        </w:rPr>
        <w:t xml:space="preserve"> 64 e </w:t>
      </w:r>
      <w:r w:rsidR="0095679C">
        <w:rPr>
          <w:rFonts w:ascii="Times New Roman" w:hAnsi="Times New Roman"/>
          <w:lang w:val="pt-BR"/>
        </w:rPr>
        <w:t>25%</w:t>
      </w:r>
      <w:r w:rsidR="00C008C4">
        <w:rPr>
          <w:rFonts w:ascii="Times New Roman" w:hAnsi="Times New Roman"/>
          <w:lang w:val="pt-BR"/>
        </w:rPr>
        <w:t xml:space="preserve"> de conversão</w:t>
      </w:r>
      <w:r w:rsidR="00B72C2B">
        <w:rPr>
          <w:rFonts w:ascii="Times New Roman" w:hAnsi="Times New Roman"/>
          <w:lang w:val="pt-BR"/>
        </w:rPr>
        <w:t>, respectivamente</w:t>
      </w:r>
      <w:r w:rsidR="0095679C">
        <w:rPr>
          <w:rFonts w:ascii="Times New Roman" w:hAnsi="Times New Roman"/>
          <w:lang w:val="pt-BR"/>
        </w:rPr>
        <w:t>. No decorrer da reação, foi observada a formação de isômeros do 1-octeno</w:t>
      </w:r>
      <w:r w:rsidR="00393599">
        <w:rPr>
          <w:rFonts w:ascii="Times New Roman" w:hAnsi="Times New Roman"/>
          <w:lang w:val="pt-BR"/>
        </w:rPr>
        <w:t>.</w:t>
      </w:r>
      <w:r w:rsidR="0095679C">
        <w:rPr>
          <w:rFonts w:ascii="Times New Roman" w:hAnsi="Times New Roman"/>
          <w:lang w:val="pt-BR"/>
        </w:rPr>
        <w:t xml:space="preserve"> </w:t>
      </w:r>
      <w:r w:rsidR="00393599">
        <w:rPr>
          <w:rFonts w:ascii="Times New Roman" w:hAnsi="Times New Roman"/>
          <w:lang w:val="pt-BR"/>
        </w:rPr>
        <w:t xml:space="preserve">Esses isômeros </w:t>
      </w:r>
      <w:r w:rsidR="00C008C4">
        <w:rPr>
          <w:rFonts w:ascii="Times New Roman" w:hAnsi="Times New Roman"/>
          <w:lang w:val="pt-BR"/>
        </w:rPr>
        <w:t xml:space="preserve">são olefinas </w:t>
      </w:r>
      <w:r w:rsidR="00393599">
        <w:rPr>
          <w:rFonts w:ascii="Times New Roman" w:hAnsi="Times New Roman"/>
          <w:lang w:val="pt-BR"/>
        </w:rPr>
        <w:t>intern</w:t>
      </w:r>
      <w:r w:rsidR="00C008C4">
        <w:rPr>
          <w:rFonts w:ascii="Times New Roman" w:hAnsi="Times New Roman"/>
          <w:lang w:val="pt-BR"/>
        </w:rPr>
        <w:t>a</w:t>
      </w:r>
      <w:r w:rsidR="00393599">
        <w:rPr>
          <w:rFonts w:ascii="Times New Roman" w:hAnsi="Times New Roman"/>
          <w:lang w:val="pt-BR"/>
        </w:rPr>
        <w:t xml:space="preserve">s </w:t>
      </w:r>
      <w:r w:rsidR="00C008C4">
        <w:rPr>
          <w:rFonts w:ascii="Times New Roman" w:hAnsi="Times New Roman"/>
          <w:lang w:val="pt-BR"/>
        </w:rPr>
        <w:t xml:space="preserve">e </w:t>
      </w:r>
      <w:r w:rsidR="00393599">
        <w:rPr>
          <w:rFonts w:ascii="Times New Roman" w:hAnsi="Times New Roman"/>
          <w:lang w:val="pt-BR"/>
        </w:rPr>
        <w:t>são menos susceptíveis a reação de hidroformilação</w:t>
      </w:r>
      <w:r w:rsidR="00F93FE0">
        <w:rPr>
          <w:rFonts w:ascii="Times New Roman" w:hAnsi="Times New Roman"/>
          <w:lang w:val="pt-BR"/>
        </w:rPr>
        <w:t xml:space="preserve">. Por </w:t>
      </w:r>
      <w:r w:rsidR="004B7AB5">
        <w:rPr>
          <w:rFonts w:ascii="Times New Roman" w:hAnsi="Times New Roman"/>
          <w:lang w:val="pt-BR"/>
        </w:rPr>
        <w:t>isso, ao</w:t>
      </w:r>
      <w:r w:rsidR="00393599">
        <w:rPr>
          <w:rFonts w:ascii="Times New Roman" w:hAnsi="Times New Roman"/>
          <w:lang w:val="pt-BR"/>
        </w:rPr>
        <w:t xml:space="preserve"> longo do processo o</w:t>
      </w:r>
      <w:r w:rsidR="00BF164E">
        <w:rPr>
          <w:rFonts w:ascii="Times New Roman" w:hAnsi="Times New Roman"/>
          <w:lang w:val="pt-BR"/>
        </w:rPr>
        <w:t xml:space="preserve"> </w:t>
      </w:r>
      <w:r w:rsidR="00393599">
        <w:rPr>
          <w:rFonts w:ascii="Times New Roman" w:hAnsi="Times New Roman"/>
          <w:lang w:val="pt-BR"/>
        </w:rPr>
        <w:t xml:space="preserve">equilíbrio </w:t>
      </w:r>
      <w:r w:rsidR="00F93FE0">
        <w:rPr>
          <w:rFonts w:ascii="Times New Roman" w:hAnsi="Times New Roman"/>
          <w:lang w:val="pt-BR"/>
        </w:rPr>
        <w:t xml:space="preserve">da isomerização </w:t>
      </w:r>
      <w:r w:rsidR="00393599">
        <w:rPr>
          <w:rFonts w:ascii="Times New Roman" w:hAnsi="Times New Roman"/>
          <w:lang w:val="pt-BR"/>
        </w:rPr>
        <w:t xml:space="preserve">é deslocado para formação </w:t>
      </w:r>
      <w:r w:rsidR="00F93FE0">
        <w:rPr>
          <w:rFonts w:ascii="Times New Roman" w:hAnsi="Times New Roman"/>
          <w:lang w:val="pt-BR"/>
        </w:rPr>
        <w:t xml:space="preserve">de isômero mais reativo, 1-octeno. </w:t>
      </w:r>
      <w:r w:rsidR="00BF164E">
        <w:rPr>
          <w:rFonts w:ascii="Times New Roman" w:hAnsi="Times New Roman"/>
          <w:lang w:val="pt-BR"/>
        </w:rPr>
        <w:t>Todos o</w:t>
      </w:r>
      <w:r w:rsidR="00F21161">
        <w:rPr>
          <w:rFonts w:ascii="Times New Roman" w:hAnsi="Times New Roman"/>
          <w:lang w:val="pt-BR"/>
        </w:rPr>
        <w:t xml:space="preserve">s sistemas utilizando os solventes sustentáveis apresentaram valores de conversão próximos aos dos solventes convencionais. </w:t>
      </w:r>
      <w:r w:rsidR="00582A87">
        <w:rPr>
          <w:rFonts w:ascii="Times New Roman" w:hAnsi="Times New Roman"/>
          <w:lang w:val="pt-BR"/>
        </w:rPr>
        <w:t xml:space="preserve">Na reação </w:t>
      </w:r>
      <w:r w:rsidR="00F17785">
        <w:rPr>
          <w:rFonts w:ascii="Times New Roman" w:hAnsi="Times New Roman"/>
          <w:lang w:val="pt-BR"/>
        </w:rPr>
        <w:t>em</w:t>
      </w:r>
      <w:r w:rsidR="00884B45">
        <w:rPr>
          <w:rFonts w:ascii="Times New Roman" w:hAnsi="Times New Roman"/>
          <w:lang w:val="pt-BR"/>
        </w:rPr>
        <w:t xml:space="preserve"> CPME</w:t>
      </w:r>
      <w:r w:rsidR="005264EB">
        <w:rPr>
          <w:rFonts w:ascii="Times New Roman" w:hAnsi="Times New Roman"/>
          <w:lang w:val="pt-BR"/>
        </w:rPr>
        <w:t>, inicialmente, foram formados</w:t>
      </w:r>
      <w:r w:rsidR="00582A87">
        <w:rPr>
          <w:rFonts w:ascii="Times New Roman" w:hAnsi="Times New Roman"/>
          <w:lang w:val="pt-BR"/>
        </w:rPr>
        <w:t xml:space="preserve"> 9% de</w:t>
      </w:r>
      <w:r w:rsidR="005264EB">
        <w:rPr>
          <w:rFonts w:ascii="Times New Roman" w:hAnsi="Times New Roman"/>
          <w:lang w:val="pt-BR"/>
        </w:rPr>
        <w:t xml:space="preserve"> isômeros, </w:t>
      </w:r>
      <w:r w:rsidR="00582A87">
        <w:rPr>
          <w:rFonts w:ascii="Times New Roman" w:hAnsi="Times New Roman"/>
          <w:lang w:val="pt-BR"/>
        </w:rPr>
        <w:t>porém eles logo foram convertidos em 1-octeno, apresentando no final</w:t>
      </w:r>
      <w:r w:rsidR="00F92A3B">
        <w:rPr>
          <w:rFonts w:ascii="Times New Roman" w:hAnsi="Times New Roman"/>
          <w:lang w:val="pt-BR"/>
        </w:rPr>
        <w:t xml:space="preserve"> </w:t>
      </w:r>
      <w:r w:rsidR="00F522C3">
        <w:rPr>
          <w:rFonts w:ascii="Times New Roman" w:hAnsi="Times New Roman"/>
          <w:lang w:val="pt-BR"/>
        </w:rPr>
        <w:t>uma melhor seletividade comparada</w:t>
      </w:r>
      <w:r w:rsidR="00582A87">
        <w:rPr>
          <w:rFonts w:ascii="Times New Roman" w:hAnsi="Times New Roman"/>
          <w:lang w:val="pt-BR"/>
        </w:rPr>
        <w:t xml:space="preserve"> à</w:t>
      </w:r>
      <w:r w:rsidR="00F21161">
        <w:rPr>
          <w:rFonts w:ascii="Times New Roman" w:hAnsi="Times New Roman"/>
          <w:lang w:val="pt-BR"/>
        </w:rPr>
        <w:t>s</w:t>
      </w:r>
      <w:r w:rsidR="00582A87">
        <w:rPr>
          <w:rFonts w:ascii="Times New Roman" w:hAnsi="Times New Roman"/>
          <w:lang w:val="pt-BR"/>
        </w:rPr>
        <w:t xml:space="preserve"> </w:t>
      </w:r>
      <w:r w:rsidR="00F522C3">
        <w:rPr>
          <w:rFonts w:ascii="Times New Roman" w:hAnsi="Times New Roman"/>
          <w:lang w:val="pt-BR"/>
        </w:rPr>
        <w:t>referência</w:t>
      </w:r>
      <w:r w:rsidR="00F21161">
        <w:rPr>
          <w:rFonts w:ascii="Times New Roman" w:hAnsi="Times New Roman"/>
          <w:lang w:val="pt-BR"/>
        </w:rPr>
        <w:t>s</w:t>
      </w:r>
      <w:r w:rsidR="005264EB">
        <w:rPr>
          <w:rFonts w:ascii="Times New Roman" w:hAnsi="Times New Roman"/>
          <w:lang w:val="pt-BR"/>
        </w:rPr>
        <w:t xml:space="preserve">. </w:t>
      </w:r>
      <w:r w:rsidR="00B72C2B">
        <w:rPr>
          <w:rFonts w:ascii="Times New Roman" w:hAnsi="Times New Roman"/>
          <w:lang w:val="pt-BR"/>
        </w:rPr>
        <w:t>Em</w:t>
      </w:r>
      <w:r w:rsidR="00F522C3">
        <w:rPr>
          <w:rFonts w:ascii="Times New Roman" w:hAnsi="Times New Roman"/>
          <w:lang w:val="pt-BR"/>
        </w:rPr>
        <w:t xml:space="preserve"> DMI, </w:t>
      </w:r>
      <w:r w:rsidR="003C2EB6">
        <w:rPr>
          <w:rFonts w:ascii="Times New Roman" w:hAnsi="Times New Roman"/>
          <w:lang w:val="pt-BR"/>
        </w:rPr>
        <w:t>a formação de isômeros foi altamente favorecida, contudo, em 2</w:t>
      </w:r>
      <w:r w:rsidR="00393599">
        <w:rPr>
          <w:rFonts w:ascii="Times New Roman" w:hAnsi="Times New Roman"/>
          <w:lang w:val="pt-BR"/>
        </w:rPr>
        <w:t xml:space="preserve"> </w:t>
      </w:r>
      <w:r w:rsidR="003C2EB6">
        <w:rPr>
          <w:rFonts w:ascii="Times New Roman" w:hAnsi="Times New Roman"/>
          <w:lang w:val="pt-BR"/>
        </w:rPr>
        <w:t>h houve uma queda</w:t>
      </w:r>
      <w:r w:rsidR="00884B45">
        <w:rPr>
          <w:rFonts w:ascii="Times New Roman" w:hAnsi="Times New Roman"/>
          <w:lang w:val="pt-BR"/>
        </w:rPr>
        <w:t xml:space="preserve"> </w:t>
      </w:r>
      <w:r w:rsidR="005264EB">
        <w:rPr>
          <w:rFonts w:ascii="Times New Roman" w:hAnsi="Times New Roman"/>
          <w:lang w:val="pt-BR"/>
        </w:rPr>
        <w:t>expressiva</w:t>
      </w:r>
      <w:r w:rsidR="003C2EB6">
        <w:rPr>
          <w:rFonts w:ascii="Times New Roman" w:hAnsi="Times New Roman"/>
          <w:lang w:val="pt-BR"/>
        </w:rPr>
        <w:t xml:space="preserve">, </w:t>
      </w:r>
      <w:r w:rsidR="005264EB">
        <w:rPr>
          <w:rFonts w:ascii="Times New Roman" w:hAnsi="Times New Roman"/>
          <w:lang w:val="pt-BR"/>
        </w:rPr>
        <w:t>sugerindo</w:t>
      </w:r>
      <w:r w:rsidR="003C2EB6">
        <w:rPr>
          <w:rFonts w:ascii="Times New Roman" w:hAnsi="Times New Roman"/>
          <w:lang w:val="pt-BR"/>
        </w:rPr>
        <w:t xml:space="preserve"> que, em um tempo maior de reação, todo substrato seria convertido nos aldeídos.</w:t>
      </w:r>
      <w:r w:rsidR="005264EB">
        <w:rPr>
          <w:rFonts w:ascii="Times New Roman" w:hAnsi="Times New Roman"/>
          <w:lang w:val="pt-BR"/>
        </w:rPr>
        <w:t xml:space="preserve"> O</w:t>
      </w:r>
      <w:r w:rsidR="00993554">
        <w:rPr>
          <w:rFonts w:ascii="Times New Roman" w:hAnsi="Times New Roman"/>
          <w:lang w:val="pt-BR"/>
        </w:rPr>
        <w:t xml:space="preserve"> c</w:t>
      </w:r>
      <w:r w:rsidR="005264EB">
        <w:rPr>
          <w:rFonts w:ascii="Times New Roman" w:hAnsi="Times New Roman"/>
          <w:lang w:val="pt-BR"/>
        </w:rPr>
        <w:t>yrene</w:t>
      </w:r>
      <w:r w:rsidR="005264EB">
        <w:rPr>
          <w:rFonts w:ascii="Times New Roman" w:hAnsi="Times New Roman"/>
          <w:vertAlign w:val="superscript"/>
          <w:lang w:val="pt-BR"/>
        </w:rPr>
        <w:t>TM</w:t>
      </w:r>
      <w:r w:rsidR="005264EB">
        <w:rPr>
          <w:rFonts w:ascii="Times New Roman" w:hAnsi="Times New Roman"/>
          <w:lang w:val="pt-BR"/>
        </w:rPr>
        <w:t xml:space="preserve"> também conferiu uma </w:t>
      </w:r>
      <w:r w:rsidR="005264EB">
        <w:rPr>
          <w:rFonts w:ascii="Times New Roman" w:hAnsi="Times New Roman"/>
          <w:lang w:val="pt-BR"/>
        </w:rPr>
        <w:t>melhor seletividade dos produtos</w:t>
      </w:r>
      <w:r w:rsidR="00582A87">
        <w:rPr>
          <w:rFonts w:ascii="Times New Roman" w:hAnsi="Times New Roman"/>
          <w:lang w:val="pt-BR"/>
        </w:rPr>
        <w:t xml:space="preserve"> ao comparar com a</w:t>
      </w:r>
      <w:r w:rsidR="00F21161">
        <w:rPr>
          <w:rFonts w:ascii="Times New Roman" w:hAnsi="Times New Roman"/>
          <w:lang w:val="pt-BR"/>
        </w:rPr>
        <w:t>s</w:t>
      </w:r>
      <w:r w:rsidR="00582A87">
        <w:rPr>
          <w:rFonts w:ascii="Times New Roman" w:hAnsi="Times New Roman"/>
          <w:lang w:val="pt-BR"/>
        </w:rPr>
        <w:t xml:space="preserve"> referência</w:t>
      </w:r>
      <w:r w:rsidR="00F21161">
        <w:rPr>
          <w:rFonts w:ascii="Times New Roman" w:hAnsi="Times New Roman"/>
          <w:lang w:val="pt-BR"/>
        </w:rPr>
        <w:t>s</w:t>
      </w:r>
      <w:r w:rsidR="005264EB">
        <w:rPr>
          <w:rFonts w:ascii="Times New Roman" w:hAnsi="Times New Roman"/>
          <w:lang w:val="pt-BR"/>
        </w:rPr>
        <w:t>, formando apena</w:t>
      </w:r>
      <w:r w:rsidR="00F21161">
        <w:rPr>
          <w:rFonts w:ascii="Times New Roman" w:hAnsi="Times New Roman"/>
          <w:lang w:val="pt-BR"/>
        </w:rPr>
        <w:t>s 3% de isômeros</w:t>
      </w:r>
      <w:r w:rsidR="005264EB">
        <w:rPr>
          <w:rFonts w:ascii="Times New Roman" w:hAnsi="Times New Roman"/>
          <w:lang w:val="pt-BR"/>
        </w:rPr>
        <w:t>.</w:t>
      </w:r>
      <w:r w:rsidR="00582A87">
        <w:rPr>
          <w:rFonts w:ascii="Times New Roman" w:hAnsi="Times New Roman"/>
          <w:lang w:val="pt-BR"/>
        </w:rPr>
        <w:t xml:space="preserve"> Por fim, no sistema com triacetina, inicialmente, foram formados 12% de isômeros</w:t>
      </w:r>
      <w:r w:rsidR="007A0D3A">
        <w:rPr>
          <w:rFonts w:ascii="Times New Roman" w:hAnsi="Times New Roman"/>
          <w:lang w:val="pt-BR"/>
        </w:rPr>
        <w:t>, os quais</w:t>
      </w:r>
      <w:r w:rsidR="00F21161">
        <w:rPr>
          <w:rFonts w:ascii="Times New Roman" w:hAnsi="Times New Roman"/>
          <w:lang w:val="pt-BR"/>
        </w:rPr>
        <w:t xml:space="preserve"> foram convertidos no substrato até restarem 8%, resultando em uma seletividade semelhante às referências.</w:t>
      </w:r>
    </w:p>
    <w:p w14:paraId="777F18B5" w14:textId="24EED9C0" w:rsidR="007A0D3A" w:rsidRDefault="00BE7A6C" w:rsidP="00996A92">
      <w:pPr>
        <w:pStyle w:val="TAMainText"/>
        <w:ind w:firstLine="187"/>
        <w:rPr>
          <w:rFonts w:ascii="Times New Roman" w:hAnsi="Times New Roman"/>
          <w:lang w:val="pt-BR"/>
        </w:rPr>
      </w:pPr>
      <w:r w:rsidRPr="00F92D0E">
        <w:rPr>
          <w:rFonts w:ascii="Times New Roman" w:eastAsiaTheme="minorEastAsia" w:hAnsi="Times New Roman" w:cstheme="minorBidi"/>
          <w:lang w:val="pt-BR" w:eastAsia="en-US"/>
        </w:rPr>
        <w:t>Com relação aos solventes convencionais, não houve</w:t>
      </w:r>
      <w:r w:rsidR="00996A92" w:rsidRPr="00F92D0E">
        <w:rPr>
          <w:rFonts w:ascii="Times New Roman" w:eastAsiaTheme="minorEastAsia" w:hAnsi="Times New Roman" w:cstheme="minorBidi"/>
          <w:lang w:val="pt-BR" w:eastAsia="en-US"/>
        </w:rPr>
        <w:t xml:space="preserve"> diferenças significativas entre as velocidades </w:t>
      </w:r>
      <w:r w:rsidR="00A53A3A">
        <w:rPr>
          <w:rFonts w:ascii="Times New Roman" w:eastAsiaTheme="minorEastAsia" w:hAnsi="Times New Roman" w:cstheme="minorBidi"/>
          <w:lang w:val="pt-BR" w:eastAsia="en-US"/>
        </w:rPr>
        <w:t xml:space="preserve">iniciais </w:t>
      </w:r>
      <w:r w:rsidR="00996A92" w:rsidRPr="00F92D0E">
        <w:rPr>
          <w:rFonts w:ascii="Times New Roman" w:eastAsiaTheme="minorEastAsia" w:hAnsi="Times New Roman" w:cstheme="minorBidi"/>
          <w:lang w:val="pt-BR" w:eastAsia="en-US"/>
        </w:rPr>
        <w:t>de</w:t>
      </w:r>
      <w:r w:rsidR="00B67CA7" w:rsidRPr="00F92D0E">
        <w:rPr>
          <w:rFonts w:ascii="Times New Roman" w:eastAsiaTheme="minorEastAsia" w:hAnsi="Times New Roman" w:cstheme="minorBidi"/>
          <w:lang w:val="pt-BR" w:eastAsia="en-US"/>
        </w:rPr>
        <w:t xml:space="preserve"> reação do tolueno e do texanol</w:t>
      </w:r>
      <w:r w:rsidR="00993554">
        <w:rPr>
          <w:rFonts w:ascii="Times New Roman" w:eastAsiaTheme="minorEastAsia" w:hAnsi="Times New Roman"/>
          <w:lang w:val="pt-BR" w:eastAsia="en-US"/>
        </w:rPr>
        <w:t>™</w:t>
      </w:r>
      <w:r w:rsidR="00B67CA7" w:rsidRPr="00F92D0E">
        <w:rPr>
          <w:rFonts w:ascii="Times New Roman" w:eastAsiaTheme="minorEastAsia" w:hAnsi="Times New Roman" w:cstheme="minorBidi"/>
          <w:lang w:val="pt-BR" w:eastAsia="en-US"/>
        </w:rPr>
        <w:t xml:space="preserve">. </w:t>
      </w:r>
      <w:r w:rsidRPr="00F92D0E">
        <w:rPr>
          <w:rFonts w:ascii="Times New Roman" w:eastAsiaTheme="minorEastAsia" w:hAnsi="Times New Roman" w:cstheme="minorBidi"/>
          <w:lang w:val="pt-BR" w:eastAsia="en-US"/>
        </w:rPr>
        <w:t xml:space="preserve">Os </w:t>
      </w:r>
      <w:r w:rsidR="00C10FCA" w:rsidRPr="00F92D0E">
        <w:rPr>
          <w:rFonts w:ascii="Times New Roman" w:eastAsiaTheme="minorEastAsia" w:hAnsi="Times New Roman" w:cstheme="minorBidi"/>
          <w:lang w:val="pt-BR" w:eastAsia="en-US"/>
        </w:rPr>
        <w:t xml:space="preserve">sistemas com </w:t>
      </w:r>
      <w:r w:rsidR="00993554">
        <w:rPr>
          <w:rFonts w:ascii="Times New Roman" w:eastAsiaTheme="minorEastAsia" w:hAnsi="Times New Roman" w:cstheme="minorBidi"/>
          <w:lang w:val="pt-BR" w:eastAsia="en-US"/>
        </w:rPr>
        <w:t>c</w:t>
      </w:r>
      <w:r w:rsidR="00C10FCA" w:rsidRPr="00F92D0E">
        <w:rPr>
          <w:rFonts w:ascii="Times New Roman" w:eastAsiaTheme="minorEastAsia" w:hAnsi="Times New Roman" w:cstheme="minorBidi"/>
          <w:lang w:val="pt-BR" w:eastAsia="en-US"/>
        </w:rPr>
        <w:t>yrene</w:t>
      </w:r>
      <w:r w:rsidR="00C10FCA" w:rsidRPr="00F92D0E">
        <w:rPr>
          <w:rFonts w:ascii="Times New Roman" w:eastAsiaTheme="minorEastAsia" w:hAnsi="Times New Roman" w:cstheme="minorBidi"/>
          <w:vertAlign w:val="superscript"/>
          <w:lang w:val="pt-BR" w:eastAsia="en-US"/>
        </w:rPr>
        <w:t>TM</w:t>
      </w:r>
      <w:r w:rsidR="00C10FCA" w:rsidRPr="00F92D0E">
        <w:rPr>
          <w:rFonts w:ascii="Times New Roman" w:eastAsiaTheme="minorEastAsia" w:hAnsi="Times New Roman" w:cstheme="minorBidi"/>
          <w:lang w:val="pt-BR" w:eastAsia="en-US"/>
        </w:rPr>
        <w:t xml:space="preserve"> e triacetina</w:t>
      </w:r>
      <w:r w:rsidRPr="00F92D0E">
        <w:rPr>
          <w:rFonts w:ascii="Times New Roman" w:eastAsiaTheme="minorEastAsia" w:hAnsi="Times New Roman" w:cstheme="minorBidi"/>
          <w:lang w:val="pt-BR" w:eastAsia="en-US"/>
        </w:rPr>
        <w:t xml:space="preserve"> </w:t>
      </w:r>
      <w:r w:rsidR="00866091" w:rsidRPr="00F92D0E">
        <w:rPr>
          <w:rFonts w:ascii="Times New Roman" w:eastAsiaTheme="minorEastAsia" w:hAnsi="Times New Roman" w:cstheme="minorBidi"/>
          <w:lang w:val="pt-BR" w:eastAsia="en-US"/>
        </w:rPr>
        <w:t>foram ligeiram</w:t>
      </w:r>
      <w:r w:rsidR="00996A92" w:rsidRPr="00F92D0E">
        <w:rPr>
          <w:rFonts w:ascii="Times New Roman" w:eastAsiaTheme="minorEastAsia" w:hAnsi="Times New Roman" w:cstheme="minorBidi"/>
          <w:lang w:val="pt-BR" w:eastAsia="en-US"/>
        </w:rPr>
        <w:t xml:space="preserve">ente </w:t>
      </w:r>
      <w:r w:rsidR="00A53A3A">
        <w:rPr>
          <w:rFonts w:ascii="Times New Roman" w:eastAsiaTheme="minorEastAsia" w:hAnsi="Times New Roman" w:cstheme="minorBidi"/>
          <w:lang w:val="pt-BR" w:eastAsia="en-US"/>
        </w:rPr>
        <w:t>superiores</w:t>
      </w:r>
      <w:r w:rsidR="00A53A3A" w:rsidRPr="00F92D0E">
        <w:rPr>
          <w:rFonts w:ascii="Times New Roman" w:eastAsiaTheme="minorEastAsia" w:hAnsi="Times New Roman" w:cstheme="minorBidi"/>
          <w:lang w:val="pt-BR" w:eastAsia="en-US"/>
        </w:rPr>
        <w:t xml:space="preserve"> </w:t>
      </w:r>
      <w:r w:rsidR="00996A92" w:rsidRPr="00F92D0E">
        <w:rPr>
          <w:rFonts w:ascii="Times New Roman" w:eastAsiaTheme="minorEastAsia" w:hAnsi="Times New Roman" w:cstheme="minorBidi"/>
          <w:lang w:val="pt-BR" w:eastAsia="en-US"/>
        </w:rPr>
        <w:t xml:space="preserve">que os solventes de referência </w:t>
      </w:r>
      <w:r w:rsidR="00866091" w:rsidRPr="00F92D0E">
        <w:rPr>
          <w:rFonts w:ascii="Times New Roman" w:eastAsiaTheme="minorEastAsia" w:hAnsi="Times New Roman" w:cstheme="minorBidi"/>
          <w:lang w:val="pt-BR" w:eastAsia="en-US"/>
        </w:rPr>
        <w:t xml:space="preserve">em termos de velocidade </w:t>
      </w:r>
      <w:r w:rsidR="00A53A3A">
        <w:rPr>
          <w:rFonts w:ascii="Times New Roman" w:eastAsiaTheme="minorEastAsia" w:hAnsi="Times New Roman" w:cstheme="minorBidi"/>
          <w:lang w:val="pt-BR" w:eastAsia="en-US"/>
        </w:rPr>
        <w:t>inicial</w:t>
      </w:r>
      <w:r w:rsidR="00C10FCA" w:rsidRPr="00F92D0E">
        <w:rPr>
          <w:rFonts w:ascii="Times New Roman" w:eastAsiaTheme="minorEastAsia" w:hAnsi="Times New Roman" w:cstheme="minorBidi"/>
          <w:lang w:val="pt-BR" w:eastAsia="en-US"/>
        </w:rPr>
        <w:t>.</w:t>
      </w:r>
      <w:r w:rsidR="00C10FCA" w:rsidRPr="00F92D0E">
        <w:rPr>
          <w:rFonts w:ascii="Times New Roman" w:hAnsi="Times New Roman"/>
          <w:lang w:val="pt-BR"/>
        </w:rPr>
        <w:t xml:space="preserve"> </w:t>
      </w:r>
      <w:r w:rsidRPr="00F92D0E">
        <w:rPr>
          <w:rFonts w:ascii="Times New Roman" w:hAnsi="Times New Roman"/>
          <w:lang w:val="pt-BR"/>
        </w:rPr>
        <w:t>Em</w:t>
      </w:r>
      <w:r w:rsidR="00866091" w:rsidRPr="00F92D0E">
        <w:rPr>
          <w:rFonts w:ascii="Times New Roman" w:hAnsi="Times New Roman"/>
          <w:lang w:val="pt-BR"/>
        </w:rPr>
        <w:t xml:space="preserve"> CPME, a partir de 0,5</w:t>
      </w:r>
      <w:r w:rsidR="00393599">
        <w:rPr>
          <w:rFonts w:ascii="Times New Roman" w:hAnsi="Times New Roman"/>
          <w:lang w:val="pt-BR"/>
        </w:rPr>
        <w:t xml:space="preserve"> </w:t>
      </w:r>
      <w:r w:rsidR="00866091" w:rsidRPr="00F92D0E">
        <w:rPr>
          <w:rFonts w:ascii="Times New Roman" w:hAnsi="Times New Roman"/>
          <w:lang w:val="pt-BR"/>
        </w:rPr>
        <w:t xml:space="preserve">h, </w:t>
      </w:r>
      <w:r w:rsidR="00BD03DA">
        <w:rPr>
          <w:rFonts w:ascii="Times New Roman" w:hAnsi="Times New Roman"/>
          <w:lang w:val="pt-BR"/>
        </w:rPr>
        <w:t>a velocidade inicial</w:t>
      </w:r>
      <w:r w:rsidR="00866091">
        <w:rPr>
          <w:rFonts w:ascii="Times New Roman" w:hAnsi="Times New Roman"/>
          <w:lang w:val="pt-BR"/>
        </w:rPr>
        <w:t xml:space="preserve"> foi </w:t>
      </w:r>
      <w:r w:rsidR="00BD03DA">
        <w:rPr>
          <w:rFonts w:ascii="Times New Roman" w:hAnsi="Times New Roman"/>
          <w:lang w:val="pt-BR"/>
        </w:rPr>
        <w:t>inferior</w:t>
      </w:r>
      <w:r w:rsidR="00866091">
        <w:rPr>
          <w:rFonts w:ascii="Times New Roman" w:hAnsi="Times New Roman"/>
          <w:lang w:val="pt-BR"/>
        </w:rPr>
        <w:t xml:space="preserve"> e, em 1,5</w:t>
      </w:r>
      <w:r w:rsidR="00393599">
        <w:rPr>
          <w:rFonts w:ascii="Times New Roman" w:hAnsi="Times New Roman"/>
          <w:lang w:val="pt-BR"/>
        </w:rPr>
        <w:t xml:space="preserve"> </w:t>
      </w:r>
      <w:r w:rsidR="00866091">
        <w:rPr>
          <w:rFonts w:ascii="Times New Roman" w:hAnsi="Times New Roman"/>
          <w:lang w:val="pt-BR"/>
        </w:rPr>
        <w:t>h</w:t>
      </w:r>
      <w:r w:rsidR="00996A92">
        <w:rPr>
          <w:rFonts w:ascii="Times New Roman" w:hAnsi="Times New Roman"/>
          <w:lang w:val="pt-BR"/>
        </w:rPr>
        <w:t>,</w:t>
      </w:r>
      <w:r w:rsidR="007A0D3A">
        <w:rPr>
          <w:rFonts w:ascii="Times New Roman" w:hAnsi="Times New Roman"/>
          <w:lang w:val="pt-BR"/>
        </w:rPr>
        <w:t xml:space="preserve"> a conversão ainda era de 85%, </w:t>
      </w:r>
      <w:r w:rsidR="00866091">
        <w:rPr>
          <w:rFonts w:ascii="Times New Roman" w:hAnsi="Times New Roman"/>
          <w:lang w:val="pt-BR"/>
        </w:rPr>
        <w:t xml:space="preserve">enquanto a </w:t>
      </w:r>
      <w:r w:rsidR="00996A92">
        <w:rPr>
          <w:rFonts w:ascii="Times New Roman" w:hAnsi="Times New Roman"/>
          <w:lang w:val="pt-BR"/>
        </w:rPr>
        <w:t xml:space="preserve">reação dos solventes convencionais </w:t>
      </w:r>
      <w:r w:rsidR="00866091">
        <w:rPr>
          <w:rFonts w:ascii="Times New Roman" w:hAnsi="Times New Roman"/>
          <w:lang w:val="pt-BR"/>
        </w:rPr>
        <w:t xml:space="preserve">já havia acabado. </w:t>
      </w:r>
      <w:r w:rsidR="00996A92">
        <w:rPr>
          <w:rFonts w:ascii="Times New Roman" w:hAnsi="Times New Roman"/>
          <w:lang w:val="pt-BR"/>
        </w:rPr>
        <w:t>Já no sistema com DMI, a partir de 0,5</w:t>
      </w:r>
      <w:r w:rsidR="00393599">
        <w:rPr>
          <w:rFonts w:ascii="Times New Roman" w:hAnsi="Times New Roman"/>
          <w:lang w:val="pt-BR"/>
        </w:rPr>
        <w:t xml:space="preserve"> </w:t>
      </w:r>
      <w:r w:rsidR="00996A92">
        <w:rPr>
          <w:rFonts w:ascii="Times New Roman" w:hAnsi="Times New Roman"/>
          <w:lang w:val="pt-BR"/>
        </w:rPr>
        <w:t>h, houve uma queda expressiva na velocidade da reação e, apesar de aum</w:t>
      </w:r>
      <w:r w:rsidR="007A0D3A">
        <w:rPr>
          <w:rFonts w:ascii="Times New Roman" w:hAnsi="Times New Roman"/>
          <w:lang w:val="pt-BR"/>
        </w:rPr>
        <w:t>entar entre</w:t>
      </w:r>
      <w:r w:rsidR="00F305FA">
        <w:rPr>
          <w:rFonts w:ascii="Times New Roman" w:hAnsi="Times New Roman"/>
          <w:lang w:val="pt-BR"/>
        </w:rPr>
        <w:t xml:space="preserve"> 1</w:t>
      </w:r>
      <w:r w:rsidR="00393599">
        <w:rPr>
          <w:rFonts w:ascii="Times New Roman" w:hAnsi="Times New Roman"/>
          <w:lang w:val="pt-BR"/>
        </w:rPr>
        <w:t xml:space="preserve"> </w:t>
      </w:r>
      <w:r w:rsidR="00F305FA">
        <w:rPr>
          <w:rFonts w:ascii="Times New Roman" w:hAnsi="Times New Roman"/>
          <w:lang w:val="pt-BR"/>
        </w:rPr>
        <w:t>h a</w:t>
      </w:r>
      <w:r w:rsidR="00996A92">
        <w:rPr>
          <w:rFonts w:ascii="Times New Roman" w:hAnsi="Times New Roman"/>
          <w:lang w:val="pt-BR"/>
        </w:rPr>
        <w:t xml:space="preserve"> 1,5</w:t>
      </w:r>
      <w:r w:rsidR="00393599">
        <w:rPr>
          <w:rFonts w:ascii="Times New Roman" w:hAnsi="Times New Roman"/>
          <w:lang w:val="pt-BR"/>
        </w:rPr>
        <w:t xml:space="preserve"> </w:t>
      </w:r>
      <w:r w:rsidR="00996A92">
        <w:rPr>
          <w:rFonts w:ascii="Times New Roman" w:hAnsi="Times New Roman"/>
          <w:lang w:val="pt-BR"/>
        </w:rPr>
        <w:t xml:space="preserve">h, a maioria dos produtos formados </w:t>
      </w:r>
      <w:r w:rsidR="007A0D3A">
        <w:rPr>
          <w:rFonts w:ascii="Times New Roman" w:hAnsi="Times New Roman"/>
          <w:lang w:val="pt-BR"/>
        </w:rPr>
        <w:t xml:space="preserve">nesse intervalo </w:t>
      </w:r>
      <w:r w:rsidR="00F305FA">
        <w:rPr>
          <w:rFonts w:ascii="Times New Roman" w:hAnsi="Times New Roman"/>
          <w:lang w:val="pt-BR"/>
        </w:rPr>
        <w:t>foram</w:t>
      </w:r>
      <w:r w:rsidR="00996A92">
        <w:rPr>
          <w:rFonts w:ascii="Times New Roman" w:hAnsi="Times New Roman"/>
          <w:lang w:val="pt-BR"/>
        </w:rPr>
        <w:t xml:space="preserve"> isômeros.</w:t>
      </w:r>
    </w:p>
    <w:p w14:paraId="72E4E3C9" w14:textId="27E6FBA7" w:rsidR="000B7D79" w:rsidRDefault="000B7D79" w:rsidP="00BE7A6C">
      <w:pPr>
        <w:pStyle w:val="Legenda"/>
        <w:keepNext/>
        <w:spacing w:after="0"/>
        <w:jc w:val="both"/>
      </w:pPr>
      <w:r>
        <w:t xml:space="preserve">Tabela </w:t>
      </w:r>
      <w:fldSimple w:instr=" SEQ Tabela \* ARABIC ">
        <w:r w:rsidR="008015C7">
          <w:rPr>
            <w:noProof/>
          </w:rPr>
          <w:t>1</w:t>
        </w:r>
      </w:fldSimple>
      <w:r>
        <w:t>. Hidroformilação do 1-octeno.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213"/>
        <w:gridCol w:w="694"/>
        <w:gridCol w:w="597"/>
        <w:gridCol w:w="584"/>
        <w:gridCol w:w="1175"/>
      </w:tblGrid>
      <w:tr w:rsidR="00466416" w:rsidRPr="009A3AC5" w14:paraId="3E357156" w14:textId="77777777" w:rsidTr="005C3579">
        <w:trPr>
          <w:cantSplit/>
          <w:trHeight w:hRule="exact" w:val="283"/>
          <w:tblHeader/>
          <w:jc w:val="center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3016A4FC" w14:textId="77777777" w:rsidR="000B7D79" w:rsidRDefault="000B7D79" w:rsidP="0034002D">
            <w:pPr>
              <w:keepNext/>
              <w:spacing w:before="0" w:line="300" w:lineRule="auto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Exp.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6FC436EE" w14:textId="77777777" w:rsidR="000B7D79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="Arial"/>
                <w:b/>
                <w:bCs/>
              </w:rPr>
              <w:t>Solvente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557C2B11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C (%)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14:paraId="178D0684" w14:textId="485BD14E" w:rsidR="000B7D79" w:rsidRPr="009A3AC5" w:rsidRDefault="005C3579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Seletividade (%)</w:t>
            </w:r>
          </w:p>
        </w:tc>
      </w:tr>
      <w:tr w:rsidR="00466416" w:rsidRPr="009A3AC5" w14:paraId="5B9C3FE5" w14:textId="77777777" w:rsidTr="005C3579">
        <w:trPr>
          <w:cantSplit/>
          <w:trHeight w:hRule="exact" w:val="283"/>
          <w:tblHeader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BDB6D3" w14:textId="77777777" w:rsidR="000B7D79" w:rsidRPr="009A3AC5" w:rsidRDefault="000B7D79" w:rsidP="0034002D">
            <w:pPr>
              <w:keepNext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1BB8BD" w14:textId="77777777" w:rsidR="000B7D79" w:rsidRPr="009A3AC5" w:rsidRDefault="000B7D79" w:rsidP="0034002D">
            <w:pPr>
              <w:keepNext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8AD659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4DC3D6" w14:textId="33775AF8" w:rsidR="000B7D79" w:rsidRPr="009A3AC5" w:rsidRDefault="000D2067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5EC8B9" w14:textId="75CCC2D9" w:rsidR="000B7D79" w:rsidRPr="009A3AC5" w:rsidRDefault="000D2067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475532" w14:textId="7589892C" w:rsidR="000B7D79" w:rsidRPr="00210C7B" w:rsidRDefault="0034002D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  <w:vertAlign w:val="superscript"/>
              </w:rPr>
            </w:pPr>
            <w:r>
              <w:rPr>
                <w:rFonts w:cs="Arial"/>
                <w:b/>
                <w:bCs/>
              </w:rPr>
              <w:t>Isômeros</w:t>
            </w:r>
          </w:p>
        </w:tc>
      </w:tr>
      <w:tr w:rsidR="00466416" w:rsidRPr="009A3AC5" w14:paraId="0CB97F71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2124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199A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T</w:t>
            </w:r>
            <w:r w:rsidRPr="008F4482">
              <w:rPr>
                <w:rFonts w:cs="Arial"/>
              </w:rPr>
              <w:t>olueno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F346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A576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8252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778E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</w:tr>
      <w:tr w:rsidR="00466416" w:rsidRPr="009A3AC5" w14:paraId="4D17EDD5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21EB54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4DA7CA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Texanol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2AEC03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AD240F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4CF552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6C0229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466416" w:rsidRPr="009A3AC5" w14:paraId="1BF092A1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22B1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ABC2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CPME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E195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DC22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D760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3B3E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466416" w:rsidRPr="009A3AC5" w14:paraId="169331C3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8F581B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33DD21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DMI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B6DBE3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1E3CFA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160E6C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3429A3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</w:tr>
      <w:tr w:rsidR="00466416" w:rsidRPr="009A3AC5" w14:paraId="77AE6583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74C72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BB6F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Cyrene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5B48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D9759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0208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B870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466416" w:rsidRPr="009A3AC5" w14:paraId="15BB3CE8" w14:textId="77777777" w:rsidTr="005C3579">
        <w:trPr>
          <w:cantSplit/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019AB9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1997E9A" w14:textId="77777777" w:rsidR="000B7D79" w:rsidRPr="008F4482" w:rsidRDefault="000B7D79" w:rsidP="00BE7A6C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Triacetina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89ABA28" w14:textId="77777777" w:rsidR="000B7D79" w:rsidRPr="009A3AC5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2E44CB3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B5F4365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0A967C4" w14:textId="77777777" w:rsidR="000B7D79" w:rsidRDefault="000B7D79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0D2067" w:rsidRPr="009A3AC5" w14:paraId="0E6CEFBD" w14:textId="77777777" w:rsidTr="005C3579">
        <w:trPr>
          <w:cantSplit/>
          <w:trHeight w:hRule="exact" w:val="94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56CFC1" w14:textId="6F3ED4CD" w:rsidR="000D2067" w:rsidRDefault="000D2067" w:rsidP="00BE7A6C">
            <w:pPr>
              <w:keepNext/>
              <w:spacing w:before="0" w:line="240" w:lineRule="auto"/>
              <w:ind w:firstLine="0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 w:rsidRPr="005F46A6">
              <w:rPr>
                <w:rFonts w:cs="Arial"/>
                <w:sz w:val="16"/>
                <w:szCs w:val="16"/>
              </w:rPr>
              <w:t>Condições reacionais: 1-octeno – 0,40 M (8 mmol), [Rh(</w:t>
            </w:r>
            <w:proofErr w:type="spellStart"/>
            <w:r>
              <w:rPr>
                <w:rFonts w:cs="Arial"/>
                <w:sz w:val="16"/>
                <w:szCs w:val="16"/>
              </w:rPr>
              <w:t>acac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)(</w:t>
            </w:r>
            <w:r>
              <w:rPr>
                <w:rFonts w:cs="Arial"/>
                <w:sz w:val="16"/>
                <w:szCs w:val="16"/>
              </w:rPr>
              <w:t>CO)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>] – 0,</w:t>
            </w:r>
            <w:r>
              <w:rPr>
                <w:rFonts w:cs="Arial"/>
                <w:sz w:val="16"/>
                <w:szCs w:val="16"/>
              </w:rPr>
              <w:t>5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mM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10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μmol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), ligante – PPh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5F46A6">
              <w:rPr>
                <w:rFonts w:cs="Arial"/>
                <w:sz w:val="16"/>
                <w:szCs w:val="16"/>
              </w:rPr>
              <w:t xml:space="preserve"> (P/Rh = 10), </w:t>
            </w:r>
            <w:r>
              <w:rPr>
                <w:rFonts w:cs="Arial"/>
                <w:sz w:val="16"/>
                <w:szCs w:val="16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 xml:space="preserve">0 </w:t>
            </w:r>
            <w:r w:rsidR="00C733D7">
              <w:rPr>
                <w:rFonts w:cs="Arial"/>
                <w:sz w:val="16"/>
                <w:szCs w:val="16"/>
              </w:rPr>
              <w:t>bar</w:t>
            </w:r>
            <w:r w:rsidRPr="005F46A6">
              <w:rPr>
                <w:rFonts w:cs="Arial"/>
                <w:sz w:val="16"/>
                <w:szCs w:val="16"/>
              </w:rPr>
              <w:t xml:space="preserve"> (CO/H</w:t>
            </w:r>
            <w:r w:rsidRPr="00342D38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 xml:space="preserve"> = 1/1), 80 °C, 2 h, solvente – 20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. Conversão e rendimento foram calculados baseada na conversão do substrato em relação ao padrão interno (</w:t>
            </w:r>
            <w:r w:rsidRPr="00993554">
              <w:rPr>
                <w:rFonts w:cs="Arial"/>
                <w:i/>
                <w:iCs/>
                <w:sz w:val="16"/>
                <w:szCs w:val="16"/>
              </w:rPr>
              <w:t>p</w:t>
            </w:r>
            <w:r w:rsidRPr="005F46A6">
              <w:rPr>
                <w:rFonts w:cs="Arial"/>
                <w:sz w:val="16"/>
                <w:szCs w:val="16"/>
              </w:rPr>
              <w:t xml:space="preserve">-xileno - 4 </w:t>
            </w:r>
            <w:r>
              <w:rPr>
                <w:rFonts w:cs="Arial"/>
                <w:sz w:val="16"/>
                <w:szCs w:val="16"/>
              </w:rPr>
              <w:t>m</w:t>
            </w:r>
            <w:r w:rsidRPr="005F46A6">
              <w:rPr>
                <w:rFonts w:cs="Arial"/>
                <w:sz w:val="16"/>
                <w:szCs w:val="16"/>
              </w:rPr>
              <w:t>mol)</w:t>
            </w:r>
            <w:r w:rsidR="00B12D72">
              <w:rPr>
                <w:rFonts w:cs="Arial"/>
                <w:sz w:val="16"/>
                <w:szCs w:val="16"/>
              </w:rPr>
              <w:t>.</w:t>
            </w:r>
            <w:r w:rsidR="00017232">
              <w:rPr>
                <w:rFonts w:cs="Arial"/>
                <w:sz w:val="16"/>
                <w:szCs w:val="16"/>
              </w:rPr>
              <w:t xml:space="preserve"> </w:t>
            </w:r>
            <w:r w:rsidR="00017232" w:rsidRPr="00017232">
              <w:rPr>
                <w:rFonts w:cs="Arial"/>
                <w:sz w:val="16"/>
                <w:szCs w:val="16"/>
              </w:rPr>
              <w:t>AR – aldeído ramificado; AL – aldeído linear.</w:t>
            </w:r>
          </w:p>
        </w:tc>
      </w:tr>
    </w:tbl>
    <w:p w14:paraId="7E1FB578" w14:textId="77777777" w:rsidR="007A0D3A" w:rsidRDefault="007A0D3A" w:rsidP="00115F1C">
      <w:pPr>
        <w:pStyle w:val="TAMainText"/>
        <w:ind w:firstLine="0"/>
        <w:rPr>
          <w:rFonts w:ascii="Times New Roman" w:hAnsi="Times New Roman"/>
          <w:lang w:val="pt-BR"/>
        </w:rPr>
      </w:pPr>
    </w:p>
    <w:p w14:paraId="0EB6F2D3" w14:textId="0090D1FB" w:rsidR="007A0D3A" w:rsidRDefault="007A0D3A" w:rsidP="007A0D3A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Hidroformilação do estireno</w:t>
      </w:r>
    </w:p>
    <w:p w14:paraId="42103421" w14:textId="360519BE" w:rsidR="007A0D3A" w:rsidRDefault="008015C7" w:rsidP="007A0D3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B96DB4" wp14:editId="631B68EF">
                <wp:simplePos x="0" y="0"/>
                <wp:positionH relativeFrom="column">
                  <wp:posOffset>1031240</wp:posOffset>
                </wp:positionH>
                <wp:positionV relativeFrom="paragraph">
                  <wp:posOffset>2513849</wp:posOffset>
                </wp:positionV>
                <wp:extent cx="914400" cy="635"/>
                <wp:effectExtent l="0" t="0" r="0" b="3175"/>
                <wp:wrapTopAndBottom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991A4" w14:textId="2B21E21D" w:rsidR="008015C7" w:rsidRPr="00E54675" w:rsidRDefault="008015C7" w:rsidP="008015C7">
                            <w:pPr>
                              <w:pStyle w:val="Legenda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>. Estireno.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6DB4" id="Caixa de Texto 11" o:spid="_x0000_s1030" type="#_x0000_t202" style="position:absolute;left:0;text-align:left;margin-left:81.2pt;margin-top:197.95pt;width:1in;height:.0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" stroked="f">
                <v:textbox style="mso-fit-shape-to-text:t" inset="0,0,0,0">
                  <w:txbxContent>
                    <w:p w14:paraId="5D6991A4" w14:textId="2B21E21D" w:rsidR="008015C7" w:rsidRPr="00E54675" w:rsidRDefault="008015C7" w:rsidP="008015C7">
                      <w:pPr>
                        <w:pStyle w:val="Legenda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>. Estireno.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23A91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59776" behindDoc="0" locked="0" layoutInCell="1" allowOverlap="1" wp14:anchorId="7EEEE982" wp14:editId="76B423D1">
            <wp:simplePos x="0" y="0"/>
            <wp:positionH relativeFrom="column">
              <wp:posOffset>1210945</wp:posOffset>
            </wp:positionH>
            <wp:positionV relativeFrom="paragraph">
              <wp:posOffset>1884639</wp:posOffset>
            </wp:positionV>
            <wp:extent cx="648335" cy="628650"/>
            <wp:effectExtent l="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D3A">
        <w:rPr>
          <w:rFonts w:ascii="Times New Roman" w:hAnsi="Times New Roman"/>
          <w:lang w:val="pt-BR"/>
        </w:rPr>
        <w:t xml:space="preserve">O </w:t>
      </w:r>
      <w:r w:rsidR="00A10C59">
        <w:rPr>
          <w:rFonts w:ascii="Times New Roman" w:hAnsi="Times New Roman"/>
          <w:lang w:val="pt-BR"/>
        </w:rPr>
        <w:t>estireno</w:t>
      </w:r>
      <w:r w:rsidR="00E23A91">
        <w:rPr>
          <w:rFonts w:ascii="Times New Roman" w:hAnsi="Times New Roman"/>
          <w:lang w:val="pt-BR"/>
        </w:rPr>
        <w:t>, mostrado na Figura 3,</w:t>
      </w:r>
      <w:r w:rsidR="00A10C59">
        <w:rPr>
          <w:rFonts w:ascii="Times New Roman" w:hAnsi="Times New Roman"/>
          <w:lang w:val="pt-BR"/>
        </w:rPr>
        <w:t xml:space="preserve"> foi selecionado como um substrato r</w:t>
      </w:r>
      <w:r w:rsidR="00CA42E1">
        <w:rPr>
          <w:rFonts w:ascii="Times New Roman" w:hAnsi="Times New Roman"/>
          <w:lang w:val="pt-BR"/>
        </w:rPr>
        <w:t xml:space="preserve">epresentativo da classe dos </w:t>
      </w:r>
      <w:proofErr w:type="spellStart"/>
      <w:r w:rsidR="00CA42E1">
        <w:rPr>
          <w:rFonts w:ascii="Times New Roman" w:hAnsi="Times New Roman"/>
          <w:lang w:val="pt-BR"/>
        </w:rPr>
        <w:t>vinilarenos</w:t>
      </w:r>
      <w:proofErr w:type="spellEnd"/>
      <w:r w:rsidR="00CA42E1">
        <w:rPr>
          <w:rFonts w:ascii="Times New Roman" w:hAnsi="Times New Roman"/>
          <w:lang w:val="pt-BR"/>
        </w:rPr>
        <w:t xml:space="preserve">. Como produto da hidroformilação são formados apenas os aldeídos linear e ramificado, pois sua estrutura química não possibilita a formação de isômeros. Geralmente, </w:t>
      </w:r>
      <w:r w:rsidR="00F92D0E">
        <w:rPr>
          <w:rFonts w:ascii="Times New Roman" w:hAnsi="Times New Roman"/>
          <w:lang w:val="pt-BR"/>
        </w:rPr>
        <w:t>a seletividade para os aldeídos é</w:t>
      </w:r>
      <w:r w:rsidR="00CA42E1">
        <w:rPr>
          <w:rFonts w:ascii="Times New Roman" w:hAnsi="Times New Roman"/>
          <w:lang w:val="pt-BR"/>
        </w:rPr>
        <w:t xml:space="preserve"> na ordem de 90% para o AR e 10% para o AL, sendo que essa alta regiosseletividade para o AR ocorre devido à estabilidade do intermediário </w:t>
      </w:r>
      <w:r w:rsidR="008D78D6">
        <w:rPr>
          <w:rFonts w:ascii="Times New Roman" w:hAnsi="Times New Roman"/>
          <w:lang w:val="pt-BR"/>
        </w:rPr>
        <w:t>ƞ</w:t>
      </w:r>
      <w:r w:rsidR="008D78D6" w:rsidRPr="005C3579">
        <w:rPr>
          <w:rFonts w:ascii="Times New Roman" w:hAnsi="Times New Roman"/>
          <w:vertAlign w:val="superscript"/>
          <w:lang w:val="pt-BR"/>
        </w:rPr>
        <w:t>3</w:t>
      </w:r>
      <w:r w:rsidR="008D78D6">
        <w:rPr>
          <w:rFonts w:ascii="Times New Roman" w:hAnsi="Times New Roman"/>
          <w:vertAlign w:val="superscript"/>
          <w:lang w:val="pt-BR"/>
        </w:rPr>
        <w:t xml:space="preserve"> </w:t>
      </w:r>
      <w:r w:rsidR="00CA42E1">
        <w:rPr>
          <w:rFonts w:ascii="Times New Roman" w:hAnsi="Times New Roman"/>
          <w:lang w:val="pt-BR"/>
        </w:rPr>
        <w:t>conferida pel</w:t>
      </w:r>
      <w:r w:rsidR="008D78D6">
        <w:rPr>
          <w:rFonts w:ascii="Times New Roman" w:hAnsi="Times New Roman"/>
          <w:lang w:val="pt-BR"/>
        </w:rPr>
        <w:t>a conjugação da olefina com o</w:t>
      </w:r>
      <w:r w:rsidR="00CA42E1">
        <w:rPr>
          <w:rFonts w:ascii="Times New Roman" w:hAnsi="Times New Roman"/>
          <w:lang w:val="pt-BR"/>
        </w:rPr>
        <w:t xml:space="preserve"> anel aromático</w:t>
      </w:r>
      <w:r w:rsidR="00134FF9">
        <w:rPr>
          <w:rFonts w:ascii="Times New Roman" w:hAnsi="Times New Roman"/>
          <w:lang w:val="pt-BR"/>
        </w:rPr>
        <w:t xml:space="preserve"> (17</w:t>
      </w:r>
      <w:r w:rsidR="00BF51BC">
        <w:rPr>
          <w:rFonts w:ascii="Times New Roman" w:hAnsi="Times New Roman"/>
          <w:lang w:val="pt-BR"/>
        </w:rPr>
        <w:t>)</w:t>
      </w:r>
      <w:r w:rsidR="00CA42E1">
        <w:rPr>
          <w:rFonts w:ascii="Times New Roman" w:hAnsi="Times New Roman"/>
          <w:lang w:val="pt-BR"/>
        </w:rPr>
        <w:t>. O estireno possui tendência a se polimerizar, principalmente em altas temperaturas</w:t>
      </w:r>
      <w:r w:rsidR="00B72C2B">
        <w:rPr>
          <w:rFonts w:ascii="Times New Roman" w:hAnsi="Times New Roman"/>
          <w:lang w:val="pt-BR"/>
        </w:rPr>
        <w:t>, por isso, é possível que sejam formados produtos de maior peso molecular.</w:t>
      </w:r>
    </w:p>
    <w:p w14:paraId="0D5352DC" w14:textId="409FEEAC" w:rsidR="00E23A91" w:rsidRDefault="00E23A91" w:rsidP="007A0D3A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31729B4" w14:textId="5B96DA99" w:rsidR="00B72C2B" w:rsidRDefault="00B72C2B" w:rsidP="00B72C2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Os resultados para a hidroformilação do estireno são apresentados na Tabela 2.</w:t>
      </w:r>
    </w:p>
    <w:p w14:paraId="3DF07DE7" w14:textId="39EC9174" w:rsidR="006827D9" w:rsidRDefault="00B72C2B" w:rsidP="006827D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Conforme </w:t>
      </w:r>
      <w:r w:rsidR="008D78D6">
        <w:rPr>
          <w:rFonts w:ascii="Times New Roman" w:hAnsi="Times New Roman"/>
          <w:lang w:val="pt-BR"/>
        </w:rPr>
        <w:t>descrito pela literatura</w:t>
      </w:r>
      <w:r>
        <w:rPr>
          <w:rFonts w:ascii="Times New Roman" w:hAnsi="Times New Roman"/>
          <w:lang w:val="pt-BR"/>
        </w:rPr>
        <w:t xml:space="preserve">, o sistema com tolueno apresentou </w:t>
      </w:r>
      <w:r w:rsidRPr="000B3A49">
        <w:rPr>
          <w:rFonts w:ascii="Times New Roman" w:hAnsi="Times New Roman"/>
          <w:lang w:val="pt-BR"/>
        </w:rPr>
        <w:t>regiosseletividade</w:t>
      </w:r>
      <w:r>
        <w:rPr>
          <w:rFonts w:ascii="Times New Roman" w:hAnsi="Times New Roman"/>
          <w:lang w:val="pt-BR"/>
        </w:rPr>
        <w:t xml:space="preserve"> </w:t>
      </w:r>
      <w:r w:rsidR="008D78D6">
        <w:rPr>
          <w:rFonts w:ascii="Times New Roman" w:hAnsi="Times New Roman"/>
          <w:lang w:val="pt-BR"/>
        </w:rPr>
        <w:t>superior</w:t>
      </w:r>
      <w:r>
        <w:rPr>
          <w:rFonts w:ascii="Times New Roman" w:hAnsi="Times New Roman"/>
          <w:lang w:val="pt-BR"/>
        </w:rPr>
        <w:t xml:space="preserve"> para o AR </w:t>
      </w:r>
      <w:r w:rsidR="008D78D6">
        <w:rPr>
          <w:rFonts w:ascii="Times New Roman" w:hAnsi="Times New Roman"/>
          <w:lang w:val="pt-BR"/>
        </w:rPr>
        <w:t>em relação</w:t>
      </w:r>
      <w:r>
        <w:rPr>
          <w:rFonts w:ascii="Times New Roman" w:hAnsi="Times New Roman"/>
          <w:lang w:val="pt-BR"/>
        </w:rPr>
        <w:t xml:space="preserve"> </w:t>
      </w:r>
      <w:r w:rsidR="008D78D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o AL, obtendo 92 e 8%, respectivamente. Já no sistema com texanol</w:t>
      </w:r>
      <w:r w:rsidR="00F92D0E">
        <w:rPr>
          <w:rFonts w:ascii="Times New Roman" w:hAnsi="Times New Roman"/>
          <w:lang w:val="pt-BR"/>
        </w:rPr>
        <w:t>™</w:t>
      </w:r>
      <w:r>
        <w:rPr>
          <w:rFonts w:ascii="Times New Roman" w:hAnsi="Times New Roman"/>
          <w:lang w:val="pt-BR"/>
        </w:rPr>
        <w:t>, até 41% de conversão, a seletividade estav</w:t>
      </w:r>
      <w:r w:rsidR="00F17785">
        <w:rPr>
          <w:rFonts w:ascii="Times New Roman" w:hAnsi="Times New Roman"/>
          <w:lang w:val="pt-BR"/>
        </w:rPr>
        <w:t xml:space="preserve">a dentro do esperado, contudo, no fim da reação, a conversão máxima foi de 70% e a </w:t>
      </w:r>
      <w:r w:rsidR="00F17785" w:rsidRPr="000B3A49">
        <w:rPr>
          <w:rFonts w:ascii="Times New Roman" w:hAnsi="Times New Roman"/>
          <w:lang w:val="pt-BR"/>
        </w:rPr>
        <w:t>seletividade</w:t>
      </w:r>
      <w:r w:rsidR="00BF51BC">
        <w:rPr>
          <w:rFonts w:ascii="Times New Roman" w:hAnsi="Times New Roman"/>
          <w:lang w:val="pt-BR"/>
        </w:rPr>
        <w:t xml:space="preserve"> para o AR caiu, enquanto a do AL aumentou</w:t>
      </w:r>
      <w:r w:rsidR="00F17785">
        <w:rPr>
          <w:rFonts w:ascii="Times New Roman" w:hAnsi="Times New Roman"/>
          <w:lang w:val="pt-BR"/>
        </w:rPr>
        <w:t xml:space="preserve"> proporcionalmente. A reação em CPME se comportou de forma semelhante à reação em texanol</w:t>
      </w:r>
      <w:r w:rsidR="00F92D0E">
        <w:rPr>
          <w:rFonts w:ascii="Times New Roman" w:hAnsi="Times New Roman"/>
          <w:lang w:val="pt-BR"/>
        </w:rPr>
        <w:t>™</w:t>
      </w:r>
      <w:r w:rsidR="00F17785">
        <w:rPr>
          <w:rFonts w:ascii="Times New Roman" w:hAnsi="Times New Roman"/>
          <w:lang w:val="pt-BR"/>
        </w:rPr>
        <w:t xml:space="preserve">, porém, no final, apresentou 1% de </w:t>
      </w:r>
      <w:r w:rsidR="009A3F78">
        <w:rPr>
          <w:rFonts w:ascii="Times New Roman" w:hAnsi="Times New Roman"/>
          <w:lang w:val="pt-BR"/>
        </w:rPr>
        <w:t xml:space="preserve">produtos </w:t>
      </w:r>
      <w:r w:rsidR="0099663F">
        <w:rPr>
          <w:rFonts w:ascii="Times New Roman" w:hAnsi="Times New Roman"/>
          <w:lang w:val="pt-BR"/>
        </w:rPr>
        <w:t>que não são detectados pelo</w:t>
      </w:r>
      <w:r w:rsidR="00F17785">
        <w:rPr>
          <w:rFonts w:ascii="Times New Roman" w:hAnsi="Times New Roman"/>
          <w:lang w:val="pt-BR"/>
        </w:rPr>
        <w:t xml:space="preserve"> CG.</w:t>
      </w:r>
      <w:r w:rsidR="0099663F">
        <w:rPr>
          <w:rFonts w:ascii="Times New Roman" w:hAnsi="Times New Roman"/>
          <w:lang w:val="pt-BR"/>
        </w:rPr>
        <w:t xml:space="preserve"> </w:t>
      </w:r>
      <w:r w:rsidR="00F17785">
        <w:rPr>
          <w:rFonts w:ascii="Times New Roman" w:hAnsi="Times New Roman"/>
          <w:lang w:val="pt-BR"/>
        </w:rPr>
        <w:t>Em DMI, o substrato f</w:t>
      </w:r>
      <w:r w:rsidR="0099663F">
        <w:rPr>
          <w:rFonts w:ascii="Times New Roman" w:hAnsi="Times New Roman"/>
          <w:lang w:val="pt-BR"/>
        </w:rPr>
        <w:t>oi totalmente convertido em 2</w:t>
      </w:r>
      <w:r w:rsidR="008D78D6">
        <w:rPr>
          <w:rFonts w:ascii="Times New Roman" w:hAnsi="Times New Roman"/>
          <w:lang w:val="pt-BR"/>
        </w:rPr>
        <w:t xml:space="preserve"> </w:t>
      </w:r>
      <w:r w:rsidR="0099663F">
        <w:rPr>
          <w:rFonts w:ascii="Times New Roman" w:hAnsi="Times New Roman"/>
          <w:lang w:val="pt-BR"/>
        </w:rPr>
        <w:t xml:space="preserve">h e, até 46% de conversão, a seletividade era próxima à obtida em tolueno, contudo, à medida que a reação progrediu, houve uma redução na seletividade para os aldeídos, decorrente do aumento de produtos não </w:t>
      </w:r>
      <w:r w:rsidR="008D78D6">
        <w:rPr>
          <w:rFonts w:ascii="Times New Roman" w:hAnsi="Times New Roman"/>
          <w:lang w:val="pt-BR"/>
        </w:rPr>
        <w:t>detectáveis pelo CG</w:t>
      </w:r>
      <w:r w:rsidR="0099663F">
        <w:rPr>
          <w:rFonts w:ascii="Times New Roman" w:hAnsi="Times New Roman"/>
          <w:lang w:val="pt-BR"/>
        </w:rPr>
        <w:t xml:space="preserve">. O sistema em </w:t>
      </w:r>
      <w:r w:rsidR="00F92D0E">
        <w:rPr>
          <w:rFonts w:ascii="Times New Roman" w:hAnsi="Times New Roman"/>
          <w:lang w:val="pt-BR"/>
        </w:rPr>
        <w:t>c</w:t>
      </w:r>
      <w:r w:rsidR="0099663F">
        <w:rPr>
          <w:rFonts w:ascii="Times New Roman" w:hAnsi="Times New Roman"/>
          <w:lang w:val="pt-BR"/>
        </w:rPr>
        <w:t>yrene</w:t>
      </w:r>
      <w:r w:rsidR="0099663F">
        <w:rPr>
          <w:rFonts w:ascii="Times New Roman" w:hAnsi="Times New Roman"/>
          <w:vertAlign w:val="superscript"/>
          <w:lang w:val="pt-BR"/>
        </w:rPr>
        <w:t>TM</w:t>
      </w:r>
      <w:r w:rsidR="0099663F">
        <w:rPr>
          <w:rFonts w:ascii="Times New Roman" w:hAnsi="Times New Roman"/>
          <w:lang w:val="pt-BR"/>
        </w:rPr>
        <w:t xml:space="preserve"> obteve</w:t>
      </w:r>
      <w:r w:rsidR="009A3F78">
        <w:rPr>
          <w:rFonts w:ascii="Times New Roman" w:hAnsi="Times New Roman"/>
          <w:lang w:val="pt-BR"/>
        </w:rPr>
        <w:t xml:space="preserve"> 82</w:t>
      </w:r>
      <w:r w:rsidR="0099663F">
        <w:rPr>
          <w:rFonts w:ascii="Times New Roman" w:hAnsi="Times New Roman"/>
          <w:lang w:val="pt-BR"/>
        </w:rPr>
        <w:t>% de conversão nos primeiros minutos de reação,</w:t>
      </w:r>
      <w:r w:rsidR="009A3F78">
        <w:rPr>
          <w:rFonts w:ascii="Times New Roman" w:hAnsi="Times New Roman"/>
          <w:lang w:val="pt-BR"/>
        </w:rPr>
        <w:t xml:space="preserve"> contudo, ao final da reação, foram formados 38% de produtos de maior peso molecular, havendo uma queda drástica na quimiosseletividade para os aldeídos.</w:t>
      </w:r>
      <w:r w:rsidR="00B73859">
        <w:rPr>
          <w:rFonts w:ascii="Times New Roman" w:hAnsi="Times New Roman"/>
          <w:lang w:val="pt-BR"/>
        </w:rPr>
        <w:t xml:space="preserve"> </w:t>
      </w:r>
      <w:r w:rsidR="006827D9">
        <w:rPr>
          <w:rFonts w:ascii="Times New Roman" w:hAnsi="Times New Roman"/>
          <w:lang w:val="pt-BR"/>
        </w:rPr>
        <w:t xml:space="preserve">Os resultados para </w:t>
      </w:r>
      <w:r w:rsidR="00E84DC2">
        <w:rPr>
          <w:rFonts w:ascii="Times New Roman" w:hAnsi="Times New Roman"/>
          <w:lang w:val="pt-BR"/>
        </w:rPr>
        <w:t xml:space="preserve">o sistema com </w:t>
      </w:r>
      <w:r w:rsidR="006827D9">
        <w:rPr>
          <w:rFonts w:ascii="Times New Roman" w:hAnsi="Times New Roman"/>
          <w:lang w:val="pt-BR"/>
        </w:rPr>
        <w:t>triacetina foram positivos, havendo 97% de conversão em 2</w:t>
      </w:r>
      <w:r w:rsidR="008D78D6">
        <w:rPr>
          <w:rFonts w:ascii="Times New Roman" w:hAnsi="Times New Roman"/>
          <w:lang w:val="pt-BR"/>
        </w:rPr>
        <w:t xml:space="preserve"> </w:t>
      </w:r>
      <w:r w:rsidR="006827D9">
        <w:rPr>
          <w:rFonts w:ascii="Times New Roman" w:hAnsi="Times New Roman"/>
          <w:lang w:val="pt-BR"/>
        </w:rPr>
        <w:t>h e seletividade de 87% para o AR e 13% para o AL, valores muito semelhantes ao do sistema com tolueno.</w:t>
      </w:r>
    </w:p>
    <w:p w14:paraId="2E130FC2" w14:textId="22755DFC" w:rsidR="00080702" w:rsidRPr="003241EB" w:rsidRDefault="008015C7" w:rsidP="00E25D3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D02D32" wp14:editId="037BC533">
                <wp:simplePos x="0" y="0"/>
                <wp:positionH relativeFrom="column">
                  <wp:posOffset>4223385</wp:posOffset>
                </wp:positionH>
                <wp:positionV relativeFrom="paragraph">
                  <wp:posOffset>233680</wp:posOffset>
                </wp:positionV>
                <wp:extent cx="1226820" cy="635"/>
                <wp:effectExtent l="0" t="0" r="0" b="3175"/>
                <wp:wrapTopAndBottom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681BCF" w14:textId="68E04A90" w:rsidR="008015C7" w:rsidRPr="001270FD" w:rsidRDefault="008015C7" w:rsidP="008015C7">
                            <w:pPr>
                              <w:pStyle w:val="Legenda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>. Álcool perílico.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02D32" id="Caixa de Texto 13" o:spid="_x0000_s1031" type="#_x0000_t202" style="position:absolute;left:0;text-align:left;margin-left:332.55pt;margin-top:18.4pt;width:96.6pt;height:.0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" stroked="f">
                <v:textbox style="mso-fit-shape-to-text:t" inset="0,0,0,0">
                  <w:txbxContent>
                    <w:p w14:paraId="47681BCF" w14:textId="68E04A90" w:rsidR="008015C7" w:rsidRPr="001270FD" w:rsidRDefault="008015C7" w:rsidP="008015C7">
                      <w:pPr>
                        <w:pStyle w:val="Legenda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>. Álcool perílico.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B3A49" w:rsidRPr="003241EB">
        <w:rPr>
          <w:rFonts w:ascii="Times New Roman" w:eastAsiaTheme="minorEastAsia" w:hAnsi="Times New Roman" w:cstheme="minorBidi"/>
          <w:lang w:val="pt-BR" w:eastAsia="en-US"/>
        </w:rPr>
        <w:t>Com relação</w:t>
      </w:r>
      <w:r w:rsidR="006E3AAF" w:rsidRPr="003241EB">
        <w:rPr>
          <w:rFonts w:ascii="Times New Roman" w:eastAsiaTheme="minorEastAsia" w:hAnsi="Times New Roman" w:cstheme="minorBidi"/>
          <w:lang w:val="pt-BR" w:eastAsia="en-US"/>
        </w:rPr>
        <w:t xml:space="preserve"> as curv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>a</w:t>
      </w:r>
      <w:r w:rsidR="000B3A49" w:rsidRPr="003241EB">
        <w:rPr>
          <w:rFonts w:ascii="Times New Roman" w:eastAsiaTheme="minorEastAsia" w:hAnsi="Times New Roman" w:cstheme="minorBidi"/>
          <w:lang w:val="pt-BR" w:eastAsia="en-US"/>
        </w:rPr>
        <w:t xml:space="preserve">s cinéticas, </w:t>
      </w:r>
      <w:r w:rsidR="00A1471B">
        <w:rPr>
          <w:rFonts w:ascii="Times New Roman" w:hAnsi="Times New Roman"/>
          <w:lang w:val="pt-BR"/>
        </w:rPr>
        <w:t>a</w:t>
      </w:r>
      <w:r w:rsidR="00080702" w:rsidRPr="003241EB">
        <w:rPr>
          <w:rFonts w:ascii="Times New Roman" w:hAnsi="Times New Roman"/>
          <w:lang w:val="pt-BR"/>
        </w:rPr>
        <w:t xml:space="preserve"> reação em texa</w:t>
      </w:r>
      <w:r w:rsidR="00C115D7" w:rsidRPr="003241EB">
        <w:rPr>
          <w:rFonts w:ascii="Times New Roman" w:hAnsi="Times New Roman"/>
          <w:lang w:val="pt-BR"/>
        </w:rPr>
        <w:t>nol</w:t>
      </w:r>
      <w:r w:rsidR="00F92D0E">
        <w:rPr>
          <w:rFonts w:ascii="Times New Roman" w:hAnsi="Times New Roman"/>
          <w:lang w:val="pt-BR"/>
        </w:rPr>
        <w:t>™</w:t>
      </w:r>
      <w:r w:rsidR="00C115D7" w:rsidRPr="003241EB">
        <w:rPr>
          <w:rFonts w:ascii="Times New Roman" w:hAnsi="Times New Roman"/>
          <w:lang w:val="pt-BR"/>
        </w:rPr>
        <w:t xml:space="preserve"> é lenta e em 2</w:t>
      </w:r>
      <w:r w:rsidR="008D78D6">
        <w:rPr>
          <w:rFonts w:ascii="Times New Roman" w:hAnsi="Times New Roman"/>
          <w:lang w:val="pt-BR"/>
        </w:rPr>
        <w:t xml:space="preserve"> </w:t>
      </w:r>
      <w:r w:rsidR="00C115D7" w:rsidRPr="003241EB">
        <w:rPr>
          <w:rFonts w:ascii="Times New Roman" w:hAnsi="Times New Roman"/>
          <w:lang w:val="pt-BR"/>
        </w:rPr>
        <w:t>h</w:t>
      </w:r>
      <w:r w:rsidR="00080702" w:rsidRPr="003241EB">
        <w:rPr>
          <w:rFonts w:ascii="Times New Roman" w:hAnsi="Times New Roman"/>
          <w:lang w:val="pt-BR"/>
        </w:rPr>
        <w:t xml:space="preserve"> apenas 70% do est</w:t>
      </w:r>
      <w:r w:rsidR="006E3AAF" w:rsidRPr="003241EB">
        <w:rPr>
          <w:rFonts w:ascii="Times New Roman" w:hAnsi="Times New Roman"/>
          <w:lang w:val="pt-BR"/>
        </w:rPr>
        <w:t>ireno é convertido, enquanto</w:t>
      </w:r>
      <w:r w:rsidR="00080702" w:rsidRPr="003241EB">
        <w:rPr>
          <w:rFonts w:ascii="Times New Roman" w:hAnsi="Times New Roman"/>
          <w:lang w:val="pt-BR"/>
        </w:rPr>
        <w:t xml:space="preserve"> em tolueno, apesar de </w:t>
      </w:r>
      <w:r w:rsidR="006E3AAF" w:rsidRPr="003241EB">
        <w:rPr>
          <w:rFonts w:ascii="Times New Roman" w:hAnsi="Times New Roman"/>
          <w:lang w:val="pt-BR"/>
        </w:rPr>
        <w:t>haver um</w:t>
      </w:r>
      <w:r w:rsidR="00080702" w:rsidRPr="003241EB">
        <w:rPr>
          <w:rFonts w:ascii="Times New Roman" w:hAnsi="Times New Roman"/>
          <w:lang w:val="pt-BR"/>
        </w:rPr>
        <w:t xml:space="preserve"> </w:t>
      </w:r>
      <w:r w:rsidR="00C115D7" w:rsidRPr="003241EB">
        <w:rPr>
          <w:rFonts w:ascii="Times New Roman" w:hAnsi="Times New Roman"/>
          <w:lang w:val="pt-BR"/>
        </w:rPr>
        <w:t>tempo de indução de 30 min</w:t>
      </w:r>
      <w:r w:rsidR="00080702" w:rsidRPr="003241EB">
        <w:rPr>
          <w:rFonts w:ascii="Times New Roman" w:hAnsi="Times New Roman"/>
          <w:lang w:val="pt-BR"/>
        </w:rPr>
        <w:t>,</w:t>
      </w:r>
      <w:r w:rsidR="00C115D7" w:rsidRPr="003241EB">
        <w:rPr>
          <w:rFonts w:ascii="Times New Roman" w:hAnsi="Times New Roman"/>
          <w:lang w:val="pt-BR"/>
        </w:rPr>
        <w:t xml:space="preserve"> </w:t>
      </w:r>
      <w:r w:rsidR="00080702" w:rsidRPr="003241EB">
        <w:rPr>
          <w:rFonts w:ascii="Times New Roman" w:hAnsi="Times New Roman"/>
          <w:lang w:val="pt-BR"/>
        </w:rPr>
        <w:t>praticamente</w:t>
      </w:r>
      <w:r w:rsidR="006E3AAF" w:rsidRPr="003241EB">
        <w:rPr>
          <w:rFonts w:ascii="Times New Roman" w:hAnsi="Times New Roman"/>
          <w:lang w:val="pt-BR"/>
        </w:rPr>
        <w:t>,</w:t>
      </w:r>
      <w:r w:rsidR="00080702" w:rsidRPr="003241EB">
        <w:rPr>
          <w:rFonts w:ascii="Times New Roman" w:hAnsi="Times New Roman"/>
          <w:lang w:val="pt-BR"/>
        </w:rPr>
        <w:t xml:space="preserve"> todo o substrato é convertido em </w:t>
      </w:r>
      <w:r w:rsidR="00A1471B" w:rsidRPr="003241EB">
        <w:rPr>
          <w:rFonts w:ascii="Times New Roman" w:hAnsi="Times New Roman"/>
          <w:lang w:val="pt-BR"/>
        </w:rPr>
        <w:t>1</w:t>
      </w:r>
      <w:r w:rsidR="00A1471B">
        <w:rPr>
          <w:rFonts w:ascii="Times New Roman" w:hAnsi="Times New Roman"/>
          <w:lang w:val="pt-BR"/>
        </w:rPr>
        <w:t>,5 h</w:t>
      </w:r>
      <w:r w:rsidR="00A1471B" w:rsidRPr="003241EB">
        <w:rPr>
          <w:rFonts w:ascii="Times New Roman" w:hAnsi="Times New Roman"/>
          <w:lang w:val="pt-BR"/>
        </w:rPr>
        <w:t xml:space="preserve"> </w:t>
      </w:r>
      <w:r w:rsidR="00080702" w:rsidRPr="003241EB">
        <w:rPr>
          <w:rFonts w:ascii="Times New Roman" w:hAnsi="Times New Roman"/>
          <w:lang w:val="pt-BR"/>
        </w:rPr>
        <w:t xml:space="preserve">de reação. </w:t>
      </w:r>
      <w:r w:rsidR="00E25D38" w:rsidRPr="003241EB">
        <w:rPr>
          <w:rFonts w:ascii="Times New Roman" w:hAnsi="Times New Roman"/>
          <w:lang w:val="pt-BR"/>
        </w:rPr>
        <w:t>Com relação aos solventes sustentáveis, a</w:t>
      </w:r>
      <w:r w:rsidR="00080702" w:rsidRPr="003241EB">
        <w:rPr>
          <w:rFonts w:ascii="Times New Roman" w:hAnsi="Times New Roman"/>
          <w:lang w:val="pt-BR"/>
        </w:rPr>
        <w:t xml:space="preserve"> reação com CPME apresentou um comportamento cinético sem</w:t>
      </w:r>
      <w:r w:rsidR="00BF51BC" w:rsidRPr="003241EB">
        <w:rPr>
          <w:rFonts w:ascii="Times New Roman" w:hAnsi="Times New Roman"/>
          <w:lang w:val="pt-BR"/>
        </w:rPr>
        <w:t>elhante à reação com texanol</w:t>
      </w:r>
      <w:r w:rsidR="00F92D0E">
        <w:rPr>
          <w:rFonts w:ascii="Times New Roman" w:hAnsi="Times New Roman"/>
          <w:lang w:val="pt-BR"/>
        </w:rPr>
        <w:t>™</w:t>
      </w:r>
      <w:r w:rsidR="00BF51BC" w:rsidRPr="003241EB">
        <w:rPr>
          <w:rFonts w:ascii="Times New Roman" w:hAnsi="Times New Roman"/>
          <w:lang w:val="pt-BR"/>
        </w:rPr>
        <w:t>, por conseguinte</w:t>
      </w:r>
      <w:r w:rsidR="00080702" w:rsidRPr="003241EB">
        <w:rPr>
          <w:rFonts w:ascii="Times New Roman" w:hAnsi="Times New Roman"/>
          <w:lang w:val="pt-BR"/>
        </w:rPr>
        <w:t xml:space="preserve">, apresentou velocidade consideravelmente menor do que a reação com tolueno. 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>A</w:t>
      </w:r>
      <w:r w:rsidR="00080702" w:rsidRPr="003241EB">
        <w:rPr>
          <w:rFonts w:ascii="Times New Roman" w:eastAsiaTheme="minorEastAsia" w:hAnsi="Times New Roman" w:cstheme="minorBidi"/>
          <w:lang w:val="pt-BR" w:eastAsia="en-US"/>
        </w:rPr>
        <w:t>s reações em DMI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>,</w:t>
      </w:r>
      <w:r w:rsidR="00080702" w:rsidRPr="003241EB">
        <w:rPr>
          <w:rFonts w:ascii="Times New Roman" w:eastAsiaTheme="minorEastAsia" w:hAnsi="Times New Roman" w:cstheme="minorBidi"/>
          <w:lang w:val="pt-BR" w:eastAsia="en-US"/>
        </w:rPr>
        <w:t xml:space="preserve"> </w:t>
      </w:r>
      <w:r w:rsidR="00F92D0E">
        <w:rPr>
          <w:rFonts w:ascii="Times New Roman" w:eastAsiaTheme="minorEastAsia" w:hAnsi="Times New Roman" w:cstheme="minorBidi"/>
          <w:lang w:val="pt-BR" w:eastAsia="en-US"/>
        </w:rPr>
        <w:t>c</w:t>
      </w:r>
      <w:r w:rsidR="00080702" w:rsidRPr="003241EB">
        <w:rPr>
          <w:rFonts w:ascii="Times New Roman" w:eastAsiaTheme="minorEastAsia" w:hAnsi="Times New Roman" w:cstheme="minorBidi"/>
          <w:lang w:val="pt-BR" w:eastAsia="en-US"/>
        </w:rPr>
        <w:t>yrene</w:t>
      </w:r>
      <w:r w:rsidR="00080702" w:rsidRPr="003241EB">
        <w:rPr>
          <w:rFonts w:ascii="Times New Roman" w:eastAsiaTheme="minorEastAsia" w:hAnsi="Times New Roman" w:cstheme="minorBidi"/>
          <w:vertAlign w:val="superscript"/>
          <w:lang w:val="pt-BR" w:eastAsia="en-US"/>
        </w:rPr>
        <w:t>TM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 xml:space="preserve"> e triacetina</w:t>
      </w:r>
      <w:r w:rsidR="000B3A49" w:rsidRPr="003241EB">
        <w:rPr>
          <w:rFonts w:ascii="Times New Roman" w:eastAsiaTheme="minorEastAsia" w:hAnsi="Times New Roman" w:cstheme="minorBidi"/>
          <w:lang w:val="pt-BR" w:eastAsia="en-US"/>
        </w:rPr>
        <w:t xml:space="preserve"> 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 xml:space="preserve">apresentaram uma cinética </w:t>
      </w:r>
      <w:r w:rsidR="00A1471B">
        <w:rPr>
          <w:rFonts w:ascii="Times New Roman" w:eastAsiaTheme="minorEastAsia" w:hAnsi="Times New Roman" w:cstheme="minorBidi"/>
          <w:lang w:val="pt-BR" w:eastAsia="en-US"/>
        </w:rPr>
        <w:t>superior</w:t>
      </w:r>
      <w:r w:rsidR="00A1471B" w:rsidRPr="003241EB">
        <w:rPr>
          <w:rFonts w:ascii="Times New Roman" w:eastAsiaTheme="minorEastAsia" w:hAnsi="Times New Roman" w:cstheme="minorBidi"/>
          <w:lang w:val="pt-BR" w:eastAsia="en-US"/>
        </w:rPr>
        <w:t xml:space="preserve"> 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>do que em ambos os solventes de referência, contudo,</w:t>
      </w:r>
      <w:r w:rsidR="00BF51BC" w:rsidRPr="003241EB">
        <w:rPr>
          <w:rFonts w:ascii="Times New Roman" w:eastAsiaTheme="minorEastAsia" w:hAnsi="Times New Roman" w:cstheme="minorBidi"/>
          <w:lang w:val="pt-BR" w:eastAsia="en-US"/>
        </w:rPr>
        <w:t xml:space="preserve"> n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 xml:space="preserve">o caso do DMI e do </w:t>
      </w:r>
      <w:r w:rsidR="00F92D0E">
        <w:rPr>
          <w:rFonts w:ascii="Times New Roman" w:eastAsiaTheme="minorEastAsia" w:hAnsi="Times New Roman" w:cstheme="minorBidi"/>
          <w:lang w:val="pt-BR" w:eastAsia="en-US"/>
        </w:rPr>
        <w:t>c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>yrene</w:t>
      </w:r>
      <w:r w:rsidR="00E25D38" w:rsidRPr="003241EB">
        <w:rPr>
          <w:rFonts w:ascii="Times New Roman" w:eastAsiaTheme="minorEastAsia" w:hAnsi="Times New Roman" w:cstheme="minorBidi"/>
          <w:vertAlign w:val="superscript"/>
          <w:lang w:val="pt-BR" w:eastAsia="en-US"/>
        </w:rPr>
        <w:t>TM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 xml:space="preserve">, </w:t>
      </w:r>
      <w:r w:rsidR="00996CA1">
        <w:rPr>
          <w:rFonts w:ascii="Times New Roman" w:eastAsiaTheme="minorEastAsia" w:hAnsi="Times New Roman" w:cstheme="minorBidi"/>
          <w:lang w:val="pt-BR" w:eastAsia="en-US"/>
        </w:rPr>
        <w:t>houve queda na</w:t>
      </w:r>
      <w:r w:rsidR="00E25D38" w:rsidRPr="003241EB">
        <w:rPr>
          <w:rFonts w:ascii="Times New Roman" w:eastAsiaTheme="minorEastAsia" w:hAnsi="Times New Roman" w:cstheme="minorBidi"/>
          <w:lang w:val="pt-BR" w:eastAsia="en-US"/>
        </w:rPr>
        <w:t xml:space="preserve"> seletividade para os aldeídos. </w:t>
      </w:r>
      <w:r w:rsidR="000B3A49" w:rsidRPr="003241EB">
        <w:rPr>
          <w:rFonts w:ascii="Times New Roman" w:eastAsiaTheme="minorEastAsia" w:hAnsi="Times New Roman" w:cstheme="minorBidi"/>
          <w:lang w:val="pt-BR" w:eastAsia="en-US"/>
        </w:rPr>
        <w:t>Já no sistema com</w:t>
      </w:r>
      <w:r w:rsidR="00080702" w:rsidRPr="003241EB">
        <w:rPr>
          <w:rFonts w:ascii="Times New Roman" w:eastAsiaTheme="minorEastAsia" w:hAnsi="Times New Roman" w:cstheme="minorBidi"/>
          <w:lang w:val="pt-BR" w:eastAsia="en-US"/>
        </w:rPr>
        <w:t xml:space="preserve"> triacetina, </w:t>
      </w:r>
      <w:r w:rsidR="006E3AAF" w:rsidRPr="003241EB">
        <w:rPr>
          <w:rFonts w:ascii="Times New Roman" w:eastAsiaTheme="minorEastAsia" w:hAnsi="Times New Roman" w:cstheme="minorBidi"/>
          <w:lang w:val="pt-BR" w:eastAsia="en-US"/>
        </w:rPr>
        <w:t>o aumento na velocidade é acompanhado por uma seletividade para os aldeídos comparável à do sistema com tolueno, despertando maior interesse nesse solvente.</w:t>
      </w:r>
    </w:p>
    <w:p w14:paraId="10CEDD63" w14:textId="3663BCCA" w:rsidR="00016743" w:rsidRDefault="00016743" w:rsidP="000B3A49">
      <w:pPr>
        <w:pStyle w:val="Legenda"/>
        <w:keepNext/>
        <w:spacing w:after="0"/>
      </w:pPr>
      <w:r>
        <w:t xml:space="preserve">Tabela </w:t>
      </w:r>
      <w:fldSimple w:instr=" SEQ Tabela \* ARABIC ">
        <w:r w:rsidR="008015C7">
          <w:rPr>
            <w:noProof/>
          </w:rPr>
          <w:t>2</w:t>
        </w:r>
      </w:fldSimple>
      <w:r>
        <w:t>. Hidroformilação do estireno.</w:t>
      </w:r>
    </w:p>
    <w:tbl>
      <w:tblPr>
        <w:tblStyle w:val="Tabelacomgrade"/>
        <w:tblW w:w="5237" w:type="pct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1276"/>
        <w:gridCol w:w="992"/>
        <w:gridCol w:w="736"/>
        <w:gridCol w:w="540"/>
        <w:gridCol w:w="883"/>
      </w:tblGrid>
      <w:tr w:rsidR="00016743" w:rsidRPr="009A3AC5" w14:paraId="3F06DBD0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vMerge w:val="restart"/>
            <w:tcBorders>
              <w:left w:val="nil"/>
              <w:right w:val="nil"/>
            </w:tcBorders>
            <w:vAlign w:val="center"/>
          </w:tcPr>
          <w:p w14:paraId="5F1306E0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="Arial"/>
                <w:b/>
                <w:bCs/>
              </w:rPr>
              <w:t>Exp.</w:t>
            </w:r>
          </w:p>
        </w:tc>
        <w:tc>
          <w:tcPr>
            <w:tcW w:w="1222" w:type="pct"/>
            <w:vMerge w:val="restart"/>
            <w:tcBorders>
              <w:left w:val="nil"/>
              <w:right w:val="nil"/>
            </w:tcBorders>
            <w:vAlign w:val="center"/>
          </w:tcPr>
          <w:p w14:paraId="77FB9CF5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Solvente</w:t>
            </w:r>
          </w:p>
        </w:tc>
        <w:tc>
          <w:tcPr>
            <w:tcW w:w="950" w:type="pct"/>
            <w:vMerge w:val="restart"/>
            <w:tcBorders>
              <w:left w:val="nil"/>
              <w:right w:val="nil"/>
            </w:tcBorders>
            <w:vAlign w:val="center"/>
          </w:tcPr>
          <w:p w14:paraId="0AC15E31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C (%)</w:t>
            </w:r>
          </w:p>
        </w:tc>
        <w:tc>
          <w:tcPr>
            <w:tcW w:w="2068" w:type="pct"/>
            <w:gridSpan w:val="3"/>
            <w:tcBorders>
              <w:left w:val="nil"/>
              <w:right w:val="nil"/>
            </w:tcBorders>
            <w:vAlign w:val="center"/>
          </w:tcPr>
          <w:p w14:paraId="37472297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Seletivi</w:t>
            </w:r>
            <w:r>
              <w:rPr>
                <w:rFonts w:cs="Arial"/>
                <w:b/>
                <w:bCs/>
              </w:rPr>
              <w:t>dade (%)</w:t>
            </w:r>
          </w:p>
        </w:tc>
      </w:tr>
      <w:tr w:rsidR="00016743" w:rsidRPr="009A3AC5" w14:paraId="5A4009E7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2B960E" w14:textId="77777777" w:rsidR="00016743" w:rsidRPr="009A3AC5" w:rsidRDefault="00016743" w:rsidP="0034002D">
            <w:pPr>
              <w:keepNext/>
              <w:spacing w:befor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28423E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5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823657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0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6B7E25" w14:textId="61ED4ACF" w:rsidR="00016743" w:rsidRPr="009A3AC5" w:rsidRDefault="000D2067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AR</w:t>
            </w:r>
          </w:p>
        </w:tc>
        <w:tc>
          <w:tcPr>
            <w:tcW w:w="51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D349C6" w14:textId="29472BC6" w:rsidR="00016743" w:rsidRPr="009A3AC5" w:rsidRDefault="000D2067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AL</w:t>
            </w:r>
          </w:p>
        </w:tc>
        <w:tc>
          <w:tcPr>
            <w:tcW w:w="8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22631" w14:textId="36F1422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</w:t>
            </w:r>
            <w:r w:rsidR="00017232">
              <w:rPr>
                <w:rFonts w:cs="Arial"/>
                <w:b/>
                <w:bCs/>
              </w:rPr>
              <w:t>ros</w:t>
            </w:r>
          </w:p>
        </w:tc>
      </w:tr>
      <w:tr w:rsidR="00016743" w:rsidRPr="009A3AC5" w14:paraId="42774C53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D688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03A9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Tolueno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595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4124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DE05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146C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016743" w:rsidRPr="009A3AC5" w14:paraId="4B06731A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B7E4DD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D3F4E3" w14:textId="77777777" w:rsidR="00016743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Texanol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667305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575665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9A106C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74CDC2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016743" w:rsidRPr="009A3AC5" w14:paraId="0A938610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A8E60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E239" w14:textId="77777777" w:rsidR="00016743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CPME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8D61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B8ED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2B27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A1C7C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016743" w:rsidRPr="009A3AC5" w14:paraId="283775B2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8AC317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E6B3ACC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DMI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B7E19" w14:textId="71332A09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&gt;99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E164B0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E0AB73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1E29D4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016743" w:rsidRPr="009A3AC5" w14:paraId="5FD3B51E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F2AC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957D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Cyrene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B08F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&gt;99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10C0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7570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606E7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</w:tr>
      <w:tr w:rsidR="00016743" w:rsidRPr="009A3AC5" w14:paraId="15011D8F" w14:textId="77777777" w:rsidTr="00210C7B">
        <w:trPr>
          <w:cantSplit/>
          <w:trHeight w:hRule="exact" w:val="283"/>
          <w:tblHeader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D81AA3" w14:textId="77777777" w:rsidR="00016743" w:rsidRDefault="00016743" w:rsidP="000B3A49">
            <w:pPr>
              <w:keepNext/>
              <w:spacing w:before="0"/>
              <w:ind w:firstLine="0"/>
              <w:jc w:val="center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82B7C8" w14:textId="247D5075" w:rsidR="00016743" w:rsidRDefault="00945BE6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Triacetina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D141F4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DC26BA" w14:textId="7D755CD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C6756D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93B7DB" w14:textId="77777777" w:rsidR="00016743" w:rsidRPr="009A3AC5" w:rsidRDefault="00016743" w:rsidP="0034002D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016743" w:rsidRPr="009A3AC5" w14:paraId="7CBA31DC" w14:textId="77777777" w:rsidTr="00210C7B">
        <w:trPr>
          <w:cantSplit/>
          <w:trHeight w:hRule="exact" w:val="1191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7B7FC" w14:textId="08ABCBA0" w:rsidR="00016743" w:rsidRPr="009A3AC5" w:rsidRDefault="00016743" w:rsidP="000B3A49">
            <w:pPr>
              <w:keepNext/>
              <w:spacing w:before="0" w:line="240" w:lineRule="auto"/>
              <w:ind w:firstLine="0"/>
              <w:rPr>
                <w:rFonts w:asciiTheme="minorHAnsi" w:eastAsiaTheme="minorEastAsia" w:hAnsiTheme="minorHAnsi" w:cs="Arial"/>
                <w:sz w:val="21"/>
                <w:szCs w:val="21"/>
                <w:lang w:eastAsia="en-US"/>
              </w:rPr>
            </w:pPr>
            <w:r w:rsidRPr="005F46A6">
              <w:rPr>
                <w:rFonts w:cs="Arial"/>
                <w:sz w:val="16"/>
                <w:szCs w:val="16"/>
              </w:rPr>
              <w:t xml:space="preserve">Condições reacionais: </w:t>
            </w:r>
            <w:r>
              <w:rPr>
                <w:rFonts w:cs="Arial"/>
                <w:sz w:val="16"/>
                <w:szCs w:val="16"/>
              </w:rPr>
              <w:t>estireno</w:t>
            </w:r>
            <w:r w:rsidRPr="005F46A6">
              <w:rPr>
                <w:rFonts w:cs="Arial"/>
                <w:sz w:val="16"/>
                <w:szCs w:val="16"/>
              </w:rPr>
              <w:t xml:space="preserve"> – 0,40 M (8 mmol), [Rh(</w:t>
            </w:r>
            <w:proofErr w:type="spellStart"/>
            <w:r>
              <w:rPr>
                <w:rFonts w:cs="Arial"/>
                <w:sz w:val="16"/>
                <w:szCs w:val="16"/>
              </w:rPr>
              <w:t>acac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)(</w:t>
            </w:r>
            <w:r>
              <w:rPr>
                <w:rFonts w:cs="Arial"/>
                <w:sz w:val="16"/>
                <w:szCs w:val="16"/>
              </w:rPr>
              <w:t>CO)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>] – 0,</w:t>
            </w:r>
            <w:r>
              <w:rPr>
                <w:rFonts w:cs="Arial"/>
                <w:sz w:val="16"/>
                <w:szCs w:val="16"/>
              </w:rPr>
              <w:t>5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mM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10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μmol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), ligante – PPh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5F46A6">
              <w:rPr>
                <w:rFonts w:cs="Arial"/>
                <w:sz w:val="16"/>
                <w:szCs w:val="16"/>
              </w:rPr>
              <w:t xml:space="preserve"> (P/Rh = 10), </w:t>
            </w:r>
            <w:r>
              <w:rPr>
                <w:rFonts w:cs="Arial"/>
                <w:sz w:val="16"/>
                <w:szCs w:val="16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 xml:space="preserve">0 </w:t>
            </w:r>
            <w:r w:rsidR="00C733D7">
              <w:rPr>
                <w:rFonts w:cs="Arial"/>
                <w:sz w:val="16"/>
                <w:szCs w:val="16"/>
              </w:rPr>
              <w:t>bar</w:t>
            </w:r>
            <w:r w:rsidRPr="005F46A6">
              <w:rPr>
                <w:rFonts w:cs="Arial"/>
                <w:sz w:val="16"/>
                <w:szCs w:val="16"/>
              </w:rPr>
              <w:t xml:space="preserve"> (CO/H</w:t>
            </w:r>
            <w:r w:rsidRPr="00E95858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 xml:space="preserve"> = 1/1), 80 °C, 2 h, solvente – 20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. Conversão e rendimento foram calculados baseada na conversão do substrato em relação ao padrão interno (</w:t>
            </w:r>
            <w:r w:rsidRPr="00993554">
              <w:rPr>
                <w:rFonts w:cs="Arial"/>
                <w:i/>
                <w:iCs/>
                <w:sz w:val="16"/>
                <w:szCs w:val="16"/>
              </w:rPr>
              <w:t>p</w:t>
            </w:r>
            <w:r w:rsidRPr="005F46A6">
              <w:rPr>
                <w:rFonts w:cs="Arial"/>
                <w:sz w:val="16"/>
                <w:szCs w:val="16"/>
              </w:rPr>
              <w:t xml:space="preserve">-xileno - 4 </w:t>
            </w:r>
            <w:r>
              <w:rPr>
                <w:rFonts w:cs="Arial"/>
                <w:sz w:val="16"/>
                <w:szCs w:val="16"/>
              </w:rPr>
              <w:t>m</w:t>
            </w:r>
            <w:r w:rsidRPr="005F46A6">
              <w:rPr>
                <w:rFonts w:cs="Arial"/>
                <w:sz w:val="16"/>
                <w:szCs w:val="16"/>
              </w:rPr>
              <w:t>mol);</w:t>
            </w:r>
            <w:r w:rsidR="00017232">
              <w:rPr>
                <w:rFonts w:cs="Arial"/>
                <w:sz w:val="16"/>
                <w:szCs w:val="16"/>
              </w:rPr>
              <w:t xml:space="preserve"> </w:t>
            </w:r>
            <w:r w:rsidR="00017232" w:rsidRPr="00017232">
              <w:rPr>
                <w:rFonts w:cs="Arial"/>
                <w:sz w:val="16"/>
                <w:szCs w:val="16"/>
              </w:rPr>
              <w:t>AR – aldeído ramificado; AL – aldeído linear.</w:t>
            </w:r>
          </w:p>
        </w:tc>
      </w:tr>
    </w:tbl>
    <w:p w14:paraId="17E4748F" w14:textId="7C798FF0" w:rsidR="00016743" w:rsidRDefault="00016743" w:rsidP="00E25D3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B93775C" w14:textId="6F10A780" w:rsidR="00F01656" w:rsidRDefault="00A5426F" w:rsidP="00F0165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Hidroformilação do álcool perílico</w:t>
      </w:r>
    </w:p>
    <w:p w14:paraId="30F61F9C" w14:textId="490D68AC" w:rsidR="008015C7" w:rsidRDefault="008015C7" w:rsidP="00B72C2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82304" behindDoc="0" locked="0" layoutInCell="1" allowOverlap="1" wp14:anchorId="4ACF1AA6" wp14:editId="1F0EB24C">
            <wp:simplePos x="0" y="0"/>
            <wp:positionH relativeFrom="column">
              <wp:posOffset>1019175</wp:posOffset>
            </wp:positionH>
            <wp:positionV relativeFrom="paragraph">
              <wp:posOffset>544830</wp:posOffset>
            </wp:positionV>
            <wp:extent cx="783590" cy="1028700"/>
            <wp:effectExtent l="0" t="0" r="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B23">
        <w:rPr>
          <w:rFonts w:ascii="Times New Roman" w:hAnsi="Times New Roman"/>
          <w:lang w:val="pt-BR"/>
        </w:rPr>
        <w:t>O álcool perílico</w:t>
      </w:r>
      <w:r>
        <w:rPr>
          <w:rFonts w:ascii="Times New Roman" w:hAnsi="Times New Roman"/>
          <w:lang w:val="pt-BR"/>
        </w:rPr>
        <w:t>, apresentado na Figura 4,</w:t>
      </w:r>
      <w:r w:rsidR="00853B23">
        <w:rPr>
          <w:rFonts w:ascii="Times New Roman" w:hAnsi="Times New Roman"/>
          <w:lang w:val="pt-BR"/>
        </w:rPr>
        <w:t xml:space="preserve"> é uma </w:t>
      </w:r>
      <w:proofErr w:type="spellStart"/>
      <w:r w:rsidR="00853B23">
        <w:rPr>
          <w:rFonts w:ascii="Times New Roman" w:hAnsi="Times New Roman"/>
          <w:lang w:val="pt-BR"/>
        </w:rPr>
        <w:t>hidr</w:t>
      </w:r>
      <w:r w:rsidR="007C4B5D">
        <w:rPr>
          <w:rFonts w:ascii="Times New Roman" w:hAnsi="Times New Roman"/>
          <w:lang w:val="pt-BR"/>
        </w:rPr>
        <w:t>o</w:t>
      </w:r>
      <w:r w:rsidR="00853B23">
        <w:rPr>
          <w:rFonts w:ascii="Times New Roman" w:hAnsi="Times New Roman"/>
          <w:lang w:val="pt-BR"/>
        </w:rPr>
        <w:t>xiolefina</w:t>
      </w:r>
      <w:proofErr w:type="spellEnd"/>
      <w:r w:rsidR="00865BB9">
        <w:rPr>
          <w:rFonts w:ascii="Times New Roman" w:hAnsi="Times New Roman"/>
          <w:lang w:val="pt-BR"/>
        </w:rPr>
        <w:t xml:space="preserve"> presente em óleos essencia</w:t>
      </w:r>
      <w:r w:rsidR="0029161F">
        <w:rPr>
          <w:rFonts w:ascii="Times New Roman" w:hAnsi="Times New Roman"/>
          <w:lang w:val="pt-BR"/>
        </w:rPr>
        <w:t>is</w:t>
      </w:r>
      <w:r w:rsidR="00996CA1">
        <w:rPr>
          <w:rFonts w:ascii="Times New Roman" w:hAnsi="Times New Roman"/>
          <w:lang w:val="pt-BR"/>
        </w:rPr>
        <w:t xml:space="preserve"> de </w:t>
      </w:r>
      <w:r w:rsidR="005C3579">
        <w:rPr>
          <w:rFonts w:ascii="Times New Roman" w:hAnsi="Times New Roman"/>
          <w:lang w:val="pt-BR"/>
        </w:rPr>
        <w:t>lavanda e hortelã.</w:t>
      </w:r>
      <w:r w:rsidR="0029161F">
        <w:rPr>
          <w:rFonts w:ascii="Times New Roman" w:hAnsi="Times New Roman"/>
          <w:lang w:val="pt-BR"/>
        </w:rPr>
        <w:t xml:space="preserve"> </w:t>
      </w:r>
      <w:r w:rsidR="00134FF9">
        <w:rPr>
          <w:rFonts w:ascii="Times New Roman" w:hAnsi="Times New Roman"/>
          <w:lang w:val="pt-BR"/>
        </w:rPr>
        <w:t>(18</w:t>
      </w:r>
      <w:r w:rsidR="0029161F" w:rsidRPr="00AA1DE0">
        <w:rPr>
          <w:rFonts w:ascii="Times New Roman" w:hAnsi="Times New Roman"/>
          <w:lang w:val="pt-BR"/>
        </w:rPr>
        <w:t>)</w:t>
      </w:r>
      <w:r w:rsidR="0029161F">
        <w:rPr>
          <w:rFonts w:ascii="Times New Roman" w:hAnsi="Times New Roman"/>
          <w:lang w:val="pt-BR"/>
        </w:rPr>
        <w:t>.</w:t>
      </w:r>
      <w:r w:rsidR="00865BB9">
        <w:rPr>
          <w:rFonts w:ascii="Times New Roman" w:hAnsi="Times New Roman"/>
          <w:lang w:val="pt-BR"/>
        </w:rPr>
        <w:t xml:space="preserve"> </w:t>
      </w:r>
    </w:p>
    <w:p w14:paraId="2273B4AB" w14:textId="309721BD" w:rsidR="006827D9" w:rsidRDefault="00865BB9" w:rsidP="00B72C2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Por meio da hidroformilação, </w:t>
      </w:r>
      <w:r w:rsidR="0029161F">
        <w:rPr>
          <w:rFonts w:ascii="Times New Roman" w:hAnsi="Times New Roman"/>
          <w:lang w:val="pt-BR"/>
        </w:rPr>
        <w:t xml:space="preserve">olefinas </w:t>
      </w:r>
      <w:r w:rsidR="00996CA1">
        <w:rPr>
          <w:rFonts w:ascii="Times New Roman" w:hAnsi="Times New Roman"/>
          <w:lang w:val="pt-BR"/>
        </w:rPr>
        <w:t xml:space="preserve">de origem </w:t>
      </w:r>
      <w:r w:rsidR="0029161F">
        <w:rPr>
          <w:rFonts w:ascii="Times New Roman" w:hAnsi="Times New Roman"/>
          <w:lang w:val="pt-BR"/>
        </w:rPr>
        <w:t>natura</w:t>
      </w:r>
      <w:r w:rsidR="00996CA1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 xml:space="preserve"> podem ser convertidas em produtos de maior valor agregado</w:t>
      </w:r>
      <w:r w:rsidR="00996CA1">
        <w:rPr>
          <w:rFonts w:ascii="Times New Roman" w:hAnsi="Times New Roman"/>
          <w:lang w:val="pt-BR"/>
        </w:rPr>
        <w:t>.</w:t>
      </w:r>
      <w:r w:rsidR="0029161F">
        <w:rPr>
          <w:rFonts w:ascii="Times New Roman" w:hAnsi="Times New Roman"/>
          <w:lang w:val="pt-BR"/>
        </w:rPr>
        <w:t xml:space="preserve"> </w:t>
      </w:r>
      <w:r w:rsidR="00996CA1">
        <w:rPr>
          <w:rFonts w:ascii="Times New Roman" w:hAnsi="Times New Roman"/>
          <w:lang w:val="pt-BR"/>
        </w:rPr>
        <w:t>P</w:t>
      </w:r>
      <w:r w:rsidR="0029161F">
        <w:rPr>
          <w:rFonts w:ascii="Times New Roman" w:hAnsi="Times New Roman"/>
          <w:lang w:val="pt-BR"/>
        </w:rPr>
        <w:t xml:space="preserve">or esse motivo, o álcool perílico foi escolhido como </w:t>
      </w:r>
      <w:r w:rsidR="00996CA1">
        <w:rPr>
          <w:rFonts w:ascii="Times New Roman" w:hAnsi="Times New Roman"/>
          <w:lang w:val="pt-BR"/>
        </w:rPr>
        <w:t>representante desta classe de compostos</w:t>
      </w:r>
      <w:r w:rsidR="0029161F">
        <w:rPr>
          <w:rFonts w:ascii="Times New Roman" w:hAnsi="Times New Roman"/>
          <w:lang w:val="pt-BR"/>
        </w:rPr>
        <w:t xml:space="preserve">. </w:t>
      </w:r>
      <w:r w:rsidR="00996CA1">
        <w:rPr>
          <w:rFonts w:ascii="Times New Roman" w:hAnsi="Times New Roman"/>
          <w:lang w:val="pt-BR"/>
        </w:rPr>
        <w:t>Particularmente,</w:t>
      </w:r>
      <w:r>
        <w:rPr>
          <w:rFonts w:ascii="Times New Roman" w:hAnsi="Times New Roman"/>
          <w:lang w:val="pt-BR"/>
        </w:rPr>
        <w:t xml:space="preserve"> </w:t>
      </w:r>
      <w:r w:rsidR="0029161F">
        <w:rPr>
          <w:rFonts w:ascii="Times New Roman" w:hAnsi="Times New Roman"/>
          <w:lang w:val="pt-BR"/>
        </w:rPr>
        <w:t xml:space="preserve">as </w:t>
      </w:r>
      <w:proofErr w:type="spellStart"/>
      <w:r w:rsidR="0029161F">
        <w:rPr>
          <w:rFonts w:ascii="Times New Roman" w:hAnsi="Times New Roman"/>
          <w:lang w:val="pt-BR"/>
        </w:rPr>
        <w:t>hidr</w:t>
      </w:r>
      <w:r w:rsidR="001D1051">
        <w:rPr>
          <w:rFonts w:ascii="Times New Roman" w:hAnsi="Times New Roman"/>
          <w:lang w:val="pt-BR"/>
        </w:rPr>
        <w:t>o</w:t>
      </w:r>
      <w:r w:rsidR="0029161F">
        <w:rPr>
          <w:rFonts w:ascii="Times New Roman" w:hAnsi="Times New Roman"/>
          <w:lang w:val="pt-BR"/>
        </w:rPr>
        <w:t>xiolefinas</w:t>
      </w:r>
      <w:proofErr w:type="spellEnd"/>
      <w:r w:rsidR="0029161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apresentam alguns empecilhos quando submetidas às condições de reação utilizadas</w:t>
      </w:r>
      <w:r w:rsidR="0029161F">
        <w:rPr>
          <w:rFonts w:ascii="Times New Roman" w:hAnsi="Times New Roman"/>
          <w:lang w:val="pt-BR"/>
        </w:rPr>
        <w:t xml:space="preserve">: </w:t>
      </w:r>
      <w:r w:rsidR="00D545E7">
        <w:rPr>
          <w:rFonts w:ascii="Times New Roman" w:hAnsi="Times New Roman"/>
          <w:lang w:val="pt-BR"/>
        </w:rPr>
        <w:t xml:space="preserve">i) </w:t>
      </w:r>
      <w:r w:rsidR="0029161F">
        <w:rPr>
          <w:rFonts w:ascii="Times New Roman" w:hAnsi="Times New Roman"/>
          <w:lang w:val="pt-BR"/>
        </w:rPr>
        <w:t xml:space="preserve">a hidroxila em sua estrutura e a dupla C=C podem formar um quelato com o Rh, impedindo a coordenação da dupla </w:t>
      </w:r>
      <w:proofErr w:type="spellStart"/>
      <w:r w:rsidR="0029161F">
        <w:rPr>
          <w:rFonts w:ascii="Times New Roman" w:hAnsi="Times New Roman"/>
          <w:lang w:val="pt-BR"/>
        </w:rPr>
        <w:t>exocíclica</w:t>
      </w:r>
      <w:proofErr w:type="spellEnd"/>
      <w:r w:rsidR="0029161F">
        <w:rPr>
          <w:rFonts w:ascii="Times New Roman" w:hAnsi="Times New Roman"/>
          <w:lang w:val="pt-BR"/>
        </w:rPr>
        <w:t xml:space="preserve">; </w:t>
      </w:r>
      <w:proofErr w:type="spellStart"/>
      <w:r w:rsidR="00D545E7">
        <w:rPr>
          <w:rFonts w:ascii="Times New Roman" w:hAnsi="Times New Roman"/>
          <w:lang w:val="pt-BR"/>
        </w:rPr>
        <w:t>ii</w:t>
      </w:r>
      <w:proofErr w:type="spellEnd"/>
      <w:r w:rsidR="00D545E7">
        <w:rPr>
          <w:rFonts w:ascii="Times New Roman" w:hAnsi="Times New Roman"/>
          <w:lang w:val="pt-BR"/>
        </w:rPr>
        <w:t xml:space="preserve">) </w:t>
      </w:r>
      <w:r w:rsidR="00853B23">
        <w:rPr>
          <w:rFonts w:ascii="Times New Roman" w:hAnsi="Times New Roman"/>
          <w:lang w:val="pt-BR"/>
        </w:rPr>
        <w:t>ligações duplas com mais de um substituinte</w:t>
      </w:r>
      <w:r w:rsidR="0029161F">
        <w:rPr>
          <w:rFonts w:ascii="Times New Roman" w:hAnsi="Times New Roman"/>
          <w:lang w:val="pt-BR"/>
        </w:rPr>
        <w:t xml:space="preserve"> </w:t>
      </w:r>
      <w:r w:rsidR="00853B23">
        <w:rPr>
          <w:rFonts w:ascii="Times New Roman" w:hAnsi="Times New Roman"/>
          <w:lang w:val="pt-BR"/>
        </w:rPr>
        <w:t xml:space="preserve">podem causar impedimento espacial promovido pelos substituintes; </w:t>
      </w:r>
      <w:proofErr w:type="spellStart"/>
      <w:r w:rsidR="00D545E7">
        <w:rPr>
          <w:rFonts w:ascii="Times New Roman" w:hAnsi="Times New Roman"/>
          <w:lang w:val="pt-BR"/>
        </w:rPr>
        <w:t>iii</w:t>
      </w:r>
      <w:proofErr w:type="spellEnd"/>
      <w:r w:rsidR="00D545E7">
        <w:rPr>
          <w:rFonts w:ascii="Times New Roman" w:hAnsi="Times New Roman"/>
          <w:lang w:val="pt-BR"/>
        </w:rPr>
        <w:t xml:space="preserve">) </w:t>
      </w:r>
      <w:r w:rsidR="00853B23">
        <w:rPr>
          <w:rFonts w:ascii="Times New Roman" w:hAnsi="Times New Roman"/>
          <w:lang w:val="pt-BR"/>
        </w:rPr>
        <w:t>a hidroxila presente na estrutura do substrato pode reagir com o aldeído formado, gerando produtos indesejados. Por esses motivos, a hidroformilação do álcool perílico demandou uma maior pressão de tr</w:t>
      </w:r>
      <w:r w:rsidR="00AA1DE0">
        <w:rPr>
          <w:rFonts w:ascii="Times New Roman" w:hAnsi="Times New Roman"/>
          <w:lang w:val="pt-BR"/>
        </w:rPr>
        <w:t xml:space="preserve">abalho e maior tempo de reação </w:t>
      </w:r>
      <w:r w:rsidR="00853B23">
        <w:rPr>
          <w:rFonts w:ascii="Times New Roman" w:hAnsi="Times New Roman"/>
          <w:lang w:val="pt-BR"/>
        </w:rPr>
        <w:t>comparado com as condições dos substratos a</w:t>
      </w:r>
      <w:r w:rsidR="0096188C">
        <w:rPr>
          <w:rFonts w:ascii="Times New Roman" w:hAnsi="Times New Roman"/>
          <w:lang w:val="pt-BR"/>
        </w:rPr>
        <w:t xml:space="preserve">nteriores. </w:t>
      </w:r>
      <w:r w:rsidR="00857905">
        <w:rPr>
          <w:rFonts w:ascii="Times New Roman" w:hAnsi="Times New Roman"/>
          <w:lang w:val="pt-BR"/>
        </w:rPr>
        <w:t>E</w:t>
      </w:r>
      <w:r w:rsidR="0096188C">
        <w:rPr>
          <w:rFonts w:ascii="Times New Roman" w:hAnsi="Times New Roman"/>
          <w:lang w:val="pt-BR"/>
        </w:rPr>
        <w:t>studo</w:t>
      </w:r>
      <w:r w:rsidR="00857905">
        <w:rPr>
          <w:rFonts w:ascii="Times New Roman" w:hAnsi="Times New Roman"/>
          <w:lang w:val="pt-BR"/>
        </w:rPr>
        <w:t>s</w:t>
      </w:r>
      <w:r w:rsidR="0096188C">
        <w:rPr>
          <w:rFonts w:ascii="Times New Roman" w:hAnsi="Times New Roman"/>
          <w:lang w:val="pt-BR"/>
        </w:rPr>
        <w:t xml:space="preserve"> envolvendo essa reação</w:t>
      </w:r>
      <w:r w:rsidR="00857905">
        <w:rPr>
          <w:rFonts w:ascii="Times New Roman" w:hAnsi="Times New Roman"/>
          <w:lang w:val="pt-BR"/>
        </w:rPr>
        <w:t xml:space="preserve"> já mostraram </w:t>
      </w:r>
      <w:r w:rsidR="0096188C">
        <w:rPr>
          <w:rFonts w:ascii="Times New Roman" w:hAnsi="Times New Roman"/>
          <w:lang w:val="pt-BR"/>
        </w:rPr>
        <w:t>método</w:t>
      </w:r>
      <w:r w:rsidR="00857905">
        <w:rPr>
          <w:rFonts w:ascii="Times New Roman" w:hAnsi="Times New Roman"/>
          <w:lang w:val="pt-BR"/>
        </w:rPr>
        <w:t>s</w:t>
      </w:r>
      <w:r w:rsidR="0096188C">
        <w:rPr>
          <w:rFonts w:ascii="Times New Roman" w:hAnsi="Times New Roman"/>
          <w:lang w:val="pt-BR"/>
        </w:rPr>
        <w:t xml:space="preserve"> para contornar esses problemas</w:t>
      </w:r>
      <w:r w:rsidR="00857905">
        <w:rPr>
          <w:rFonts w:ascii="Times New Roman" w:hAnsi="Times New Roman"/>
          <w:lang w:val="pt-BR"/>
        </w:rPr>
        <w:t xml:space="preserve">. Um deles é a </w:t>
      </w:r>
      <w:proofErr w:type="spellStart"/>
      <w:r w:rsidR="00857905">
        <w:rPr>
          <w:rFonts w:ascii="Times New Roman" w:hAnsi="Times New Roman"/>
          <w:lang w:val="pt-BR"/>
        </w:rPr>
        <w:t>acilação</w:t>
      </w:r>
      <w:proofErr w:type="spellEnd"/>
      <w:r w:rsidR="00857905">
        <w:rPr>
          <w:rFonts w:ascii="Times New Roman" w:hAnsi="Times New Roman"/>
          <w:lang w:val="pt-BR"/>
        </w:rPr>
        <w:t xml:space="preserve"> da hidroxila, adicionando um grupo protetor ao álcool e o outro </w:t>
      </w:r>
      <w:r w:rsidR="0096188C">
        <w:rPr>
          <w:rFonts w:ascii="Times New Roman" w:hAnsi="Times New Roman"/>
          <w:lang w:val="pt-BR"/>
        </w:rPr>
        <w:t xml:space="preserve">é utilizando solventes que possuam grupos funcionais capazes de interagir com a hidroxila, desfavorecendo a coordenação dela com o Rh </w:t>
      </w:r>
      <w:r w:rsidR="00134FF9" w:rsidRPr="004A33F3">
        <w:rPr>
          <w:rFonts w:ascii="Times New Roman" w:hAnsi="Times New Roman"/>
          <w:lang w:val="pt-BR"/>
        </w:rPr>
        <w:t>(</w:t>
      </w:r>
      <w:r w:rsidR="004A33F3" w:rsidRPr="004A33F3">
        <w:rPr>
          <w:rFonts w:ascii="Times New Roman" w:hAnsi="Times New Roman"/>
          <w:lang w:val="pt-BR"/>
        </w:rPr>
        <w:t>19,20</w:t>
      </w:r>
      <w:r w:rsidR="00AA1DE0" w:rsidRPr="004A33F3">
        <w:rPr>
          <w:rFonts w:ascii="Times New Roman" w:hAnsi="Times New Roman"/>
          <w:lang w:val="pt-BR"/>
        </w:rPr>
        <w:t>)</w:t>
      </w:r>
      <w:r w:rsidR="0096188C">
        <w:rPr>
          <w:rFonts w:ascii="Times New Roman" w:hAnsi="Times New Roman"/>
          <w:lang w:val="pt-BR"/>
        </w:rPr>
        <w:t xml:space="preserve">. Contudo, </w:t>
      </w:r>
      <w:r w:rsidR="00857905">
        <w:rPr>
          <w:rFonts w:ascii="Times New Roman" w:hAnsi="Times New Roman"/>
          <w:lang w:val="pt-BR"/>
        </w:rPr>
        <w:t xml:space="preserve">no último caso, </w:t>
      </w:r>
      <w:r w:rsidR="0096188C">
        <w:rPr>
          <w:rFonts w:ascii="Times New Roman" w:hAnsi="Times New Roman"/>
          <w:lang w:val="pt-BR"/>
        </w:rPr>
        <w:t xml:space="preserve">os autores destacam que </w:t>
      </w:r>
      <w:r w:rsidR="00AA1DE0">
        <w:rPr>
          <w:rFonts w:ascii="Times New Roman" w:hAnsi="Times New Roman"/>
          <w:lang w:val="pt-BR"/>
        </w:rPr>
        <w:t>somente</w:t>
      </w:r>
      <w:r w:rsidR="0096188C">
        <w:rPr>
          <w:rFonts w:ascii="Times New Roman" w:hAnsi="Times New Roman"/>
          <w:lang w:val="pt-BR"/>
        </w:rPr>
        <w:t xml:space="preserve"> a dupla </w:t>
      </w:r>
      <w:proofErr w:type="spellStart"/>
      <w:r w:rsidR="0096188C">
        <w:rPr>
          <w:rFonts w:ascii="Times New Roman" w:hAnsi="Times New Roman"/>
          <w:lang w:val="pt-BR"/>
        </w:rPr>
        <w:t>exocíclica</w:t>
      </w:r>
      <w:proofErr w:type="spellEnd"/>
      <w:r w:rsidR="0096188C">
        <w:rPr>
          <w:rFonts w:ascii="Times New Roman" w:hAnsi="Times New Roman"/>
          <w:lang w:val="pt-BR"/>
        </w:rPr>
        <w:t xml:space="preserve"> reage nas condições aplicadas (40 bar; 80 ºC; PPh</w:t>
      </w:r>
      <w:r w:rsidR="0096188C">
        <w:rPr>
          <w:rFonts w:ascii="Times New Roman" w:hAnsi="Times New Roman"/>
          <w:vertAlign w:val="subscript"/>
          <w:lang w:val="pt-BR"/>
        </w:rPr>
        <w:t>3</w:t>
      </w:r>
      <w:r w:rsidR="0096188C">
        <w:rPr>
          <w:rFonts w:ascii="Times New Roman" w:hAnsi="Times New Roman"/>
          <w:lang w:val="pt-BR"/>
        </w:rPr>
        <w:t>), produzindo apenas o AL.</w:t>
      </w:r>
    </w:p>
    <w:p w14:paraId="173E1FE6" w14:textId="2EEB4763" w:rsidR="00857905" w:rsidRPr="00F57818" w:rsidRDefault="00857905" w:rsidP="00B72C2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Os resultados para a </w:t>
      </w:r>
      <w:r w:rsidRPr="00F57818">
        <w:rPr>
          <w:rFonts w:ascii="Times New Roman" w:hAnsi="Times New Roman"/>
          <w:lang w:val="pt-BR"/>
        </w:rPr>
        <w:t xml:space="preserve">hidroformilação do álcool perílico são apresentados na Tabela 3. Na coluna de seletividade dessa tabela, o termo “outros” </w:t>
      </w:r>
      <w:r w:rsidR="00B23C0A" w:rsidRPr="00F57818">
        <w:rPr>
          <w:rFonts w:ascii="Times New Roman" w:hAnsi="Times New Roman"/>
          <w:lang w:val="pt-BR"/>
        </w:rPr>
        <w:t>será tratado nessa discussão como “perda de massa”, pois se refere</w:t>
      </w:r>
      <w:r w:rsidRPr="00F57818">
        <w:rPr>
          <w:rFonts w:ascii="Times New Roman" w:hAnsi="Times New Roman"/>
          <w:lang w:val="pt-BR"/>
        </w:rPr>
        <w:t xml:space="preserve"> </w:t>
      </w:r>
      <w:r w:rsidR="00B23C0A" w:rsidRPr="00F57818">
        <w:rPr>
          <w:rFonts w:ascii="Times New Roman" w:hAnsi="Times New Roman"/>
          <w:lang w:val="pt-BR"/>
        </w:rPr>
        <w:t>à</w:t>
      </w:r>
      <w:r w:rsidRPr="00F57818">
        <w:rPr>
          <w:rFonts w:ascii="Times New Roman" w:hAnsi="Times New Roman"/>
          <w:lang w:val="pt-BR"/>
        </w:rPr>
        <w:t xml:space="preserve"> soma dos produtos secundários identificados</w:t>
      </w:r>
      <w:r w:rsidR="00F57818" w:rsidRPr="00F57818">
        <w:rPr>
          <w:rFonts w:ascii="Times New Roman" w:hAnsi="Times New Roman"/>
          <w:lang w:val="pt-BR"/>
        </w:rPr>
        <w:t xml:space="preserve"> p</w:t>
      </w:r>
      <w:r w:rsidR="00A36491" w:rsidRPr="00F57818">
        <w:rPr>
          <w:rFonts w:ascii="Times New Roman" w:hAnsi="Times New Roman"/>
          <w:lang w:val="pt-BR"/>
        </w:rPr>
        <w:t>o</w:t>
      </w:r>
      <w:r w:rsidR="00F57818" w:rsidRPr="00F57818">
        <w:rPr>
          <w:rFonts w:ascii="Times New Roman" w:hAnsi="Times New Roman"/>
          <w:lang w:val="pt-BR"/>
        </w:rPr>
        <w:t>r</w:t>
      </w:r>
      <w:r w:rsidR="00A36491" w:rsidRPr="00F57818">
        <w:rPr>
          <w:rFonts w:ascii="Times New Roman" w:hAnsi="Times New Roman"/>
          <w:lang w:val="pt-BR"/>
        </w:rPr>
        <w:t xml:space="preserve"> CG</w:t>
      </w:r>
      <w:r w:rsidRPr="00F57818">
        <w:rPr>
          <w:rFonts w:ascii="Times New Roman" w:hAnsi="Times New Roman"/>
          <w:lang w:val="pt-BR"/>
        </w:rPr>
        <w:t xml:space="preserve"> </w:t>
      </w:r>
      <w:r w:rsidR="00B23C0A" w:rsidRPr="00F57818">
        <w:rPr>
          <w:rFonts w:ascii="Times New Roman" w:hAnsi="Times New Roman"/>
          <w:lang w:val="pt-BR"/>
        </w:rPr>
        <w:t xml:space="preserve">e, em maior proporção, </w:t>
      </w:r>
      <w:r w:rsidR="00A36491" w:rsidRPr="00F57818">
        <w:rPr>
          <w:rFonts w:ascii="Times New Roman" w:hAnsi="Times New Roman"/>
          <w:lang w:val="pt-BR"/>
        </w:rPr>
        <w:t xml:space="preserve">os produtos </w:t>
      </w:r>
      <w:r w:rsidR="00F57818" w:rsidRPr="00F57818">
        <w:rPr>
          <w:rFonts w:ascii="Times New Roman" w:hAnsi="Times New Roman"/>
          <w:lang w:val="pt-BR"/>
        </w:rPr>
        <w:t>não identificados p</w:t>
      </w:r>
      <w:r w:rsidR="00B23C0A" w:rsidRPr="00F57818">
        <w:rPr>
          <w:rFonts w:ascii="Times New Roman" w:hAnsi="Times New Roman"/>
          <w:lang w:val="pt-BR"/>
        </w:rPr>
        <w:t>o</w:t>
      </w:r>
      <w:r w:rsidR="00F57818" w:rsidRPr="00F57818">
        <w:rPr>
          <w:rFonts w:ascii="Times New Roman" w:hAnsi="Times New Roman"/>
          <w:lang w:val="pt-BR"/>
        </w:rPr>
        <w:t>r CG</w:t>
      </w:r>
      <w:r w:rsidR="00B23C0A" w:rsidRPr="00F57818">
        <w:rPr>
          <w:rFonts w:ascii="Times New Roman" w:hAnsi="Times New Roman"/>
          <w:lang w:val="pt-BR"/>
        </w:rPr>
        <w:t xml:space="preserve"> que representam a reação entre o produto e o substrato.</w:t>
      </w:r>
    </w:p>
    <w:p w14:paraId="36F8EC5B" w14:textId="37959E21" w:rsidR="0084037A" w:rsidRDefault="00B23C0A" w:rsidP="0084037A">
      <w:pPr>
        <w:pStyle w:val="TAMainText"/>
        <w:ind w:firstLine="187"/>
        <w:rPr>
          <w:rFonts w:ascii="Times New Roman" w:hAnsi="Times New Roman"/>
          <w:lang w:val="pt-BR"/>
        </w:rPr>
      </w:pPr>
      <w:r w:rsidRPr="00F57818">
        <w:rPr>
          <w:rFonts w:ascii="Times New Roman" w:hAnsi="Times New Roman"/>
          <w:lang w:val="pt-BR"/>
        </w:rPr>
        <w:t>No sistema com tolueno, em 6</w:t>
      </w:r>
      <w:r w:rsidR="00D545E7">
        <w:rPr>
          <w:rFonts w:ascii="Times New Roman" w:hAnsi="Times New Roman"/>
          <w:lang w:val="pt-BR"/>
        </w:rPr>
        <w:t xml:space="preserve"> </w:t>
      </w:r>
      <w:r w:rsidRPr="00F57818">
        <w:rPr>
          <w:rFonts w:ascii="Times New Roman" w:hAnsi="Times New Roman"/>
          <w:lang w:val="pt-BR"/>
        </w:rPr>
        <w:t>h de</w:t>
      </w:r>
      <w:r>
        <w:rPr>
          <w:rFonts w:ascii="Times New Roman" w:hAnsi="Times New Roman"/>
          <w:lang w:val="pt-BR"/>
        </w:rPr>
        <w:t xml:space="preserve"> reação já é obtida uma alta conversão do substrato</w:t>
      </w:r>
      <w:r w:rsidR="00C757AC">
        <w:rPr>
          <w:rFonts w:ascii="Times New Roman" w:hAnsi="Times New Roman"/>
          <w:lang w:val="pt-BR"/>
        </w:rPr>
        <w:t xml:space="preserve"> (81%)</w:t>
      </w:r>
      <w:r>
        <w:rPr>
          <w:rFonts w:ascii="Times New Roman" w:hAnsi="Times New Roman"/>
          <w:lang w:val="pt-BR"/>
        </w:rPr>
        <w:t>, havendo uma perda de massa de 35%, que aumenta para 60%</w:t>
      </w:r>
      <w:r w:rsidR="00C757AC">
        <w:rPr>
          <w:rFonts w:ascii="Times New Roman" w:hAnsi="Times New Roman"/>
          <w:lang w:val="pt-BR"/>
        </w:rPr>
        <w:t xml:space="preserve"> em 24</w:t>
      </w:r>
      <w:r w:rsidR="00D545E7">
        <w:rPr>
          <w:rFonts w:ascii="Times New Roman" w:hAnsi="Times New Roman"/>
          <w:lang w:val="pt-BR"/>
        </w:rPr>
        <w:t xml:space="preserve"> </w:t>
      </w:r>
      <w:r w:rsidR="00C757AC">
        <w:rPr>
          <w:rFonts w:ascii="Times New Roman" w:hAnsi="Times New Roman"/>
          <w:lang w:val="pt-BR"/>
        </w:rPr>
        <w:t>h, prejudicando</w:t>
      </w:r>
      <w:r>
        <w:rPr>
          <w:rFonts w:ascii="Times New Roman" w:hAnsi="Times New Roman"/>
          <w:lang w:val="pt-BR"/>
        </w:rPr>
        <w:t xml:space="preserve"> a seletividade para o AL. </w:t>
      </w:r>
      <w:r w:rsidR="00C757AC">
        <w:rPr>
          <w:rFonts w:ascii="Times New Roman" w:hAnsi="Times New Roman"/>
          <w:lang w:val="pt-BR"/>
        </w:rPr>
        <w:t>Em</w:t>
      </w:r>
      <w:r w:rsidR="004B7AB5">
        <w:rPr>
          <w:rFonts w:ascii="Times New Roman" w:hAnsi="Times New Roman"/>
          <w:lang w:val="pt-BR"/>
        </w:rPr>
        <w:t xml:space="preserve"> </w:t>
      </w:r>
      <w:proofErr w:type="gramStart"/>
      <w:r w:rsidR="00C757AC">
        <w:rPr>
          <w:rFonts w:ascii="Times New Roman" w:hAnsi="Times New Roman"/>
          <w:lang w:val="pt-BR"/>
        </w:rPr>
        <w:t>contrapartida</w:t>
      </w:r>
      <w:proofErr w:type="gramEnd"/>
      <w:r w:rsidR="00C757AC">
        <w:rPr>
          <w:rFonts w:ascii="Times New Roman" w:hAnsi="Times New Roman"/>
          <w:lang w:val="pt-BR"/>
        </w:rPr>
        <w:t xml:space="preserve">, no </w:t>
      </w:r>
      <w:r w:rsidR="00F92D0E">
        <w:rPr>
          <w:rFonts w:ascii="Times New Roman" w:hAnsi="Times New Roman"/>
          <w:lang w:val="pt-BR"/>
        </w:rPr>
        <w:t>t</w:t>
      </w:r>
      <w:r w:rsidR="00C757AC">
        <w:rPr>
          <w:rFonts w:ascii="Times New Roman" w:hAnsi="Times New Roman"/>
          <w:lang w:val="pt-BR"/>
        </w:rPr>
        <w:t>exanol</w:t>
      </w:r>
      <w:r w:rsidR="00C757AC">
        <w:rPr>
          <w:rFonts w:ascii="Times New Roman" w:hAnsi="Times New Roman"/>
          <w:vertAlign w:val="superscript"/>
          <w:lang w:val="pt-BR"/>
        </w:rPr>
        <w:t>TM</w:t>
      </w:r>
      <w:r w:rsidR="00C757AC">
        <w:rPr>
          <w:rFonts w:ascii="Times New Roman" w:hAnsi="Times New Roman"/>
          <w:lang w:val="pt-BR"/>
        </w:rPr>
        <w:t>, a conversão em 6</w:t>
      </w:r>
      <w:r w:rsidR="00D545E7">
        <w:rPr>
          <w:rFonts w:ascii="Times New Roman" w:hAnsi="Times New Roman"/>
          <w:lang w:val="pt-BR"/>
        </w:rPr>
        <w:t xml:space="preserve"> </w:t>
      </w:r>
      <w:r w:rsidR="00C757AC">
        <w:rPr>
          <w:rFonts w:ascii="Times New Roman" w:hAnsi="Times New Roman"/>
          <w:lang w:val="pt-BR"/>
        </w:rPr>
        <w:t>h de reação foi baixa (58%), mas houve uma ótima seletividade para o produto de interesse, havendo uma queda de 8% no intervalo de tempo até 24</w:t>
      </w:r>
      <w:r w:rsidR="00996CA1">
        <w:rPr>
          <w:rFonts w:ascii="Times New Roman" w:hAnsi="Times New Roman"/>
          <w:lang w:val="pt-BR"/>
        </w:rPr>
        <w:t xml:space="preserve"> </w:t>
      </w:r>
      <w:r w:rsidR="00C757AC">
        <w:rPr>
          <w:rFonts w:ascii="Times New Roman" w:hAnsi="Times New Roman"/>
          <w:lang w:val="pt-BR"/>
        </w:rPr>
        <w:t>h, em que 94% do substrato foi convertido</w:t>
      </w:r>
      <w:r w:rsidR="000D34E9">
        <w:rPr>
          <w:rFonts w:ascii="Times New Roman" w:hAnsi="Times New Roman"/>
          <w:lang w:val="pt-BR"/>
        </w:rPr>
        <w:t xml:space="preserve"> e 86% disso era AL</w:t>
      </w:r>
      <w:r w:rsidR="00C757AC">
        <w:rPr>
          <w:rFonts w:ascii="Times New Roman" w:hAnsi="Times New Roman"/>
          <w:lang w:val="pt-BR"/>
        </w:rPr>
        <w:t>. Assim como no tolueno, a reação em CPME apresentou alta conversão em 6</w:t>
      </w:r>
      <w:r w:rsidR="00D545E7">
        <w:rPr>
          <w:rFonts w:ascii="Times New Roman" w:hAnsi="Times New Roman"/>
          <w:lang w:val="pt-BR"/>
        </w:rPr>
        <w:t xml:space="preserve"> </w:t>
      </w:r>
      <w:r w:rsidR="00C757AC">
        <w:rPr>
          <w:rFonts w:ascii="Times New Roman" w:hAnsi="Times New Roman"/>
          <w:lang w:val="pt-BR"/>
        </w:rPr>
        <w:t>h de reação, porém a quimios</w:t>
      </w:r>
      <w:r w:rsidR="004B7AB5">
        <w:rPr>
          <w:rFonts w:ascii="Times New Roman" w:hAnsi="Times New Roman"/>
          <w:lang w:val="pt-BR"/>
        </w:rPr>
        <w:t>s</w:t>
      </w:r>
      <w:r w:rsidR="00C757AC">
        <w:rPr>
          <w:rFonts w:ascii="Times New Roman" w:hAnsi="Times New Roman"/>
          <w:lang w:val="pt-BR"/>
        </w:rPr>
        <w:t>eletividade foi ainda pior</w:t>
      </w:r>
      <w:r w:rsidR="003314C2">
        <w:rPr>
          <w:rFonts w:ascii="Times New Roman" w:hAnsi="Times New Roman"/>
          <w:lang w:val="pt-BR"/>
        </w:rPr>
        <w:t>, sendo 55% para o AL e, em 24</w:t>
      </w:r>
      <w:r w:rsidR="00D545E7">
        <w:rPr>
          <w:rFonts w:ascii="Times New Roman" w:hAnsi="Times New Roman"/>
          <w:lang w:val="pt-BR"/>
        </w:rPr>
        <w:t xml:space="preserve"> </w:t>
      </w:r>
      <w:r w:rsidR="003314C2">
        <w:rPr>
          <w:rFonts w:ascii="Times New Roman" w:hAnsi="Times New Roman"/>
          <w:lang w:val="pt-BR"/>
        </w:rPr>
        <w:t xml:space="preserve">h, 36%. No sistema com DMI, 71% dos produtos eram AL quando 61% do substrato </w:t>
      </w:r>
      <w:r w:rsidR="004A33F3">
        <w:rPr>
          <w:rFonts w:ascii="Times New Roman" w:hAnsi="Times New Roman"/>
          <w:lang w:val="pt-BR"/>
        </w:rPr>
        <w:t>havia</w:t>
      </w:r>
      <w:r w:rsidR="003314C2">
        <w:rPr>
          <w:rFonts w:ascii="Times New Roman" w:hAnsi="Times New Roman"/>
          <w:lang w:val="pt-BR"/>
        </w:rPr>
        <w:t xml:space="preserve"> sido </w:t>
      </w:r>
      <w:r w:rsidR="004A33F3">
        <w:rPr>
          <w:rFonts w:ascii="Times New Roman" w:hAnsi="Times New Roman"/>
          <w:lang w:val="pt-BR"/>
        </w:rPr>
        <w:t>convertido</w:t>
      </w:r>
      <w:r w:rsidR="003314C2">
        <w:rPr>
          <w:rFonts w:ascii="Times New Roman" w:hAnsi="Times New Roman"/>
          <w:lang w:val="pt-BR"/>
        </w:rPr>
        <w:t>, supreendentemente, em 24</w:t>
      </w:r>
      <w:r w:rsidR="00D545E7">
        <w:rPr>
          <w:rFonts w:ascii="Times New Roman" w:hAnsi="Times New Roman"/>
          <w:lang w:val="pt-BR"/>
        </w:rPr>
        <w:t xml:space="preserve"> </w:t>
      </w:r>
      <w:r w:rsidR="003314C2">
        <w:rPr>
          <w:rFonts w:ascii="Times New Roman" w:hAnsi="Times New Roman"/>
          <w:lang w:val="pt-BR"/>
        </w:rPr>
        <w:t xml:space="preserve">h, quando a conversão aumentou </w:t>
      </w:r>
      <w:r w:rsidR="003314C2" w:rsidRPr="008932C1">
        <w:rPr>
          <w:rFonts w:ascii="Times New Roman" w:hAnsi="Times New Roman"/>
          <w:lang w:val="pt-BR"/>
        </w:rPr>
        <w:t xml:space="preserve">para 96%, não houve uma variação significativa </w:t>
      </w:r>
      <w:r w:rsidR="004A33F3" w:rsidRPr="008932C1">
        <w:rPr>
          <w:rFonts w:ascii="Times New Roman" w:hAnsi="Times New Roman"/>
          <w:lang w:val="pt-BR"/>
        </w:rPr>
        <w:t>na</w:t>
      </w:r>
      <w:r w:rsidR="003314C2" w:rsidRPr="008932C1">
        <w:rPr>
          <w:rFonts w:ascii="Times New Roman" w:hAnsi="Times New Roman"/>
          <w:lang w:val="pt-BR"/>
        </w:rPr>
        <w:t xml:space="preserve"> seletividade. </w:t>
      </w:r>
      <w:r w:rsidR="004A33F3" w:rsidRPr="008932C1">
        <w:rPr>
          <w:rFonts w:ascii="Times New Roman" w:hAnsi="Times New Roman"/>
          <w:lang w:val="pt-BR"/>
        </w:rPr>
        <w:t xml:space="preserve">A reação em </w:t>
      </w:r>
      <w:r w:rsidR="00F92D0E">
        <w:rPr>
          <w:rFonts w:ascii="Times New Roman" w:hAnsi="Times New Roman"/>
          <w:lang w:val="pt-BR"/>
        </w:rPr>
        <w:t>c</w:t>
      </w:r>
      <w:r w:rsidR="004A33F3" w:rsidRPr="008932C1">
        <w:rPr>
          <w:rFonts w:ascii="Times New Roman" w:hAnsi="Times New Roman"/>
          <w:lang w:val="pt-BR"/>
        </w:rPr>
        <w:t>yrene</w:t>
      </w:r>
      <w:r w:rsidR="004A33F3" w:rsidRPr="008932C1">
        <w:rPr>
          <w:rFonts w:ascii="Times New Roman" w:hAnsi="Times New Roman"/>
          <w:vertAlign w:val="superscript"/>
          <w:lang w:val="pt-BR"/>
        </w:rPr>
        <w:t>TM</w:t>
      </w:r>
      <w:r w:rsidR="004A33F3" w:rsidRPr="008932C1">
        <w:rPr>
          <w:rFonts w:ascii="Times New Roman" w:hAnsi="Times New Roman"/>
          <w:lang w:val="pt-BR"/>
        </w:rPr>
        <w:t xml:space="preserve"> apresentou resultados bastante </w:t>
      </w:r>
      <w:r w:rsidR="00CA4B46" w:rsidRPr="008932C1">
        <w:rPr>
          <w:rFonts w:ascii="Times New Roman" w:hAnsi="Times New Roman"/>
          <w:lang w:val="pt-BR"/>
        </w:rPr>
        <w:t>satisfatórios</w:t>
      </w:r>
      <w:r w:rsidR="00DD632C" w:rsidRPr="008932C1">
        <w:rPr>
          <w:rFonts w:ascii="Times New Roman" w:hAnsi="Times New Roman"/>
          <w:lang w:val="pt-BR"/>
        </w:rPr>
        <w:t>, uma vez que em</w:t>
      </w:r>
      <w:r w:rsidR="008932C1" w:rsidRPr="008932C1">
        <w:rPr>
          <w:rFonts w:ascii="Times New Roman" w:hAnsi="Times New Roman"/>
          <w:lang w:val="pt-BR"/>
        </w:rPr>
        <w:t xml:space="preserve"> 56% de conversão, todo o substrato foi convertido em AL, porém em 24</w:t>
      </w:r>
      <w:r w:rsidR="00996CA1">
        <w:rPr>
          <w:rFonts w:ascii="Times New Roman" w:hAnsi="Times New Roman"/>
          <w:lang w:val="pt-BR"/>
        </w:rPr>
        <w:t xml:space="preserve"> </w:t>
      </w:r>
      <w:r w:rsidR="008932C1" w:rsidRPr="008932C1">
        <w:rPr>
          <w:rFonts w:ascii="Times New Roman" w:hAnsi="Times New Roman"/>
          <w:lang w:val="pt-BR"/>
        </w:rPr>
        <w:t>h de reação, houve uma perda de massa de 58</w:t>
      </w:r>
      <w:r w:rsidR="008932C1" w:rsidRPr="00AC69E5">
        <w:rPr>
          <w:rFonts w:ascii="Times New Roman" w:hAnsi="Times New Roman"/>
          <w:lang w:val="pt-BR"/>
        </w:rPr>
        <w:t>%</w:t>
      </w:r>
      <w:r w:rsidR="00DD632C" w:rsidRPr="00AC69E5">
        <w:rPr>
          <w:rFonts w:ascii="Times New Roman" w:hAnsi="Times New Roman"/>
          <w:lang w:val="pt-BR"/>
        </w:rPr>
        <w:t>.</w:t>
      </w:r>
      <w:r w:rsidR="008932C1" w:rsidRPr="00AC69E5">
        <w:rPr>
          <w:rFonts w:ascii="Times New Roman" w:hAnsi="Times New Roman"/>
          <w:lang w:val="pt-BR"/>
        </w:rPr>
        <w:t xml:space="preserve"> Isso indica que um acompanhamento no intervalo de tempo entre 6 e 24</w:t>
      </w:r>
      <w:r w:rsidR="00996CA1">
        <w:rPr>
          <w:rFonts w:ascii="Times New Roman" w:hAnsi="Times New Roman"/>
          <w:lang w:val="pt-BR"/>
        </w:rPr>
        <w:t xml:space="preserve"> </w:t>
      </w:r>
      <w:r w:rsidR="008932C1" w:rsidRPr="00AC69E5">
        <w:rPr>
          <w:rFonts w:ascii="Times New Roman" w:hAnsi="Times New Roman"/>
          <w:lang w:val="pt-BR"/>
        </w:rPr>
        <w:t>h poderia ser feito para verificar se todo o substrato presente na reação não é convertido em AL nesse período.</w:t>
      </w:r>
      <w:r w:rsidR="008932C1">
        <w:rPr>
          <w:rFonts w:ascii="Times New Roman" w:hAnsi="Times New Roman"/>
          <w:lang w:val="pt-BR"/>
        </w:rPr>
        <w:t xml:space="preserve"> </w:t>
      </w:r>
      <w:r w:rsidR="009B5A25">
        <w:rPr>
          <w:rFonts w:ascii="Times New Roman" w:hAnsi="Times New Roman"/>
          <w:lang w:val="pt-BR"/>
        </w:rPr>
        <w:t>Em triacetina, a reação apresentou 87% de conversão em 24</w:t>
      </w:r>
      <w:r w:rsidR="00996CA1">
        <w:rPr>
          <w:rFonts w:ascii="Times New Roman" w:hAnsi="Times New Roman"/>
          <w:lang w:val="pt-BR"/>
        </w:rPr>
        <w:t xml:space="preserve"> </w:t>
      </w:r>
      <w:r w:rsidR="009B5A25">
        <w:rPr>
          <w:rFonts w:ascii="Times New Roman" w:hAnsi="Times New Roman"/>
          <w:lang w:val="pt-BR"/>
        </w:rPr>
        <w:t>h com seletividade para o aldeído de 90%, apresentando uma perda de massa de apenas 10%, a menor porcentagem dentre as reações. Não foi observada perda de massa em 6</w:t>
      </w:r>
      <w:r w:rsidR="00996CA1">
        <w:rPr>
          <w:rFonts w:ascii="Times New Roman" w:hAnsi="Times New Roman"/>
          <w:lang w:val="pt-BR"/>
        </w:rPr>
        <w:t xml:space="preserve"> </w:t>
      </w:r>
      <w:r w:rsidR="009B5A25">
        <w:rPr>
          <w:rFonts w:ascii="Times New Roman" w:hAnsi="Times New Roman"/>
          <w:lang w:val="pt-BR"/>
        </w:rPr>
        <w:t>h.</w:t>
      </w:r>
    </w:p>
    <w:p w14:paraId="721B0515" w14:textId="037FE8EE" w:rsidR="00B23C0A" w:rsidRDefault="00CA4B46" w:rsidP="00B72C2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Com relação à velocidade da reação, a curva do CPME apresentou um comportamento muito semelhante à do tolueno, com progressão rápida, </w:t>
      </w:r>
      <w:r w:rsidR="00E353D7">
        <w:rPr>
          <w:rFonts w:ascii="Times New Roman" w:hAnsi="Times New Roman"/>
          <w:lang w:val="pt-BR"/>
        </w:rPr>
        <w:t>enquanto a curva do DMI apresentou comportamento próximo ao do texanol</w:t>
      </w:r>
      <w:r w:rsidR="00F92D0E">
        <w:rPr>
          <w:rFonts w:ascii="Times New Roman" w:hAnsi="Times New Roman"/>
          <w:lang w:val="pt-BR"/>
        </w:rPr>
        <w:t>™</w:t>
      </w:r>
      <w:r w:rsidR="00E353D7">
        <w:rPr>
          <w:rFonts w:ascii="Times New Roman" w:hAnsi="Times New Roman"/>
          <w:lang w:val="pt-BR"/>
        </w:rPr>
        <w:t xml:space="preserve">, com progressão mais lenta, mas convertendo todo o substrato ao final, </w:t>
      </w:r>
      <w:r>
        <w:rPr>
          <w:rFonts w:ascii="Times New Roman" w:hAnsi="Times New Roman"/>
          <w:lang w:val="pt-BR"/>
        </w:rPr>
        <w:t xml:space="preserve">porém </w:t>
      </w:r>
      <w:r w:rsidR="00E353D7">
        <w:rPr>
          <w:rFonts w:ascii="Times New Roman" w:hAnsi="Times New Roman"/>
          <w:lang w:val="pt-BR"/>
        </w:rPr>
        <w:t>em ambos, a boa conversão não compensa a baixa seletividade para o AL.</w:t>
      </w:r>
      <w:r w:rsidR="008932C1">
        <w:rPr>
          <w:rFonts w:ascii="Times New Roman" w:hAnsi="Times New Roman"/>
          <w:lang w:val="pt-BR"/>
        </w:rPr>
        <w:t xml:space="preserve"> A curva cinética do </w:t>
      </w:r>
      <w:r w:rsidR="00F92D0E">
        <w:rPr>
          <w:rFonts w:ascii="Times New Roman" w:hAnsi="Times New Roman"/>
          <w:lang w:val="pt-BR"/>
        </w:rPr>
        <w:t>c</w:t>
      </w:r>
      <w:r w:rsidR="008932C1">
        <w:rPr>
          <w:rFonts w:ascii="Times New Roman" w:hAnsi="Times New Roman"/>
          <w:lang w:val="pt-BR"/>
        </w:rPr>
        <w:t>yrene</w:t>
      </w:r>
      <w:r w:rsidR="008932C1">
        <w:rPr>
          <w:rFonts w:ascii="Times New Roman" w:hAnsi="Times New Roman"/>
          <w:vertAlign w:val="superscript"/>
          <w:lang w:val="pt-BR"/>
        </w:rPr>
        <w:t>TM</w:t>
      </w:r>
      <w:r w:rsidR="008932C1">
        <w:rPr>
          <w:rFonts w:ascii="Times New Roman" w:hAnsi="Times New Roman"/>
          <w:lang w:val="pt-BR"/>
        </w:rPr>
        <w:t xml:space="preserve"> também foi muito semelhante à do texanol</w:t>
      </w:r>
      <w:r w:rsidR="00F92D0E">
        <w:rPr>
          <w:rFonts w:ascii="Times New Roman" w:hAnsi="Times New Roman"/>
          <w:lang w:val="pt-BR"/>
        </w:rPr>
        <w:t>™</w:t>
      </w:r>
      <w:r w:rsidR="008932C1">
        <w:rPr>
          <w:rFonts w:ascii="Times New Roman" w:hAnsi="Times New Roman"/>
          <w:lang w:val="pt-BR"/>
        </w:rPr>
        <w:t xml:space="preserve">, porém a seletividade ao final foi menor para o AL. </w:t>
      </w:r>
      <w:r w:rsidR="009B5A25">
        <w:rPr>
          <w:rFonts w:ascii="Times New Roman" w:hAnsi="Times New Roman"/>
          <w:lang w:val="pt-BR"/>
        </w:rPr>
        <w:t xml:space="preserve">Para a </w:t>
      </w:r>
      <w:r w:rsidR="009B5A25" w:rsidRPr="009B5A25">
        <w:rPr>
          <w:rFonts w:ascii="Times New Roman" w:hAnsi="Times New Roman"/>
          <w:lang w:val="pt-BR"/>
        </w:rPr>
        <w:t>t</w:t>
      </w:r>
      <w:r w:rsidR="008932C1" w:rsidRPr="009B5A25">
        <w:rPr>
          <w:rFonts w:ascii="Times New Roman" w:hAnsi="Times New Roman"/>
          <w:lang w:val="pt-BR"/>
        </w:rPr>
        <w:t>riacetina</w:t>
      </w:r>
      <w:r w:rsidR="009B5A25">
        <w:rPr>
          <w:rFonts w:ascii="Times New Roman" w:hAnsi="Times New Roman"/>
          <w:lang w:val="pt-BR"/>
        </w:rPr>
        <w:t xml:space="preserve"> a reação se mostrou mais lenta em relação ao tolueno, contudo apresentou uma maior seletividade. Em relação ao texanol</w:t>
      </w:r>
      <w:r w:rsidR="004B7AB5">
        <w:rPr>
          <w:rFonts w:ascii="Times New Roman" w:hAnsi="Times New Roman"/>
          <w:lang w:val="pt-BR"/>
        </w:rPr>
        <w:t>™</w:t>
      </w:r>
      <w:r w:rsidR="009B5A25">
        <w:rPr>
          <w:rFonts w:ascii="Times New Roman" w:hAnsi="Times New Roman"/>
          <w:lang w:val="pt-BR"/>
        </w:rPr>
        <w:t xml:space="preserve"> a seletividade foi comparável e</w:t>
      </w:r>
      <w:r w:rsidR="00777F46">
        <w:rPr>
          <w:rFonts w:ascii="Times New Roman" w:hAnsi="Times New Roman"/>
          <w:lang w:val="pt-BR"/>
        </w:rPr>
        <w:t xml:space="preserve"> - </w:t>
      </w:r>
      <w:r w:rsidR="009B5A25">
        <w:rPr>
          <w:rFonts w:ascii="Times New Roman" w:hAnsi="Times New Roman"/>
          <w:lang w:val="pt-BR"/>
        </w:rPr>
        <w:t>em termos de conversão</w:t>
      </w:r>
      <w:r w:rsidR="00777F46">
        <w:rPr>
          <w:rFonts w:ascii="Times New Roman" w:hAnsi="Times New Roman"/>
          <w:lang w:val="pt-BR"/>
        </w:rPr>
        <w:t xml:space="preserve"> -</w:t>
      </w:r>
      <w:r w:rsidR="009B5A25">
        <w:rPr>
          <w:rFonts w:ascii="Times New Roman" w:hAnsi="Times New Roman"/>
          <w:lang w:val="pt-BR"/>
        </w:rPr>
        <w:t xml:space="preserve"> a reação em triacetina </w:t>
      </w:r>
      <w:r w:rsidR="00777F46">
        <w:rPr>
          <w:rFonts w:ascii="Times New Roman" w:hAnsi="Times New Roman"/>
          <w:lang w:val="pt-BR"/>
        </w:rPr>
        <w:t>apresentou conversão 7% menor ao final da reação.</w:t>
      </w:r>
    </w:p>
    <w:p w14:paraId="6D67796A" w14:textId="77777777" w:rsidR="008932C1" w:rsidRPr="008932C1" w:rsidRDefault="008932C1" w:rsidP="009B5A25">
      <w:pPr>
        <w:pStyle w:val="TAMainText"/>
        <w:ind w:firstLine="0"/>
        <w:rPr>
          <w:rFonts w:ascii="Times New Roman" w:hAnsi="Times New Roman"/>
          <w:lang w:val="pt-BR"/>
        </w:rPr>
      </w:pPr>
    </w:p>
    <w:p w14:paraId="359CC20B" w14:textId="5D79B9C2" w:rsidR="000D2067" w:rsidRDefault="000D2067" w:rsidP="000B3A49">
      <w:pPr>
        <w:pStyle w:val="Legenda"/>
        <w:keepNext/>
        <w:spacing w:after="0"/>
      </w:pPr>
      <w:r>
        <w:t xml:space="preserve">Tabela </w:t>
      </w:r>
      <w:fldSimple w:instr=" SEQ Tabela \* ARABIC ">
        <w:r w:rsidR="008015C7">
          <w:rPr>
            <w:noProof/>
          </w:rPr>
          <w:t>3</w:t>
        </w:r>
      </w:fldSimple>
      <w:r>
        <w:t>. Hidroformilação do álcool perílico.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783"/>
        <w:gridCol w:w="1320"/>
        <w:gridCol w:w="631"/>
        <w:gridCol w:w="775"/>
        <w:gridCol w:w="659"/>
        <w:gridCol w:w="816"/>
      </w:tblGrid>
      <w:tr w:rsidR="00016743" w:rsidRPr="009A3AC5" w14:paraId="12E8A68E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ABE7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Exp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1332" w:type="pct"/>
            <w:vMerge w:val="restart"/>
            <w:tcBorders>
              <w:left w:val="nil"/>
              <w:right w:val="nil"/>
            </w:tcBorders>
            <w:vAlign w:val="center"/>
          </w:tcPr>
          <w:p w14:paraId="5C08E07F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Solvent</w:t>
            </w:r>
            <w:r>
              <w:rPr>
                <w:rFonts w:cs="Arial"/>
                <w:b/>
                <w:bCs/>
              </w:rPr>
              <w:t>e</w:t>
            </w:r>
          </w:p>
        </w:tc>
        <w:tc>
          <w:tcPr>
            <w:tcW w:w="641" w:type="pct"/>
            <w:vMerge w:val="restart"/>
            <w:tcBorders>
              <w:left w:val="nil"/>
              <w:right w:val="nil"/>
            </w:tcBorders>
            <w:vAlign w:val="center"/>
          </w:tcPr>
          <w:p w14:paraId="5B99541B" w14:textId="1B3284A2" w:rsidR="00016743" w:rsidRPr="009A3AC5" w:rsidRDefault="000D2067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</w:t>
            </w:r>
            <w:r w:rsidR="00016743" w:rsidRPr="009A3AC5">
              <w:rPr>
                <w:rFonts w:cs="Arial"/>
                <w:b/>
                <w:bCs/>
              </w:rPr>
              <w:t xml:space="preserve"> (h)</w:t>
            </w:r>
          </w:p>
        </w:tc>
        <w:tc>
          <w:tcPr>
            <w:tcW w:w="786" w:type="pct"/>
            <w:vMerge w:val="restart"/>
            <w:tcBorders>
              <w:left w:val="nil"/>
              <w:right w:val="nil"/>
            </w:tcBorders>
            <w:vAlign w:val="center"/>
          </w:tcPr>
          <w:p w14:paraId="243C8633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 w:rsidRPr="009A3AC5">
              <w:rPr>
                <w:rFonts w:cs="Arial"/>
                <w:b/>
                <w:bCs/>
              </w:rPr>
              <w:t>C (%)</w:t>
            </w:r>
          </w:p>
        </w:tc>
        <w:tc>
          <w:tcPr>
            <w:tcW w:w="1448" w:type="pct"/>
            <w:gridSpan w:val="2"/>
            <w:tcBorders>
              <w:left w:val="nil"/>
              <w:right w:val="nil"/>
            </w:tcBorders>
          </w:tcPr>
          <w:p w14:paraId="40F505B4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Sel. (%)</w:t>
            </w:r>
          </w:p>
        </w:tc>
      </w:tr>
      <w:tr w:rsidR="00016743" w:rsidRPr="009A3AC5" w14:paraId="3BE46401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4A591A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8E0C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4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E53F0A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8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B04B4F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nil"/>
            </w:tcBorders>
          </w:tcPr>
          <w:p w14:paraId="1A45E61A" w14:textId="2090E5E6" w:rsidR="00016743" w:rsidRPr="009A3AC5" w:rsidRDefault="000D2067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AL</w:t>
            </w:r>
          </w:p>
        </w:tc>
        <w:tc>
          <w:tcPr>
            <w:tcW w:w="778" w:type="pct"/>
            <w:tcBorders>
              <w:left w:val="nil"/>
              <w:bottom w:val="single" w:sz="4" w:space="0" w:color="auto"/>
              <w:right w:val="nil"/>
            </w:tcBorders>
          </w:tcPr>
          <w:p w14:paraId="0699231B" w14:textId="09A29079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</w:t>
            </w:r>
            <w:r w:rsidR="00017232">
              <w:rPr>
                <w:rFonts w:cs="Arial"/>
                <w:b/>
                <w:bCs/>
              </w:rPr>
              <w:t>ros</w:t>
            </w:r>
          </w:p>
        </w:tc>
      </w:tr>
      <w:tr w:rsidR="00016743" w:rsidRPr="009A3AC5" w14:paraId="0EBD9729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D3FBF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363DF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Tolueno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218D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F942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03E14D6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65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7563BFAF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016743" w:rsidRPr="009A3AC5" w14:paraId="5B1419B3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B9A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4B8A5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4447" w14:textId="77777777" w:rsidR="00016743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459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2257832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124E25FD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</w:tr>
      <w:tr w:rsidR="00016743" w:rsidRPr="009A3AC5" w14:paraId="55C4E7EA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2ACA1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986518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Texanol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6B2A27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3CEB3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197189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25373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016743" w:rsidRPr="009A3AC5" w14:paraId="589A6F4E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01E428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9ABEC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96AA72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15A77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C54D3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30863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016743" w:rsidRPr="009A3AC5" w14:paraId="42306EF7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F66D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8D7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CPME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D35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49D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4F4D8A4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6CBDA359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016743" w:rsidRPr="009A3AC5" w14:paraId="5335181E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C748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72EEE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9E7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0C32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&gt;99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6C03CE6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69112E96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</w:tr>
      <w:tr w:rsidR="00016743" w:rsidRPr="009A3AC5" w14:paraId="463E8B4E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EB18C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21867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DMI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317C92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84BCF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53087A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7936F7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</w:tr>
      <w:tr w:rsidR="00016743" w:rsidRPr="009A3AC5" w14:paraId="1E25D843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7306A0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D2196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25E9E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8BEA95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B34CE4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999CEC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</w:tr>
      <w:tr w:rsidR="00016743" w:rsidRPr="009A3AC5" w14:paraId="12873614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439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4CC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Cyrene™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36DB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35F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66282138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2C8F5A48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016743" w:rsidRPr="009A3AC5" w14:paraId="1796CB7D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6066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A91FAA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0AB34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B9D7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1FFA3FAE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5E69B021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</w:tr>
      <w:tr w:rsidR="00016743" w:rsidRPr="009A3AC5" w14:paraId="64A2E8D1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094AA9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81FD79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 w:rsidRPr="00993554">
              <w:rPr>
                <w:rFonts w:cs="Arial"/>
              </w:rPr>
              <w:t>Triacetina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6011E" w14:textId="77777777" w:rsidR="00016743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C5C6F9" w14:textId="44B96E99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6F07A9" w14:textId="10BE4438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85C9FD" w14:textId="6E4BCA18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016743" w:rsidRPr="009A3AC5" w14:paraId="63B96A22" w14:textId="77777777" w:rsidTr="005C3579">
        <w:trPr>
          <w:cantSplit/>
          <w:trHeight w:hRule="exact" w:val="283"/>
          <w:jc w:val="center"/>
        </w:trPr>
        <w:tc>
          <w:tcPr>
            <w:tcW w:w="79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CA8812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D2F4D3" w14:textId="77777777" w:rsidR="00016743" w:rsidRPr="009A3AC5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4073E22" w14:textId="77777777" w:rsidR="00016743" w:rsidRDefault="00016743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4E78561" w14:textId="37144BA5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F4AAC9" w14:textId="1C2762AE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48C4F9" w14:textId="2E01797D" w:rsidR="00016743" w:rsidRPr="009A3AC5" w:rsidRDefault="00993554" w:rsidP="00F816A9">
            <w:pPr>
              <w:keepNext/>
              <w:spacing w:before="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016743" w:rsidRPr="009A3AC5" w14:paraId="76191DF0" w14:textId="77777777" w:rsidTr="005C3579">
        <w:trPr>
          <w:cantSplit/>
          <w:trHeight w:hRule="exact" w:val="119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986D9" w14:textId="01F142DF" w:rsidR="00016743" w:rsidRPr="009A3AC5" w:rsidRDefault="00016743" w:rsidP="00F816A9">
            <w:pPr>
              <w:keepNext/>
              <w:spacing w:before="0" w:line="240" w:lineRule="auto"/>
              <w:ind w:firstLine="0"/>
              <w:rPr>
                <w:rFonts w:cs="Arial"/>
              </w:rPr>
            </w:pPr>
            <w:r w:rsidRPr="005F46A6">
              <w:rPr>
                <w:rFonts w:cs="Arial"/>
                <w:sz w:val="16"/>
                <w:szCs w:val="16"/>
              </w:rPr>
              <w:t xml:space="preserve">Condições reacionais: </w:t>
            </w:r>
            <w:r>
              <w:rPr>
                <w:rFonts w:cs="Arial"/>
                <w:sz w:val="16"/>
                <w:szCs w:val="16"/>
              </w:rPr>
              <w:t>álcool perílico</w:t>
            </w:r>
            <w:r w:rsidRPr="005F46A6">
              <w:rPr>
                <w:rFonts w:cs="Arial"/>
                <w:sz w:val="16"/>
                <w:szCs w:val="16"/>
              </w:rPr>
              <w:t xml:space="preserve"> – 0,40 M (8 mmol), [Rh(</w:t>
            </w:r>
            <w:proofErr w:type="spellStart"/>
            <w:r>
              <w:rPr>
                <w:rFonts w:cs="Arial"/>
                <w:sz w:val="16"/>
                <w:szCs w:val="16"/>
              </w:rPr>
              <w:t>acac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)(</w:t>
            </w:r>
            <w:r>
              <w:rPr>
                <w:rFonts w:cs="Arial"/>
                <w:sz w:val="16"/>
                <w:szCs w:val="16"/>
              </w:rPr>
              <w:t>CO)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>] – 0,</w:t>
            </w:r>
            <w:r>
              <w:rPr>
                <w:rFonts w:cs="Arial"/>
                <w:sz w:val="16"/>
                <w:szCs w:val="16"/>
              </w:rPr>
              <w:t>5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mM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10</w:t>
            </w:r>
            <w:r w:rsidRPr="005F46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μmol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), ligante – PPh</w:t>
            </w:r>
            <w:r w:rsidRPr="005F46A6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5F46A6">
              <w:rPr>
                <w:rFonts w:cs="Arial"/>
                <w:sz w:val="16"/>
                <w:szCs w:val="16"/>
              </w:rPr>
              <w:t xml:space="preserve"> (P/Rh = 10), </w:t>
            </w:r>
            <w:r>
              <w:rPr>
                <w:rFonts w:cs="Arial"/>
                <w:sz w:val="16"/>
                <w:szCs w:val="16"/>
              </w:rPr>
              <w:t>4</w:t>
            </w:r>
            <w:r w:rsidRPr="005F46A6">
              <w:rPr>
                <w:rFonts w:cs="Arial"/>
                <w:sz w:val="16"/>
                <w:szCs w:val="16"/>
              </w:rPr>
              <w:t xml:space="preserve">0 </w:t>
            </w:r>
            <w:r w:rsidR="00C733D7">
              <w:rPr>
                <w:rFonts w:cs="Arial"/>
                <w:sz w:val="16"/>
                <w:szCs w:val="16"/>
              </w:rPr>
              <w:t>bar</w:t>
            </w:r>
            <w:r w:rsidRPr="005F46A6">
              <w:rPr>
                <w:rFonts w:cs="Arial"/>
                <w:sz w:val="16"/>
                <w:szCs w:val="16"/>
              </w:rPr>
              <w:t xml:space="preserve"> (CO/H</w:t>
            </w:r>
            <w:r w:rsidRPr="00E95858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5F46A6">
              <w:rPr>
                <w:rFonts w:cs="Arial"/>
                <w:sz w:val="16"/>
                <w:szCs w:val="16"/>
              </w:rPr>
              <w:t xml:space="preserve"> = 1/1), 80 °C, 2</w:t>
            </w:r>
            <w:r>
              <w:rPr>
                <w:rFonts w:cs="Arial"/>
                <w:sz w:val="16"/>
                <w:szCs w:val="16"/>
              </w:rPr>
              <w:t>4</w:t>
            </w:r>
            <w:r w:rsidRPr="005F46A6">
              <w:rPr>
                <w:rFonts w:cs="Arial"/>
                <w:sz w:val="16"/>
                <w:szCs w:val="16"/>
              </w:rPr>
              <w:t xml:space="preserve"> h, solvente – 20 </w:t>
            </w:r>
            <w:proofErr w:type="spellStart"/>
            <w:r w:rsidRPr="005F46A6">
              <w:rPr>
                <w:rFonts w:cs="Arial"/>
                <w:sz w:val="16"/>
                <w:szCs w:val="16"/>
              </w:rPr>
              <w:t>mL</w:t>
            </w:r>
            <w:proofErr w:type="spellEnd"/>
            <w:r w:rsidRPr="005F46A6">
              <w:rPr>
                <w:rFonts w:cs="Arial"/>
                <w:sz w:val="16"/>
                <w:szCs w:val="16"/>
              </w:rPr>
              <w:t>. Conversão e rendimento foram calculados baseada na conversão do substrato em relação ao padrão interno (</w:t>
            </w:r>
            <w:r w:rsidRPr="00993554">
              <w:rPr>
                <w:rFonts w:cs="Arial"/>
                <w:i/>
                <w:iCs/>
                <w:sz w:val="16"/>
                <w:szCs w:val="16"/>
              </w:rPr>
              <w:t>p</w:t>
            </w:r>
            <w:r w:rsidRPr="005F46A6">
              <w:rPr>
                <w:rFonts w:cs="Arial"/>
                <w:sz w:val="16"/>
                <w:szCs w:val="16"/>
              </w:rPr>
              <w:t xml:space="preserve">-xileno - 4 </w:t>
            </w:r>
            <w:r>
              <w:rPr>
                <w:rFonts w:cs="Arial"/>
                <w:sz w:val="16"/>
                <w:szCs w:val="16"/>
              </w:rPr>
              <w:t>m</w:t>
            </w:r>
            <w:r w:rsidRPr="005F46A6">
              <w:rPr>
                <w:rFonts w:cs="Arial"/>
                <w:sz w:val="16"/>
                <w:szCs w:val="16"/>
              </w:rPr>
              <w:t>mol);</w:t>
            </w:r>
            <w:r w:rsidR="00017232" w:rsidRPr="00017232">
              <w:rPr>
                <w:rFonts w:cs="Arial"/>
                <w:sz w:val="16"/>
                <w:szCs w:val="16"/>
              </w:rPr>
              <w:t xml:space="preserve"> AL – aldeído linear.</w:t>
            </w:r>
          </w:p>
        </w:tc>
      </w:tr>
    </w:tbl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684441D1" w14:textId="2989825B" w:rsidR="004D61FB" w:rsidRDefault="0000319E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Neste trabalho </w:t>
      </w:r>
      <w:r w:rsidR="00327330">
        <w:rPr>
          <w:rFonts w:ascii="Times New Roman" w:hAnsi="Times New Roman"/>
          <w:lang w:val="pt-BR"/>
        </w:rPr>
        <w:t xml:space="preserve">foi </w:t>
      </w:r>
      <w:r w:rsidR="00741744">
        <w:rPr>
          <w:rFonts w:ascii="Times New Roman" w:hAnsi="Times New Roman"/>
          <w:lang w:val="pt-BR"/>
        </w:rPr>
        <w:t>avaliad</w:t>
      </w:r>
      <w:r w:rsidR="00327330">
        <w:rPr>
          <w:rFonts w:ascii="Times New Roman" w:hAnsi="Times New Roman"/>
          <w:lang w:val="pt-BR"/>
        </w:rPr>
        <w:t>o o desempenho</w:t>
      </w:r>
      <w:r>
        <w:rPr>
          <w:rFonts w:ascii="Times New Roman" w:hAnsi="Times New Roman"/>
          <w:lang w:val="pt-BR"/>
        </w:rPr>
        <w:t xml:space="preserve"> </w:t>
      </w:r>
      <w:r w:rsidR="00327330">
        <w:rPr>
          <w:rFonts w:ascii="Times New Roman" w:hAnsi="Times New Roman"/>
          <w:lang w:val="pt-BR"/>
        </w:rPr>
        <w:t xml:space="preserve">de vários </w:t>
      </w:r>
      <w:r>
        <w:rPr>
          <w:rFonts w:ascii="Times New Roman" w:hAnsi="Times New Roman"/>
          <w:lang w:val="pt-BR"/>
        </w:rPr>
        <w:t xml:space="preserve">solventes </w:t>
      </w:r>
      <w:r w:rsidR="00741744">
        <w:rPr>
          <w:rFonts w:ascii="Times New Roman" w:hAnsi="Times New Roman"/>
          <w:lang w:val="pt-BR"/>
        </w:rPr>
        <w:t xml:space="preserve">sustentáveis </w:t>
      </w:r>
      <w:r w:rsidR="00327330">
        <w:rPr>
          <w:rFonts w:ascii="Times New Roman" w:hAnsi="Times New Roman"/>
          <w:lang w:val="pt-BR"/>
        </w:rPr>
        <w:t>na</w:t>
      </w:r>
      <w:r w:rsidR="00741744">
        <w:rPr>
          <w:rFonts w:ascii="Times New Roman" w:hAnsi="Times New Roman"/>
          <w:lang w:val="pt-BR"/>
        </w:rPr>
        <w:t xml:space="preserve"> hidroformilação de olefinas, </w:t>
      </w:r>
      <w:r w:rsidR="00327330">
        <w:rPr>
          <w:rFonts w:ascii="Times New Roman" w:hAnsi="Times New Roman"/>
          <w:lang w:val="pt-BR"/>
        </w:rPr>
        <w:t xml:space="preserve">utilizando </w:t>
      </w:r>
      <w:r w:rsidR="00741744">
        <w:rPr>
          <w:rFonts w:ascii="Times New Roman" w:hAnsi="Times New Roman"/>
          <w:lang w:val="pt-BR"/>
        </w:rPr>
        <w:t>um sistema cata</w:t>
      </w:r>
      <w:r w:rsidR="00327330">
        <w:rPr>
          <w:rFonts w:ascii="Times New Roman" w:hAnsi="Times New Roman"/>
          <w:lang w:val="pt-BR"/>
        </w:rPr>
        <w:t xml:space="preserve">lítico de </w:t>
      </w:r>
      <w:r w:rsidR="00741744">
        <w:rPr>
          <w:rFonts w:ascii="Times New Roman" w:hAnsi="Times New Roman"/>
          <w:lang w:val="pt-BR"/>
        </w:rPr>
        <w:t xml:space="preserve">ródio </w:t>
      </w:r>
      <w:r w:rsidR="00C733D7">
        <w:rPr>
          <w:rFonts w:ascii="Times New Roman" w:hAnsi="Times New Roman"/>
          <w:lang w:val="pt-BR"/>
        </w:rPr>
        <w:t>promovido pela</w:t>
      </w:r>
      <w:r w:rsidR="004D61FB">
        <w:rPr>
          <w:rFonts w:ascii="Times New Roman" w:hAnsi="Times New Roman"/>
          <w:lang w:val="pt-BR"/>
        </w:rPr>
        <w:t xml:space="preserve"> trifenilfosfina. </w:t>
      </w:r>
      <w:r w:rsidR="00327330">
        <w:rPr>
          <w:rFonts w:ascii="Times New Roman" w:hAnsi="Times New Roman"/>
          <w:lang w:val="pt-BR"/>
        </w:rPr>
        <w:t>As</w:t>
      </w:r>
      <w:r w:rsidR="004D61FB">
        <w:rPr>
          <w:rFonts w:ascii="Times New Roman" w:hAnsi="Times New Roman"/>
          <w:lang w:val="pt-BR"/>
        </w:rPr>
        <w:t xml:space="preserve"> reações em </w:t>
      </w:r>
      <w:r w:rsidR="00327330">
        <w:rPr>
          <w:rFonts w:ascii="Times New Roman" w:hAnsi="Times New Roman"/>
          <w:lang w:val="pt-BR"/>
        </w:rPr>
        <w:t xml:space="preserve">soluções de </w:t>
      </w:r>
      <w:r w:rsidR="004D61FB">
        <w:rPr>
          <w:rFonts w:ascii="Times New Roman" w:hAnsi="Times New Roman"/>
          <w:lang w:val="pt-BR"/>
        </w:rPr>
        <w:t>tolueno e texanol</w:t>
      </w:r>
      <w:r w:rsidR="00CD6AE0">
        <w:rPr>
          <w:rFonts w:ascii="Times New Roman" w:hAnsi="Times New Roman"/>
          <w:lang w:val="pt-BR"/>
        </w:rPr>
        <w:t>™</w:t>
      </w:r>
      <w:r w:rsidR="004D61FB">
        <w:rPr>
          <w:rFonts w:ascii="Times New Roman" w:hAnsi="Times New Roman"/>
          <w:lang w:val="pt-BR"/>
        </w:rPr>
        <w:t xml:space="preserve"> </w:t>
      </w:r>
      <w:r w:rsidR="00E353D7">
        <w:rPr>
          <w:rFonts w:ascii="Times New Roman" w:hAnsi="Times New Roman"/>
          <w:lang w:val="pt-BR"/>
        </w:rPr>
        <w:t xml:space="preserve">foram </w:t>
      </w:r>
      <w:r w:rsidR="00323F37">
        <w:rPr>
          <w:rFonts w:ascii="Times New Roman" w:hAnsi="Times New Roman"/>
          <w:lang w:val="pt-BR"/>
        </w:rPr>
        <w:t>utilizadas</w:t>
      </w:r>
      <w:r w:rsidR="00E353D7">
        <w:rPr>
          <w:rFonts w:ascii="Times New Roman" w:hAnsi="Times New Roman"/>
          <w:lang w:val="pt-BR"/>
        </w:rPr>
        <w:t xml:space="preserve"> como referência</w:t>
      </w:r>
      <w:r w:rsidR="004D61FB">
        <w:rPr>
          <w:rFonts w:ascii="Times New Roman" w:hAnsi="Times New Roman"/>
          <w:lang w:val="pt-BR"/>
        </w:rPr>
        <w:t>.</w:t>
      </w:r>
    </w:p>
    <w:p w14:paraId="591F0599" w14:textId="749333A5" w:rsidR="00604C80" w:rsidRDefault="004D61FB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hidroformilação do 1-octeno, em todos os casos, foram </w:t>
      </w:r>
      <w:r w:rsidR="00604C80">
        <w:rPr>
          <w:rFonts w:ascii="Times New Roman" w:hAnsi="Times New Roman"/>
          <w:lang w:val="pt-BR"/>
        </w:rPr>
        <w:t>produzidos</w:t>
      </w:r>
      <w:r>
        <w:rPr>
          <w:rFonts w:ascii="Times New Roman" w:hAnsi="Times New Roman"/>
          <w:lang w:val="pt-BR"/>
        </w:rPr>
        <w:t xml:space="preserve"> os aldeídos linear e ramificado e os isômeros do 1-octeno. </w:t>
      </w:r>
      <w:r w:rsidR="002E62B0">
        <w:rPr>
          <w:rFonts w:ascii="Times New Roman" w:hAnsi="Times New Roman"/>
          <w:lang w:val="pt-BR"/>
        </w:rPr>
        <w:t xml:space="preserve">Em </w:t>
      </w:r>
      <w:r>
        <w:rPr>
          <w:rFonts w:ascii="Times New Roman" w:hAnsi="Times New Roman"/>
          <w:lang w:val="pt-BR"/>
        </w:rPr>
        <w:t xml:space="preserve">solventes </w:t>
      </w:r>
      <w:r w:rsidR="002E62B0">
        <w:rPr>
          <w:rFonts w:ascii="Times New Roman" w:hAnsi="Times New Roman"/>
          <w:lang w:val="pt-BR"/>
        </w:rPr>
        <w:t xml:space="preserve">sustentáveis, </w:t>
      </w:r>
      <w:r w:rsidR="00554601">
        <w:rPr>
          <w:rFonts w:ascii="Times New Roman" w:hAnsi="Times New Roman"/>
          <w:lang w:val="pt-BR"/>
        </w:rPr>
        <w:t>CPME,</w:t>
      </w:r>
      <w:r w:rsidR="00554601" w:rsidRPr="00554601">
        <w:rPr>
          <w:rFonts w:ascii="Times New Roman" w:hAnsi="Times New Roman"/>
          <w:lang w:val="pt-BR"/>
        </w:rPr>
        <w:t xml:space="preserve"> </w:t>
      </w:r>
      <w:r w:rsidR="00554601">
        <w:rPr>
          <w:rFonts w:ascii="Times New Roman" w:hAnsi="Times New Roman"/>
          <w:lang w:val="pt-BR"/>
        </w:rPr>
        <w:t>cyrene</w:t>
      </w:r>
      <w:r w:rsidR="00554601">
        <w:rPr>
          <w:rFonts w:ascii="Times New Roman" w:hAnsi="Times New Roman"/>
          <w:vertAlign w:val="superscript"/>
          <w:lang w:val="pt-BR"/>
        </w:rPr>
        <w:t>TM</w:t>
      </w:r>
      <w:r w:rsidR="00554601">
        <w:rPr>
          <w:rFonts w:ascii="Times New Roman" w:hAnsi="Times New Roman"/>
          <w:lang w:val="pt-BR"/>
        </w:rPr>
        <w:t xml:space="preserve"> e triacetina, </w:t>
      </w:r>
      <w:r w:rsidR="002E62B0">
        <w:rPr>
          <w:rFonts w:ascii="Times New Roman" w:hAnsi="Times New Roman"/>
          <w:lang w:val="pt-BR"/>
        </w:rPr>
        <w:t xml:space="preserve">o sistema catalítico demonstrou </w:t>
      </w:r>
      <w:r w:rsidR="0032114B">
        <w:rPr>
          <w:rFonts w:ascii="Times New Roman" w:hAnsi="Times New Roman"/>
          <w:lang w:val="pt-BR"/>
        </w:rPr>
        <w:t xml:space="preserve">desempenho em termos de </w:t>
      </w:r>
      <w:r w:rsidR="002E62B0">
        <w:rPr>
          <w:rFonts w:ascii="Times New Roman" w:hAnsi="Times New Roman"/>
          <w:lang w:val="pt-BR"/>
        </w:rPr>
        <w:t xml:space="preserve">atividade </w:t>
      </w:r>
      <w:r w:rsidR="0032114B">
        <w:rPr>
          <w:rFonts w:ascii="Times New Roman" w:hAnsi="Times New Roman"/>
          <w:lang w:val="pt-BR"/>
        </w:rPr>
        <w:t xml:space="preserve">e seletividade </w:t>
      </w:r>
      <w:r>
        <w:rPr>
          <w:rFonts w:ascii="Times New Roman" w:hAnsi="Times New Roman"/>
          <w:lang w:val="pt-BR"/>
        </w:rPr>
        <w:t>semelhante</w:t>
      </w:r>
      <w:r w:rsidR="002E62B0">
        <w:rPr>
          <w:rFonts w:ascii="Times New Roman" w:hAnsi="Times New Roman"/>
          <w:lang w:val="pt-BR"/>
        </w:rPr>
        <w:t xml:space="preserve"> a observada em solventes de referência</w:t>
      </w:r>
      <w:r w:rsidR="0032114B">
        <w:rPr>
          <w:rFonts w:ascii="Times New Roman" w:hAnsi="Times New Roman"/>
          <w:lang w:val="pt-BR"/>
        </w:rPr>
        <w:t>. Somente</w:t>
      </w:r>
      <w:r w:rsidR="002E62B0">
        <w:rPr>
          <w:rFonts w:ascii="Times New Roman" w:hAnsi="Times New Roman"/>
          <w:lang w:val="pt-BR"/>
        </w:rPr>
        <w:t xml:space="preserve"> </w:t>
      </w:r>
      <w:r w:rsidR="0032114B">
        <w:rPr>
          <w:rFonts w:ascii="Times New Roman" w:hAnsi="Times New Roman"/>
          <w:lang w:val="pt-BR"/>
        </w:rPr>
        <w:t xml:space="preserve">em soluções de DMI a seletividade para produtos de hidroformilação foi significativamente mais baixa devido a formação de </w:t>
      </w:r>
      <w:r w:rsidR="0013608C">
        <w:rPr>
          <w:rFonts w:ascii="Times New Roman" w:hAnsi="Times New Roman"/>
          <w:lang w:val="pt-BR"/>
        </w:rPr>
        <w:t xml:space="preserve">isômeros </w:t>
      </w:r>
      <w:r w:rsidR="0032114B">
        <w:rPr>
          <w:rFonts w:ascii="Times New Roman" w:hAnsi="Times New Roman"/>
          <w:lang w:val="pt-BR"/>
        </w:rPr>
        <w:t xml:space="preserve">do substrato. </w:t>
      </w:r>
      <w:r w:rsidR="0013608C">
        <w:rPr>
          <w:rFonts w:ascii="Times New Roman" w:hAnsi="Times New Roman"/>
          <w:lang w:val="pt-BR"/>
        </w:rPr>
        <w:t xml:space="preserve">Portanto, esses </w:t>
      </w:r>
      <w:r w:rsidR="00554601">
        <w:rPr>
          <w:rFonts w:ascii="Times New Roman" w:hAnsi="Times New Roman"/>
          <w:lang w:val="pt-BR"/>
        </w:rPr>
        <w:t>sol</w:t>
      </w:r>
      <w:r w:rsidR="00210C7B">
        <w:rPr>
          <w:rFonts w:ascii="Times New Roman" w:hAnsi="Times New Roman"/>
          <w:lang w:val="pt-BR"/>
        </w:rPr>
        <w:t>v</w:t>
      </w:r>
      <w:r w:rsidR="00554601">
        <w:rPr>
          <w:rFonts w:ascii="Times New Roman" w:hAnsi="Times New Roman"/>
          <w:lang w:val="pt-BR"/>
        </w:rPr>
        <w:t>entes</w:t>
      </w:r>
      <w:r w:rsidR="0013608C">
        <w:rPr>
          <w:rFonts w:ascii="Times New Roman" w:hAnsi="Times New Roman"/>
          <w:lang w:val="pt-BR"/>
        </w:rPr>
        <w:t xml:space="preserve"> são boas sugestões de uso</w:t>
      </w:r>
      <w:r w:rsidR="00E353D7">
        <w:rPr>
          <w:rFonts w:ascii="Times New Roman" w:hAnsi="Times New Roman"/>
          <w:lang w:val="pt-BR"/>
        </w:rPr>
        <w:t xml:space="preserve"> </w:t>
      </w:r>
      <w:r w:rsidR="00210C7B">
        <w:rPr>
          <w:rFonts w:ascii="Times New Roman" w:hAnsi="Times New Roman"/>
          <w:lang w:val="pt-BR"/>
        </w:rPr>
        <w:t>n</w:t>
      </w:r>
      <w:r w:rsidR="00554601">
        <w:rPr>
          <w:rFonts w:ascii="Times New Roman" w:hAnsi="Times New Roman"/>
          <w:lang w:val="pt-BR"/>
        </w:rPr>
        <w:t>a hidroformilação do 1-octeno</w:t>
      </w:r>
      <w:r w:rsidR="00604C80">
        <w:rPr>
          <w:rFonts w:ascii="Times New Roman" w:hAnsi="Times New Roman"/>
          <w:lang w:val="pt-BR"/>
        </w:rPr>
        <w:t xml:space="preserve">, </w:t>
      </w:r>
      <w:r w:rsidR="00554601">
        <w:rPr>
          <w:rFonts w:ascii="Times New Roman" w:hAnsi="Times New Roman"/>
          <w:lang w:val="pt-BR"/>
        </w:rPr>
        <w:t>como alternativas</w:t>
      </w:r>
      <w:r w:rsidR="00604C80">
        <w:rPr>
          <w:rFonts w:ascii="Times New Roman" w:hAnsi="Times New Roman"/>
          <w:lang w:val="pt-BR"/>
        </w:rPr>
        <w:t xml:space="preserve"> de solventes mais </w:t>
      </w:r>
      <w:r w:rsidR="00E353D7">
        <w:rPr>
          <w:rFonts w:ascii="Times New Roman" w:hAnsi="Times New Roman"/>
          <w:lang w:val="pt-BR"/>
        </w:rPr>
        <w:t>tóxicos</w:t>
      </w:r>
      <w:r w:rsidR="00604C80">
        <w:rPr>
          <w:rFonts w:ascii="Times New Roman" w:hAnsi="Times New Roman"/>
          <w:lang w:val="pt-BR"/>
        </w:rPr>
        <w:t>.</w:t>
      </w:r>
    </w:p>
    <w:p w14:paraId="4A70FE93" w14:textId="499F1223" w:rsidR="00EA4E1B" w:rsidRDefault="00604C80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hidroformilação do estireno foram obtidos como produtos os aldeídos linear e ramificado e, em alguns casos, </w:t>
      </w:r>
      <w:r w:rsidR="004F0B1E">
        <w:rPr>
          <w:rFonts w:ascii="Times New Roman" w:hAnsi="Times New Roman"/>
          <w:lang w:val="pt-BR"/>
        </w:rPr>
        <w:t>produtos decorrentes da polimerização desse substrato. O sistema em tolueno agiu conforme o esperado</w:t>
      </w:r>
      <w:r w:rsidR="00DD1A72">
        <w:rPr>
          <w:rFonts w:ascii="Times New Roman" w:hAnsi="Times New Roman"/>
          <w:lang w:val="pt-BR"/>
        </w:rPr>
        <w:t xml:space="preserve">, porém em </w:t>
      </w:r>
      <w:r w:rsidR="004F0B1E">
        <w:rPr>
          <w:rFonts w:ascii="Times New Roman" w:hAnsi="Times New Roman"/>
          <w:lang w:val="pt-BR"/>
        </w:rPr>
        <w:t>texanol</w:t>
      </w:r>
      <w:r w:rsidR="00F92D0E">
        <w:rPr>
          <w:rFonts w:ascii="Times New Roman" w:hAnsi="Times New Roman"/>
          <w:lang w:val="pt-BR"/>
        </w:rPr>
        <w:t>™</w:t>
      </w:r>
      <w:r w:rsidR="00DD1A72">
        <w:rPr>
          <w:rFonts w:ascii="Times New Roman" w:hAnsi="Times New Roman"/>
          <w:lang w:val="pt-BR"/>
        </w:rPr>
        <w:t xml:space="preserve"> houve</w:t>
      </w:r>
      <w:r w:rsidR="004F0B1E">
        <w:rPr>
          <w:rFonts w:ascii="Times New Roman" w:hAnsi="Times New Roman"/>
          <w:lang w:val="pt-BR"/>
        </w:rPr>
        <w:t xml:space="preserve"> conversão de apenas 70% do substrato e 26% de seletividade para o AL. </w:t>
      </w:r>
      <w:r w:rsidR="00DD1A72">
        <w:rPr>
          <w:rFonts w:ascii="Times New Roman" w:hAnsi="Times New Roman"/>
          <w:lang w:val="pt-BR"/>
        </w:rPr>
        <w:t>As curvas cinéticas desses dois solventes foram m</w:t>
      </w:r>
      <w:r w:rsidR="00E353D7">
        <w:rPr>
          <w:rFonts w:ascii="Times New Roman" w:hAnsi="Times New Roman"/>
          <w:lang w:val="pt-BR"/>
        </w:rPr>
        <w:t xml:space="preserve">uito diferentes, com </w:t>
      </w:r>
      <w:r w:rsidR="00DD1A72">
        <w:rPr>
          <w:rFonts w:ascii="Times New Roman" w:hAnsi="Times New Roman"/>
          <w:lang w:val="pt-BR"/>
        </w:rPr>
        <w:t xml:space="preserve">a reação em </w:t>
      </w:r>
      <w:r w:rsidR="00DD632C">
        <w:rPr>
          <w:rFonts w:ascii="Times New Roman" w:hAnsi="Times New Roman"/>
          <w:lang w:val="pt-BR"/>
        </w:rPr>
        <w:t>tolueno finalizando antes do término</w:t>
      </w:r>
      <w:r w:rsidR="00DD1A72">
        <w:rPr>
          <w:rFonts w:ascii="Times New Roman" w:hAnsi="Times New Roman"/>
          <w:lang w:val="pt-BR"/>
        </w:rPr>
        <w:t xml:space="preserve"> do tempo de acompanhamento. </w:t>
      </w:r>
      <w:r w:rsidR="004F0B1E">
        <w:rPr>
          <w:rFonts w:ascii="Times New Roman" w:hAnsi="Times New Roman"/>
          <w:lang w:val="pt-BR"/>
        </w:rPr>
        <w:t>O sistema em CPME apresentou resultados semelhantes ao sistema em texanol</w:t>
      </w:r>
      <w:r w:rsidR="00F92D0E">
        <w:rPr>
          <w:rFonts w:ascii="Times New Roman" w:hAnsi="Times New Roman"/>
          <w:lang w:val="pt-BR"/>
        </w:rPr>
        <w:t>™</w:t>
      </w:r>
      <w:r w:rsidR="004F0B1E">
        <w:rPr>
          <w:rFonts w:ascii="Times New Roman" w:hAnsi="Times New Roman"/>
          <w:lang w:val="pt-BR"/>
        </w:rPr>
        <w:t>.</w:t>
      </w:r>
      <w:r w:rsidR="00DD1A72">
        <w:rPr>
          <w:rFonts w:ascii="Times New Roman" w:hAnsi="Times New Roman"/>
          <w:lang w:val="pt-BR"/>
        </w:rPr>
        <w:t xml:space="preserve"> Em DMI e </w:t>
      </w:r>
      <w:r w:rsidR="00F92D0E">
        <w:rPr>
          <w:rFonts w:ascii="Times New Roman" w:hAnsi="Times New Roman"/>
          <w:lang w:val="pt-BR"/>
        </w:rPr>
        <w:t>c</w:t>
      </w:r>
      <w:r w:rsidR="00DD1A72">
        <w:rPr>
          <w:rFonts w:ascii="Times New Roman" w:hAnsi="Times New Roman"/>
          <w:lang w:val="pt-BR"/>
        </w:rPr>
        <w:t>yrene</w:t>
      </w:r>
      <w:r w:rsidR="00DD1A72">
        <w:rPr>
          <w:rFonts w:ascii="Times New Roman" w:hAnsi="Times New Roman"/>
          <w:vertAlign w:val="superscript"/>
          <w:lang w:val="pt-BR"/>
        </w:rPr>
        <w:t>TM</w:t>
      </w:r>
      <w:r w:rsidR="00DD1A72">
        <w:rPr>
          <w:rFonts w:ascii="Times New Roman" w:hAnsi="Times New Roman"/>
          <w:lang w:val="pt-BR"/>
        </w:rPr>
        <w:t xml:space="preserve">, todo o substrato foi convertido e </w:t>
      </w:r>
      <w:r w:rsidR="00E63BE8">
        <w:rPr>
          <w:rFonts w:ascii="Times New Roman" w:hAnsi="Times New Roman"/>
          <w:lang w:val="pt-BR"/>
        </w:rPr>
        <w:t xml:space="preserve">as reações foram mais rápidas comparando com </w:t>
      </w:r>
      <w:r w:rsidR="00DD1A72">
        <w:rPr>
          <w:rFonts w:ascii="Times New Roman" w:hAnsi="Times New Roman"/>
          <w:lang w:val="pt-BR"/>
        </w:rPr>
        <w:t xml:space="preserve">solventes de referência, contudo, houve formação de produtos não </w:t>
      </w:r>
      <w:r w:rsidR="00D545E7">
        <w:rPr>
          <w:rFonts w:ascii="Times New Roman" w:hAnsi="Times New Roman"/>
          <w:lang w:val="pt-BR"/>
        </w:rPr>
        <w:lastRenderedPageBreak/>
        <w:t>detectáveis pelo CG</w:t>
      </w:r>
      <w:r w:rsidR="00DD1A72">
        <w:rPr>
          <w:rFonts w:ascii="Times New Roman" w:hAnsi="Times New Roman"/>
          <w:lang w:val="pt-BR"/>
        </w:rPr>
        <w:t>, prejudicando a seletividade para os produtos de interesse. A reação em triacetina apresentou resultados muito semelhantes ao do sistema com tolueno</w:t>
      </w:r>
      <w:r w:rsidR="00205C04">
        <w:rPr>
          <w:rFonts w:ascii="Times New Roman" w:hAnsi="Times New Roman"/>
          <w:lang w:val="pt-BR"/>
        </w:rPr>
        <w:t>, tornando esse um solvente alternativo apropriado para essa reação.</w:t>
      </w:r>
    </w:p>
    <w:p w14:paraId="3938A7C4" w14:textId="15157769" w:rsidR="00205C04" w:rsidRDefault="005D5ED3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A173B3">
        <w:rPr>
          <w:rFonts w:ascii="Times New Roman" w:hAnsi="Times New Roman"/>
          <w:lang w:val="pt-BR"/>
        </w:rPr>
        <w:t xml:space="preserve"> hidroformilação do álcool perílico foi </w:t>
      </w:r>
      <w:r w:rsidR="00D27AA7">
        <w:rPr>
          <w:rFonts w:ascii="Times New Roman" w:hAnsi="Times New Roman"/>
          <w:lang w:val="pt-BR"/>
        </w:rPr>
        <w:t xml:space="preserve">altamente </w:t>
      </w:r>
      <w:proofErr w:type="spellStart"/>
      <w:r w:rsidR="00D27AA7">
        <w:rPr>
          <w:rFonts w:ascii="Times New Roman" w:hAnsi="Times New Roman"/>
          <w:lang w:val="pt-BR"/>
        </w:rPr>
        <w:t>regios</w:t>
      </w:r>
      <w:r>
        <w:rPr>
          <w:rFonts w:ascii="Times New Roman" w:hAnsi="Times New Roman"/>
          <w:lang w:val="pt-BR"/>
        </w:rPr>
        <w:t>s</w:t>
      </w:r>
      <w:r w:rsidR="00D27AA7">
        <w:rPr>
          <w:rFonts w:ascii="Times New Roman" w:hAnsi="Times New Roman"/>
          <w:lang w:val="pt-BR"/>
        </w:rPr>
        <w:t>eletiva</w:t>
      </w:r>
      <w:proofErr w:type="spellEnd"/>
      <w:r w:rsidR="00D27AA7">
        <w:rPr>
          <w:rFonts w:ascii="Times New Roman" w:hAnsi="Times New Roman"/>
          <w:lang w:val="pt-BR"/>
        </w:rPr>
        <w:t xml:space="preserve"> resultando em</w:t>
      </w:r>
      <w:r w:rsidR="00A173B3">
        <w:rPr>
          <w:rFonts w:ascii="Times New Roman" w:hAnsi="Times New Roman"/>
          <w:lang w:val="pt-BR"/>
        </w:rPr>
        <w:t xml:space="preserve"> apenas o aldeído linear. </w:t>
      </w:r>
      <w:r w:rsidR="00646939">
        <w:rPr>
          <w:rFonts w:ascii="Times New Roman" w:hAnsi="Times New Roman"/>
          <w:lang w:val="pt-BR"/>
        </w:rPr>
        <w:t>A reação em tolueno foi rápida e o substrato foi quase todo convertido</w:t>
      </w:r>
      <w:r w:rsidR="000D34E9">
        <w:rPr>
          <w:rFonts w:ascii="Times New Roman" w:hAnsi="Times New Roman"/>
          <w:lang w:val="pt-BR"/>
        </w:rPr>
        <w:t xml:space="preserve">, porém a quimiosseletividade para os produtos </w:t>
      </w:r>
      <w:r w:rsidR="00F17F0B">
        <w:rPr>
          <w:rFonts w:ascii="Times New Roman" w:hAnsi="Times New Roman"/>
          <w:lang w:val="pt-BR"/>
        </w:rPr>
        <w:t>de hidroformilaç</w:t>
      </w:r>
      <w:r w:rsidR="00D27AA7">
        <w:rPr>
          <w:rFonts w:ascii="Times New Roman" w:hAnsi="Times New Roman"/>
          <w:lang w:val="pt-BR"/>
        </w:rPr>
        <w:t>ão</w:t>
      </w:r>
      <w:r w:rsidR="00F17F0B">
        <w:rPr>
          <w:rFonts w:ascii="Times New Roman" w:hAnsi="Times New Roman"/>
          <w:lang w:val="pt-BR"/>
        </w:rPr>
        <w:t xml:space="preserve"> foi baixa devido </w:t>
      </w:r>
      <w:r w:rsidR="000D34E9">
        <w:rPr>
          <w:rFonts w:ascii="Times New Roman" w:hAnsi="Times New Roman"/>
          <w:lang w:val="pt-BR"/>
        </w:rPr>
        <w:t xml:space="preserve">a </w:t>
      </w:r>
      <w:r w:rsidR="00D27AA7">
        <w:rPr>
          <w:rFonts w:ascii="Times New Roman" w:hAnsi="Times New Roman"/>
          <w:lang w:val="pt-BR"/>
        </w:rPr>
        <w:t>formação de produtos de alto peso molecular não detectáveis no CG (</w:t>
      </w:r>
      <w:r w:rsidR="000D34E9">
        <w:rPr>
          <w:rFonts w:ascii="Times New Roman" w:hAnsi="Times New Roman"/>
          <w:lang w:val="pt-BR"/>
        </w:rPr>
        <w:t>perda de massa</w:t>
      </w:r>
      <w:r w:rsidR="00D27AA7">
        <w:rPr>
          <w:rFonts w:ascii="Times New Roman" w:hAnsi="Times New Roman"/>
          <w:lang w:val="pt-BR"/>
        </w:rPr>
        <w:t xml:space="preserve">). </w:t>
      </w:r>
      <w:r w:rsidR="000D34E9">
        <w:rPr>
          <w:rFonts w:ascii="Times New Roman" w:hAnsi="Times New Roman"/>
          <w:lang w:val="pt-BR"/>
        </w:rPr>
        <w:t>Já em texanol</w:t>
      </w:r>
      <w:r w:rsidR="00F92D0E">
        <w:rPr>
          <w:rFonts w:ascii="Times New Roman" w:hAnsi="Times New Roman"/>
          <w:lang w:val="pt-BR"/>
        </w:rPr>
        <w:t>™</w:t>
      </w:r>
      <w:r w:rsidR="000D34E9">
        <w:rPr>
          <w:rFonts w:ascii="Times New Roman" w:hAnsi="Times New Roman"/>
          <w:lang w:val="pt-BR"/>
        </w:rPr>
        <w:t>, apesar da reação não ter sido tão rápida,</w:t>
      </w:r>
      <w:r w:rsidR="00DD632C">
        <w:rPr>
          <w:rFonts w:ascii="Times New Roman" w:hAnsi="Times New Roman"/>
          <w:lang w:val="pt-BR"/>
        </w:rPr>
        <w:t xml:space="preserve"> no final,</w:t>
      </w:r>
      <w:r w:rsidR="000D34E9">
        <w:rPr>
          <w:rFonts w:ascii="Times New Roman" w:hAnsi="Times New Roman"/>
          <w:lang w:val="pt-BR"/>
        </w:rPr>
        <w:t xml:space="preserve"> houve alta conversão e alta seletividade para o AL. Assim, como </w:t>
      </w:r>
      <w:r w:rsidR="00DD632C">
        <w:rPr>
          <w:rFonts w:ascii="Times New Roman" w:hAnsi="Times New Roman"/>
          <w:lang w:val="pt-BR"/>
        </w:rPr>
        <w:t xml:space="preserve">no tolueno, a reação em </w:t>
      </w:r>
      <w:r w:rsidR="000D34E9">
        <w:rPr>
          <w:rFonts w:ascii="Times New Roman" w:hAnsi="Times New Roman"/>
          <w:lang w:val="pt-BR"/>
        </w:rPr>
        <w:t>CPME</w:t>
      </w:r>
      <w:r w:rsidR="00DD632C">
        <w:rPr>
          <w:rFonts w:ascii="Times New Roman" w:hAnsi="Times New Roman"/>
          <w:lang w:val="pt-BR"/>
        </w:rPr>
        <w:t xml:space="preserve"> foi rápida</w:t>
      </w:r>
      <w:r w:rsidR="000D34E9">
        <w:rPr>
          <w:rFonts w:ascii="Times New Roman" w:hAnsi="Times New Roman"/>
          <w:lang w:val="pt-BR"/>
        </w:rPr>
        <w:t xml:space="preserve">, porém a seletividade para o AL foi ainda pior. Em DMI, </w:t>
      </w:r>
      <w:r>
        <w:rPr>
          <w:rFonts w:ascii="Times New Roman" w:hAnsi="Times New Roman"/>
          <w:lang w:val="pt-BR"/>
        </w:rPr>
        <w:t xml:space="preserve">a </w:t>
      </w:r>
      <w:r w:rsidR="000D34E9">
        <w:rPr>
          <w:rFonts w:ascii="Times New Roman" w:hAnsi="Times New Roman"/>
          <w:lang w:val="pt-BR"/>
        </w:rPr>
        <w:t>reação,</w:t>
      </w:r>
      <w:r w:rsidR="00646939">
        <w:rPr>
          <w:rFonts w:ascii="Times New Roman" w:hAnsi="Times New Roman"/>
          <w:lang w:val="pt-BR"/>
        </w:rPr>
        <w:t xml:space="preserve"> foi</w:t>
      </w:r>
      <w:r w:rsidR="00B8505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rápida</w:t>
      </w:r>
      <w:r w:rsidR="00B85057">
        <w:rPr>
          <w:rFonts w:ascii="Times New Roman" w:hAnsi="Times New Roman"/>
          <w:lang w:val="pt-BR"/>
        </w:rPr>
        <w:t>,</w:t>
      </w:r>
      <w:r w:rsidR="00646939">
        <w:rPr>
          <w:rFonts w:ascii="Times New Roman" w:hAnsi="Times New Roman"/>
          <w:lang w:val="pt-BR"/>
        </w:rPr>
        <w:t xml:space="preserve"> porém </w:t>
      </w:r>
      <w:r w:rsidR="00B85057">
        <w:rPr>
          <w:rFonts w:ascii="Times New Roman" w:hAnsi="Times New Roman"/>
          <w:lang w:val="pt-BR"/>
        </w:rPr>
        <w:t xml:space="preserve">em termos de seletividade </w:t>
      </w:r>
      <w:r w:rsidR="00646939">
        <w:rPr>
          <w:rFonts w:ascii="Times New Roman" w:hAnsi="Times New Roman"/>
          <w:lang w:val="pt-BR"/>
        </w:rPr>
        <w:t>não s</w:t>
      </w:r>
      <w:r w:rsidR="00B85057">
        <w:rPr>
          <w:rFonts w:ascii="Times New Roman" w:hAnsi="Times New Roman"/>
          <w:lang w:val="pt-BR"/>
        </w:rPr>
        <w:t>e assemelhou aos</w:t>
      </w:r>
      <w:r w:rsidR="00646939">
        <w:rPr>
          <w:rFonts w:ascii="Times New Roman" w:hAnsi="Times New Roman"/>
          <w:lang w:val="pt-BR"/>
        </w:rPr>
        <w:t xml:space="preserve"> resultados </w:t>
      </w:r>
      <w:r w:rsidR="00E90FB8">
        <w:rPr>
          <w:rFonts w:ascii="Times New Roman" w:hAnsi="Times New Roman"/>
          <w:lang w:val="pt-BR"/>
        </w:rPr>
        <w:t>obtidos em</w:t>
      </w:r>
      <w:r w:rsidR="00646939">
        <w:rPr>
          <w:rFonts w:ascii="Times New Roman" w:hAnsi="Times New Roman"/>
          <w:lang w:val="pt-BR"/>
        </w:rPr>
        <w:t xml:space="preserve"> texanol</w:t>
      </w:r>
      <w:r w:rsidR="00F92D0E">
        <w:rPr>
          <w:rFonts w:ascii="Times New Roman" w:hAnsi="Times New Roman"/>
          <w:lang w:val="pt-BR"/>
        </w:rPr>
        <w:t>™</w:t>
      </w:r>
      <w:r w:rsidR="00646939">
        <w:rPr>
          <w:rFonts w:ascii="Times New Roman" w:hAnsi="Times New Roman"/>
          <w:lang w:val="pt-BR"/>
        </w:rPr>
        <w:t>.</w:t>
      </w:r>
      <w:r w:rsidR="00B85057">
        <w:rPr>
          <w:rFonts w:ascii="Times New Roman" w:hAnsi="Times New Roman"/>
          <w:lang w:val="pt-BR"/>
        </w:rPr>
        <w:t xml:space="preserve"> </w:t>
      </w:r>
      <w:r w:rsidR="008932C1">
        <w:rPr>
          <w:rFonts w:ascii="Times New Roman" w:hAnsi="Times New Roman"/>
          <w:lang w:val="pt-BR"/>
        </w:rPr>
        <w:t xml:space="preserve">Em </w:t>
      </w:r>
      <w:r w:rsidR="00F92D0E">
        <w:rPr>
          <w:rFonts w:ascii="Times New Roman" w:hAnsi="Times New Roman"/>
          <w:lang w:val="pt-BR"/>
        </w:rPr>
        <w:t>c</w:t>
      </w:r>
      <w:r w:rsidR="008932C1">
        <w:rPr>
          <w:rFonts w:ascii="Times New Roman" w:hAnsi="Times New Roman"/>
          <w:lang w:val="pt-BR"/>
        </w:rPr>
        <w:t>yrene</w:t>
      </w:r>
      <w:r w:rsidR="008932C1">
        <w:rPr>
          <w:rFonts w:ascii="Times New Roman" w:hAnsi="Times New Roman"/>
          <w:vertAlign w:val="superscript"/>
          <w:lang w:val="pt-BR"/>
        </w:rPr>
        <w:t>TM</w:t>
      </w:r>
      <w:r w:rsidR="008932C1">
        <w:rPr>
          <w:rFonts w:ascii="Times New Roman" w:hAnsi="Times New Roman"/>
          <w:lang w:val="pt-BR"/>
        </w:rPr>
        <w:t>, o início da reação foi bastante promissor</w:t>
      </w:r>
      <w:r w:rsidR="00495EC1">
        <w:rPr>
          <w:rFonts w:ascii="Times New Roman" w:hAnsi="Times New Roman"/>
          <w:lang w:val="pt-BR"/>
        </w:rPr>
        <w:t xml:space="preserve"> demonstrando uma alta seletividade para</w:t>
      </w:r>
      <w:r w:rsidR="008932C1">
        <w:rPr>
          <w:rFonts w:ascii="Times New Roman" w:hAnsi="Times New Roman"/>
          <w:lang w:val="pt-BR"/>
        </w:rPr>
        <w:t xml:space="preserve"> AL, </w:t>
      </w:r>
      <w:r w:rsidR="004B7AB5">
        <w:rPr>
          <w:rFonts w:ascii="Times New Roman" w:hAnsi="Times New Roman"/>
          <w:lang w:val="pt-BR"/>
        </w:rPr>
        <w:t>porém, no</w:t>
      </w:r>
      <w:r w:rsidR="008932C1">
        <w:rPr>
          <w:rFonts w:ascii="Times New Roman" w:hAnsi="Times New Roman"/>
          <w:lang w:val="pt-BR"/>
        </w:rPr>
        <w:t xml:space="preserve"> final houve uma queda de seletividade para esse produto de interesse</w:t>
      </w:r>
      <w:r w:rsidR="00B51CDB">
        <w:rPr>
          <w:rFonts w:ascii="Times New Roman" w:hAnsi="Times New Roman"/>
          <w:lang w:val="pt-BR"/>
        </w:rPr>
        <w:t xml:space="preserve">. </w:t>
      </w:r>
      <w:r w:rsidR="003B1F23" w:rsidRPr="003B1F23">
        <w:rPr>
          <w:rFonts w:ascii="Times New Roman" w:hAnsi="Times New Roman"/>
          <w:lang w:val="pt-BR"/>
        </w:rPr>
        <w:t>Em</w:t>
      </w:r>
      <w:r w:rsidR="00B85057" w:rsidRPr="003B1F23">
        <w:rPr>
          <w:rFonts w:ascii="Times New Roman" w:hAnsi="Times New Roman"/>
          <w:lang w:val="pt-BR"/>
        </w:rPr>
        <w:t xml:space="preserve"> triacetina</w:t>
      </w:r>
      <w:r w:rsidR="003B1F23" w:rsidRPr="003B1F23">
        <w:rPr>
          <w:rFonts w:ascii="Times New Roman" w:hAnsi="Times New Roman"/>
          <w:lang w:val="pt-BR"/>
        </w:rPr>
        <w:t>, a</w:t>
      </w:r>
      <w:r w:rsidR="00B51CDB">
        <w:rPr>
          <w:rFonts w:ascii="Times New Roman" w:hAnsi="Times New Roman"/>
          <w:lang w:val="pt-BR"/>
        </w:rPr>
        <w:t xml:space="preserve"> reação foi mais lenta do que em solventes de referência</w:t>
      </w:r>
      <w:r w:rsidR="003B1F23">
        <w:rPr>
          <w:rFonts w:ascii="Times New Roman" w:hAnsi="Times New Roman"/>
          <w:lang w:val="pt-BR"/>
        </w:rPr>
        <w:t xml:space="preserve">, porém a seletividade </w:t>
      </w:r>
      <w:r w:rsidR="00B51CDB">
        <w:rPr>
          <w:rFonts w:ascii="Times New Roman" w:hAnsi="Times New Roman"/>
          <w:lang w:val="pt-BR"/>
        </w:rPr>
        <w:t xml:space="preserve">para produto de hidroformilação </w:t>
      </w:r>
      <w:r w:rsidR="003B1F23">
        <w:rPr>
          <w:rFonts w:ascii="Times New Roman" w:hAnsi="Times New Roman"/>
          <w:lang w:val="pt-BR"/>
        </w:rPr>
        <w:t>foi</w:t>
      </w:r>
      <w:r w:rsidR="00B51CDB">
        <w:rPr>
          <w:rFonts w:ascii="Times New Roman" w:hAnsi="Times New Roman"/>
          <w:lang w:val="pt-BR"/>
        </w:rPr>
        <w:t xml:space="preserve"> excelente. </w:t>
      </w:r>
      <w:r w:rsidR="003B1F23">
        <w:rPr>
          <w:rFonts w:ascii="Times New Roman" w:hAnsi="Times New Roman"/>
          <w:lang w:val="pt-BR"/>
        </w:rPr>
        <w:t xml:space="preserve"> </w:t>
      </w:r>
    </w:p>
    <w:p w14:paraId="0BDDE01B" w14:textId="4F14ED51" w:rsidR="00B85057" w:rsidRPr="00B85057" w:rsidRDefault="00D545E7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Esse estudo sugere que</w:t>
      </w:r>
      <w:r w:rsidR="00B85057">
        <w:rPr>
          <w:rFonts w:ascii="Times New Roman" w:hAnsi="Times New Roman"/>
          <w:lang w:val="pt-BR"/>
        </w:rPr>
        <w:t xml:space="preserve"> os solventes sustentáveis </w:t>
      </w:r>
      <w:r>
        <w:rPr>
          <w:rFonts w:ascii="Times New Roman" w:hAnsi="Times New Roman"/>
          <w:lang w:val="pt-BR"/>
        </w:rPr>
        <w:t xml:space="preserve">avaliados </w:t>
      </w:r>
      <w:r w:rsidR="002E34BB">
        <w:rPr>
          <w:rFonts w:ascii="Times New Roman" w:hAnsi="Times New Roman"/>
          <w:lang w:val="pt-BR"/>
        </w:rPr>
        <w:t>na hidroformilação representam</w:t>
      </w:r>
      <w:r w:rsidR="00B85057">
        <w:rPr>
          <w:rFonts w:ascii="Times New Roman" w:hAnsi="Times New Roman"/>
          <w:lang w:val="pt-BR"/>
        </w:rPr>
        <w:t xml:space="preserve"> alternativas promissoras </w:t>
      </w:r>
      <w:r w:rsidR="002E34BB">
        <w:rPr>
          <w:rFonts w:ascii="Times New Roman" w:hAnsi="Times New Roman"/>
          <w:lang w:val="pt-BR"/>
        </w:rPr>
        <w:t xml:space="preserve">aos solventes convencionais para serem aplicados </w:t>
      </w:r>
      <w:r w:rsidR="00B85057">
        <w:rPr>
          <w:rFonts w:ascii="Times New Roman" w:hAnsi="Times New Roman"/>
          <w:lang w:val="pt-BR"/>
        </w:rPr>
        <w:t>no setor industrial</w:t>
      </w:r>
      <w:r w:rsidR="00C4147F">
        <w:rPr>
          <w:rFonts w:ascii="Times New Roman" w:hAnsi="Times New Roman"/>
          <w:lang w:val="pt-BR"/>
        </w:rPr>
        <w:t>.</w:t>
      </w:r>
      <w:r w:rsidR="00B85057">
        <w:rPr>
          <w:rFonts w:ascii="Times New Roman" w:hAnsi="Times New Roman"/>
          <w:lang w:val="pt-BR"/>
        </w:rPr>
        <w:t xml:space="preserve"> </w:t>
      </w:r>
      <w:r w:rsidR="00C4147F">
        <w:rPr>
          <w:rFonts w:ascii="Times New Roman" w:hAnsi="Times New Roman"/>
          <w:lang w:val="pt-BR"/>
        </w:rPr>
        <w:t xml:space="preserve">Isso diminui a </w:t>
      </w:r>
      <w:r w:rsidR="004B7AB5">
        <w:rPr>
          <w:rFonts w:ascii="Times New Roman" w:hAnsi="Times New Roman"/>
          <w:lang w:val="pt-BR"/>
        </w:rPr>
        <w:t>dependência</w:t>
      </w:r>
      <w:r w:rsidR="00C95CA3">
        <w:rPr>
          <w:rFonts w:ascii="Times New Roman" w:hAnsi="Times New Roman"/>
          <w:lang w:val="pt-BR"/>
        </w:rPr>
        <w:t xml:space="preserve"> do uso de combustíveis fósseis, </w:t>
      </w:r>
      <w:r w:rsidR="00B85057">
        <w:rPr>
          <w:rFonts w:ascii="Times New Roman" w:hAnsi="Times New Roman"/>
          <w:lang w:val="pt-BR"/>
        </w:rPr>
        <w:t>proporcionando não só processos menos danosos à saúde humana e ao meio ambiente, mas também</w:t>
      </w:r>
      <w:r w:rsidR="00C4147F">
        <w:rPr>
          <w:rFonts w:ascii="Times New Roman" w:hAnsi="Times New Roman"/>
          <w:lang w:val="pt-BR"/>
        </w:rPr>
        <w:t xml:space="preserve"> </w:t>
      </w:r>
      <w:r w:rsidR="002E34BB">
        <w:rPr>
          <w:rFonts w:ascii="Times New Roman" w:hAnsi="Times New Roman"/>
          <w:lang w:val="pt-BR"/>
        </w:rPr>
        <w:t xml:space="preserve">o desempenho </w:t>
      </w:r>
      <w:r w:rsidR="00B85057">
        <w:rPr>
          <w:rFonts w:ascii="Times New Roman" w:hAnsi="Times New Roman"/>
          <w:lang w:val="pt-BR"/>
        </w:rPr>
        <w:t>satisfatório</w:t>
      </w:r>
      <w:r w:rsidR="002E34BB">
        <w:rPr>
          <w:rFonts w:ascii="Times New Roman" w:hAnsi="Times New Roman"/>
          <w:lang w:val="pt-BR"/>
        </w:rPr>
        <w:t xml:space="preserve"> do sistema catalítico</w:t>
      </w:r>
      <w:r w:rsidR="00F814C7">
        <w:rPr>
          <w:rFonts w:ascii="Times New Roman" w:hAnsi="Times New Roman"/>
          <w:lang w:val="pt-BR"/>
        </w:rPr>
        <w:t>.</w:t>
      </w:r>
      <w:r w:rsidR="002E34BB">
        <w:rPr>
          <w:rFonts w:ascii="Times New Roman" w:hAnsi="Times New Roman"/>
          <w:lang w:val="pt-BR"/>
        </w:rPr>
        <w:t xml:space="preserve"> </w:t>
      </w:r>
      <w:r w:rsidR="00C95CA3">
        <w:rPr>
          <w:rFonts w:ascii="Times New Roman" w:hAnsi="Times New Roman"/>
          <w:lang w:val="pt-BR"/>
        </w:rPr>
        <w:t xml:space="preserve">Nesse sentido, já </w:t>
      </w:r>
      <w:r w:rsidR="007C42DA">
        <w:rPr>
          <w:rFonts w:ascii="Times New Roman" w:hAnsi="Times New Roman"/>
          <w:lang w:val="pt-BR"/>
        </w:rPr>
        <w:t>estão em andamento no nosso grupo a avaliação d</w:t>
      </w:r>
      <w:r w:rsidR="00C95CA3">
        <w:rPr>
          <w:rFonts w:ascii="Times New Roman" w:hAnsi="Times New Roman"/>
          <w:lang w:val="pt-BR"/>
        </w:rPr>
        <w:t xml:space="preserve">o comportamento desses solventes na hidroformilação de outros substratos e </w:t>
      </w:r>
      <w:r w:rsidR="007C42DA">
        <w:rPr>
          <w:rFonts w:ascii="Times New Roman" w:hAnsi="Times New Roman"/>
          <w:lang w:val="pt-BR"/>
        </w:rPr>
        <w:t xml:space="preserve">sua aplicação </w:t>
      </w:r>
      <w:r w:rsidR="00C95CA3">
        <w:rPr>
          <w:rFonts w:ascii="Times New Roman" w:hAnsi="Times New Roman"/>
          <w:lang w:val="pt-BR"/>
        </w:rPr>
        <w:t>em outr</w:t>
      </w:r>
      <w:r w:rsidR="003B1F23">
        <w:rPr>
          <w:rFonts w:ascii="Times New Roman" w:hAnsi="Times New Roman"/>
          <w:lang w:val="pt-BR"/>
        </w:rPr>
        <w:t xml:space="preserve">as </w:t>
      </w:r>
      <w:r w:rsidR="00C95CA3">
        <w:rPr>
          <w:rFonts w:ascii="Times New Roman" w:hAnsi="Times New Roman"/>
          <w:lang w:val="pt-BR"/>
        </w:rPr>
        <w:t>reações.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A13E78F" w:rsidR="00EA4E1B" w:rsidRDefault="0083323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CNPq</w:t>
      </w:r>
      <w:r w:rsidR="00115F1C">
        <w:rPr>
          <w:rFonts w:ascii="Times New Roman" w:hAnsi="Times New Roman"/>
          <w:lang w:val="pt-BR"/>
        </w:rPr>
        <w:t>, CAPES, FAPEMIG</w:t>
      </w:r>
      <w:r>
        <w:rPr>
          <w:rFonts w:ascii="Times New Roman" w:hAnsi="Times New Roman"/>
          <w:lang w:val="pt-BR"/>
        </w:rPr>
        <w:t xml:space="preserve"> e UFMG.</w:t>
      </w:r>
    </w:p>
    <w:p w14:paraId="719EBC4D" w14:textId="77777777" w:rsidR="00D9132C" w:rsidRPr="001F25B2" w:rsidRDefault="00D9132C" w:rsidP="00EA4E1B">
      <w:pPr>
        <w:pStyle w:val="TAMainText"/>
        <w:rPr>
          <w:rFonts w:ascii="Times New Roman" w:hAnsi="Times New Roman"/>
          <w:lang w:val="pt-BR"/>
        </w:rPr>
      </w:pPr>
    </w:p>
    <w:p w14:paraId="158D911D" w14:textId="3E47410E" w:rsidR="00EA4E1B" w:rsidRPr="00115F1C" w:rsidRDefault="00EA4E1B" w:rsidP="00115F1C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911A027" w14:textId="7FECA988" w:rsidR="008F5E51" w:rsidRDefault="00E12917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S. K. Sharma; R. V. </w:t>
      </w:r>
      <w:proofErr w:type="spellStart"/>
      <w:r>
        <w:rPr>
          <w:lang w:val="pt-BR"/>
        </w:rPr>
        <w:t>Jasra</w:t>
      </w:r>
      <w:proofErr w:type="spellEnd"/>
      <w:r>
        <w:rPr>
          <w:lang w:val="pt-BR"/>
        </w:rPr>
        <w:t xml:space="preserve">, </w:t>
      </w:r>
      <w:r w:rsidRPr="00991139">
        <w:rPr>
          <w:i/>
          <w:lang w:val="pt-BR"/>
        </w:rPr>
        <w:t>Catal</w:t>
      </w:r>
      <w:r w:rsidR="00BF164E">
        <w:rPr>
          <w:i/>
          <w:lang w:val="pt-BR"/>
        </w:rPr>
        <w:t>.</w:t>
      </w:r>
      <w:r w:rsidRPr="00991139">
        <w:rPr>
          <w:i/>
          <w:lang w:val="pt-BR"/>
        </w:rPr>
        <w:t xml:space="preserve"> Today</w:t>
      </w:r>
      <w:r w:rsidR="00BF164E">
        <w:rPr>
          <w:i/>
          <w:lang w:val="pt-BR"/>
        </w:rPr>
        <w:t>,</w:t>
      </w:r>
      <w:r>
        <w:rPr>
          <w:lang w:val="pt-BR"/>
        </w:rPr>
        <w:t xml:space="preserve"> </w:t>
      </w:r>
      <w:r w:rsidRPr="00E12917">
        <w:rPr>
          <w:b/>
          <w:lang w:val="pt-BR"/>
        </w:rPr>
        <w:t>2015</w:t>
      </w:r>
      <w:r>
        <w:rPr>
          <w:b/>
          <w:lang w:val="pt-BR"/>
        </w:rPr>
        <w:t xml:space="preserve">, </w:t>
      </w:r>
      <w:r w:rsidRPr="00991139">
        <w:rPr>
          <w:i/>
          <w:lang w:val="pt-BR"/>
        </w:rPr>
        <w:t>247</w:t>
      </w:r>
      <w:r>
        <w:rPr>
          <w:lang w:val="pt-BR"/>
        </w:rPr>
        <w:t>, 70-81.</w:t>
      </w:r>
    </w:p>
    <w:p w14:paraId="192E113A" w14:textId="7E486904" w:rsidR="00404862" w:rsidRPr="004B7AB5" w:rsidRDefault="00E12917" w:rsidP="00EA4E1B">
      <w:pPr>
        <w:pStyle w:val="TAMainText"/>
        <w:numPr>
          <w:ilvl w:val="0"/>
          <w:numId w:val="1"/>
        </w:numPr>
      </w:pPr>
      <w:r w:rsidRPr="00D22819">
        <w:t xml:space="preserve">J. </w:t>
      </w:r>
      <w:proofErr w:type="spellStart"/>
      <w:r w:rsidRPr="00D22819">
        <w:t>Pospech</w:t>
      </w:r>
      <w:proofErr w:type="spellEnd"/>
      <w:r w:rsidRPr="00D22819">
        <w:t>; I. Fleischer</w:t>
      </w:r>
      <w:r w:rsidR="00F816A9" w:rsidRPr="00D22819">
        <w:t xml:space="preserve"> </w:t>
      </w:r>
      <w:r w:rsidR="00F816A9" w:rsidRPr="00D22819">
        <w:rPr>
          <w:i/>
        </w:rPr>
        <w:t>et. al.</w:t>
      </w:r>
      <w:r w:rsidR="00F816A9" w:rsidRPr="00D22819">
        <w:t xml:space="preserve"> </w:t>
      </w:r>
      <w:proofErr w:type="spellStart"/>
      <w:r w:rsidR="00404862" w:rsidRPr="004B7AB5">
        <w:rPr>
          <w:i/>
        </w:rPr>
        <w:t>Angew</w:t>
      </w:r>
      <w:proofErr w:type="spellEnd"/>
      <w:r w:rsidR="00404862" w:rsidRPr="004B7AB5">
        <w:rPr>
          <w:i/>
        </w:rPr>
        <w:t>. Chem. Int. Ed.</w:t>
      </w:r>
      <w:r w:rsidR="00404862" w:rsidRPr="004B7AB5">
        <w:t xml:space="preserve"> </w:t>
      </w:r>
      <w:r w:rsidR="00404862" w:rsidRPr="004B7AB5">
        <w:rPr>
          <w:b/>
        </w:rPr>
        <w:t>2013</w:t>
      </w:r>
      <w:r w:rsidR="00404862" w:rsidRPr="004B7AB5">
        <w:t xml:space="preserve">, </w:t>
      </w:r>
      <w:r w:rsidR="00404862" w:rsidRPr="004B7AB5">
        <w:rPr>
          <w:i/>
        </w:rPr>
        <w:t>52</w:t>
      </w:r>
      <w:r w:rsidR="00404862" w:rsidRPr="004B7AB5">
        <w:t>, 2852-2872.</w:t>
      </w:r>
    </w:p>
    <w:p w14:paraId="19C53D01" w14:textId="344A923F" w:rsidR="00991139" w:rsidRDefault="00991139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>R. Franke; D. Selent</w:t>
      </w:r>
      <w:r w:rsidR="005379FD" w:rsidRPr="004B7AB5">
        <w:rPr>
          <w:lang w:val="fr-FR"/>
        </w:rPr>
        <w:t xml:space="preserve"> </w:t>
      </w:r>
      <w:r w:rsidR="005379FD" w:rsidRPr="004B7AB5">
        <w:rPr>
          <w:i/>
          <w:lang w:val="fr-FR"/>
        </w:rPr>
        <w:t>et. al.</w:t>
      </w:r>
      <w:r w:rsidRPr="004B7AB5">
        <w:rPr>
          <w:lang w:val="fr-FR"/>
        </w:rPr>
        <w:t xml:space="preserve"> </w:t>
      </w:r>
      <w:proofErr w:type="spellStart"/>
      <w:r w:rsidRPr="00991139">
        <w:rPr>
          <w:i/>
          <w:lang w:val="pt-BR"/>
        </w:rPr>
        <w:t>Chem</w:t>
      </w:r>
      <w:proofErr w:type="spellEnd"/>
      <w:r w:rsidRPr="00991139">
        <w:rPr>
          <w:i/>
          <w:lang w:val="pt-BR"/>
        </w:rPr>
        <w:t>. Rev.</w:t>
      </w:r>
      <w:r>
        <w:rPr>
          <w:lang w:val="pt-BR"/>
        </w:rPr>
        <w:t xml:space="preserve"> </w:t>
      </w:r>
      <w:r w:rsidRPr="00991139">
        <w:rPr>
          <w:b/>
          <w:lang w:val="pt-BR"/>
        </w:rPr>
        <w:t>2012</w:t>
      </w:r>
      <w:r>
        <w:rPr>
          <w:lang w:val="pt-BR"/>
        </w:rPr>
        <w:t xml:space="preserve">, </w:t>
      </w:r>
      <w:r w:rsidRPr="00991139">
        <w:rPr>
          <w:i/>
          <w:lang w:val="pt-BR"/>
        </w:rPr>
        <w:t>112</w:t>
      </w:r>
      <w:r>
        <w:rPr>
          <w:lang w:val="pt-BR"/>
        </w:rPr>
        <w:t>, 5675-5732.</w:t>
      </w:r>
    </w:p>
    <w:p w14:paraId="6DFA6991" w14:textId="6690CBC2" w:rsidR="00E12917" w:rsidRDefault="00991139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 xml:space="preserve">A. Gual; C. Godard </w:t>
      </w:r>
      <w:r w:rsidRPr="004B7AB5">
        <w:rPr>
          <w:i/>
          <w:lang w:val="fr-FR"/>
        </w:rPr>
        <w:t>et. al.</w:t>
      </w:r>
      <w:r w:rsidR="00A640C4" w:rsidRPr="004B7AB5">
        <w:rPr>
          <w:lang w:val="fr-FR"/>
        </w:rPr>
        <w:t xml:space="preserve"> </w:t>
      </w:r>
      <w:proofErr w:type="spellStart"/>
      <w:r w:rsidR="00A640C4" w:rsidRPr="00A640C4">
        <w:rPr>
          <w:i/>
          <w:lang w:val="pt-BR"/>
        </w:rPr>
        <w:t>Tetrahedron</w:t>
      </w:r>
      <w:proofErr w:type="spellEnd"/>
      <w:r w:rsidR="00A640C4" w:rsidRPr="00A640C4">
        <w:rPr>
          <w:i/>
          <w:lang w:val="pt-BR"/>
        </w:rPr>
        <w:t xml:space="preserve">: </w:t>
      </w:r>
      <w:proofErr w:type="spellStart"/>
      <w:r w:rsidR="00A640C4" w:rsidRPr="00A640C4">
        <w:rPr>
          <w:i/>
          <w:lang w:val="pt-BR"/>
        </w:rPr>
        <w:t>Asymmetry</w:t>
      </w:r>
      <w:proofErr w:type="spellEnd"/>
      <w:r w:rsidR="00A640C4">
        <w:rPr>
          <w:lang w:val="pt-BR"/>
        </w:rPr>
        <w:t xml:space="preserve"> </w:t>
      </w:r>
      <w:r w:rsidR="00A640C4" w:rsidRPr="00A640C4">
        <w:rPr>
          <w:b/>
          <w:lang w:val="pt-BR"/>
        </w:rPr>
        <w:t>2010</w:t>
      </w:r>
      <w:r w:rsidR="00A640C4">
        <w:rPr>
          <w:b/>
          <w:lang w:val="pt-BR"/>
        </w:rPr>
        <w:t xml:space="preserve">, </w:t>
      </w:r>
      <w:r w:rsidR="00A640C4" w:rsidRPr="00A640C4">
        <w:rPr>
          <w:i/>
          <w:lang w:val="pt-BR"/>
        </w:rPr>
        <w:t>21</w:t>
      </w:r>
      <w:r w:rsidR="00A640C4">
        <w:rPr>
          <w:lang w:val="pt-BR"/>
        </w:rPr>
        <w:t>, 1135-1146.</w:t>
      </w:r>
    </w:p>
    <w:p w14:paraId="2539F4B5" w14:textId="47E530FB" w:rsidR="00A640C4" w:rsidRPr="000A2FD8" w:rsidRDefault="000A2FD8" w:rsidP="000A2FD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D07610">
        <w:rPr>
          <w:rFonts w:cs="Arial"/>
          <w:noProof/>
        </w:rPr>
        <w:t>B.</w:t>
      </w:r>
      <w:r>
        <w:rPr>
          <w:rFonts w:cs="Arial"/>
          <w:noProof/>
        </w:rPr>
        <w:t xml:space="preserve"> Cornils; </w:t>
      </w:r>
      <w:r w:rsidRPr="00D07610">
        <w:rPr>
          <w:rFonts w:cs="Arial"/>
          <w:noProof/>
        </w:rPr>
        <w:t>W. A.</w:t>
      </w:r>
      <w:r>
        <w:rPr>
          <w:rFonts w:cs="Arial"/>
          <w:noProof/>
        </w:rPr>
        <w:t xml:space="preserve"> Herrmann</w:t>
      </w:r>
      <w:r w:rsidRPr="00D07610">
        <w:rPr>
          <w:rFonts w:cs="Arial"/>
          <w:noProof/>
        </w:rPr>
        <w:t xml:space="preserve">; </w:t>
      </w:r>
      <w:r w:rsidRPr="00D07610">
        <w:rPr>
          <w:rFonts w:cs="Arial"/>
          <w:i/>
          <w:iCs/>
          <w:noProof/>
        </w:rPr>
        <w:t>Applied homogeneous catalysis with organometallic compounds</w:t>
      </w:r>
      <w:r>
        <w:rPr>
          <w:rFonts w:cs="Arial"/>
          <w:i/>
          <w:iCs/>
          <w:noProof/>
        </w:rPr>
        <w:t>,</w:t>
      </w:r>
      <w:r w:rsidRPr="00D07610">
        <w:rPr>
          <w:rFonts w:cs="Arial"/>
          <w:noProof/>
        </w:rPr>
        <w:t xml:space="preserve"> </w:t>
      </w:r>
      <w:r w:rsidRPr="00E038AF">
        <w:rPr>
          <w:rFonts w:ascii="Times New Roman" w:hAnsi="Times New Roman"/>
        </w:rPr>
        <w:t>John Wiley &amp; Sons</w:t>
      </w:r>
      <w:r>
        <w:rPr>
          <w:rFonts w:cs="Arial"/>
          <w:noProof/>
        </w:rPr>
        <w:t xml:space="preserve">, Weinheim, </w:t>
      </w:r>
      <w:r w:rsidRPr="00D07610">
        <w:rPr>
          <w:rFonts w:cs="Arial"/>
          <w:noProof/>
        </w:rPr>
        <w:t>2002</w:t>
      </w:r>
      <w:r>
        <w:rPr>
          <w:rFonts w:cs="Arial"/>
          <w:noProof/>
        </w:rPr>
        <w:t>.</w:t>
      </w:r>
    </w:p>
    <w:p w14:paraId="6166EA8A" w14:textId="5BE5D08E" w:rsidR="00A640C4" w:rsidRDefault="002E0C28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 xml:space="preserve">P. J. Dyson; P. G. Jessop, </w:t>
      </w:r>
      <w:r w:rsidRPr="004B7AB5">
        <w:rPr>
          <w:i/>
          <w:lang w:val="fr-FR"/>
        </w:rPr>
        <w:t xml:space="preserve">Catal. </w:t>
      </w:r>
      <w:r w:rsidRPr="00D22819">
        <w:rPr>
          <w:i/>
        </w:rPr>
        <w:t xml:space="preserve">Sci. Technol. </w:t>
      </w:r>
      <w:r w:rsidRPr="002E0C28">
        <w:rPr>
          <w:b/>
          <w:lang w:val="pt-BR"/>
        </w:rPr>
        <w:t>2016</w:t>
      </w:r>
      <w:r>
        <w:rPr>
          <w:b/>
          <w:lang w:val="pt-BR"/>
        </w:rPr>
        <w:t xml:space="preserve">, </w:t>
      </w:r>
      <w:r w:rsidRPr="002E0C28">
        <w:rPr>
          <w:i/>
          <w:lang w:val="pt-BR"/>
        </w:rPr>
        <w:t>6</w:t>
      </w:r>
      <w:r>
        <w:rPr>
          <w:i/>
          <w:lang w:val="pt-BR"/>
        </w:rPr>
        <w:t>,</w:t>
      </w:r>
      <w:r>
        <w:rPr>
          <w:lang w:val="pt-BR"/>
        </w:rPr>
        <w:t xml:space="preserve"> 3302-3316.</w:t>
      </w:r>
    </w:p>
    <w:p w14:paraId="2BD3CF1A" w14:textId="1A7EB3D3" w:rsidR="002E0C28" w:rsidRPr="004B7AB5" w:rsidRDefault="002E0C28" w:rsidP="00EA4E1B">
      <w:pPr>
        <w:pStyle w:val="TAMainText"/>
        <w:numPr>
          <w:ilvl w:val="0"/>
          <w:numId w:val="1"/>
        </w:numPr>
      </w:pPr>
      <w:r w:rsidRPr="00D22819">
        <w:t xml:space="preserve">C. M. Alder; J. D. Hayler </w:t>
      </w:r>
      <w:r w:rsidRPr="00D22819">
        <w:rPr>
          <w:i/>
        </w:rPr>
        <w:t>et. al.</w:t>
      </w:r>
      <w:r w:rsidRPr="00D22819">
        <w:t xml:space="preserve"> </w:t>
      </w:r>
      <w:r w:rsidRPr="004B7AB5">
        <w:rPr>
          <w:i/>
        </w:rPr>
        <w:t xml:space="preserve">Green Chem. </w:t>
      </w:r>
      <w:r w:rsidRPr="004B7AB5">
        <w:rPr>
          <w:b/>
        </w:rPr>
        <w:t xml:space="preserve">2016, </w:t>
      </w:r>
      <w:r w:rsidRPr="004B7AB5">
        <w:rPr>
          <w:i/>
        </w:rPr>
        <w:t>18</w:t>
      </w:r>
      <w:r w:rsidRPr="004B7AB5">
        <w:t>, 3879-3890.</w:t>
      </w:r>
    </w:p>
    <w:p w14:paraId="0E281500" w14:textId="09C57022" w:rsidR="00726345" w:rsidRPr="00D22819" w:rsidRDefault="00B97CD3" w:rsidP="00EA4E1B">
      <w:pPr>
        <w:pStyle w:val="TAMainText"/>
        <w:numPr>
          <w:ilvl w:val="0"/>
          <w:numId w:val="1"/>
        </w:numPr>
      </w:pPr>
      <w:r w:rsidRPr="00D22819">
        <w:t xml:space="preserve">N. Winterton, </w:t>
      </w:r>
      <w:r w:rsidRPr="00D22819">
        <w:rPr>
          <w:i/>
        </w:rPr>
        <w:t>Clean Techn Environ Policy</w:t>
      </w:r>
      <w:r w:rsidRPr="00D22819">
        <w:t xml:space="preserve"> </w:t>
      </w:r>
      <w:r w:rsidRPr="00D22819">
        <w:rPr>
          <w:b/>
        </w:rPr>
        <w:t>2021</w:t>
      </w:r>
      <w:r w:rsidRPr="00D22819">
        <w:t xml:space="preserve">, </w:t>
      </w:r>
      <w:r w:rsidRPr="00D22819">
        <w:rPr>
          <w:i/>
        </w:rPr>
        <w:t>23</w:t>
      </w:r>
      <w:r w:rsidRPr="00D22819">
        <w:t>, 2499-2522.</w:t>
      </w:r>
    </w:p>
    <w:p w14:paraId="4D10E6C6" w14:textId="766B90F4" w:rsidR="00B97CD3" w:rsidRDefault="00871B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>H. C. Erythropel;</w:t>
      </w:r>
      <w:r w:rsidR="00B97CD3" w:rsidRPr="004B7AB5">
        <w:rPr>
          <w:lang w:val="fr-FR"/>
        </w:rPr>
        <w:t xml:space="preserve"> J. B. Zimmerman </w:t>
      </w:r>
      <w:r w:rsidR="00B97CD3" w:rsidRPr="004B7AB5">
        <w:rPr>
          <w:i/>
          <w:lang w:val="fr-FR"/>
        </w:rPr>
        <w:t>et. al.</w:t>
      </w:r>
      <w:r w:rsidR="00B97CD3" w:rsidRPr="004B7AB5">
        <w:rPr>
          <w:lang w:val="fr-FR"/>
        </w:rPr>
        <w:t xml:space="preserve"> </w:t>
      </w:r>
      <w:r w:rsidRPr="00871B7D">
        <w:rPr>
          <w:i/>
          <w:lang w:val="pt-BR"/>
        </w:rPr>
        <w:t xml:space="preserve">Green </w:t>
      </w:r>
      <w:proofErr w:type="spellStart"/>
      <w:r w:rsidRPr="00871B7D">
        <w:rPr>
          <w:i/>
          <w:lang w:val="pt-BR"/>
        </w:rPr>
        <w:t>Chem</w:t>
      </w:r>
      <w:proofErr w:type="spellEnd"/>
      <w:r w:rsidRPr="00871B7D">
        <w:rPr>
          <w:i/>
          <w:lang w:val="pt-BR"/>
        </w:rPr>
        <w:t>.</w:t>
      </w:r>
      <w:r>
        <w:rPr>
          <w:lang w:val="pt-BR"/>
        </w:rPr>
        <w:t xml:space="preserve"> </w:t>
      </w:r>
      <w:r w:rsidRPr="00871B7D">
        <w:rPr>
          <w:b/>
          <w:lang w:val="pt-BR"/>
        </w:rPr>
        <w:t>2018</w:t>
      </w:r>
      <w:r>
        <w:rPr>
          <w:lang w:val="pt-BR"/>
        </w:rPr>
        <w:t xml:space="preserve">, </w:t>
      </w:r>
      <w:r w:rsidRPr="00871B7D">
        <w:rPr>
          <w:i/>
          <w:lang w:val="pt-BR"/>
        </w:rPr>
        <w:t>20</w:t>
      </w:r>
      <w:r>
        <w:rPr>
          <w:lang w:val="pt-BR"/>
        </w:rPr>
        <w:t>, 1929-1961.</w:t>
      </w:r>
    </w:p>
    <w:p w14:paraId="144288BC" w14:textId="64AC8FBD" w:rsidR="00871B7D" w:rsidRDefault="00871B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D22819">
        <w:t>K. Watanabe</w:t>
      </w:r>
      <w:r w:rsidR="005379FD" w:rsidRPr="00D22819">
        <w:t xml:space="preserve">; N. </w:t>
      </w:r>
      <w:proofErr w:type="spellStart"/>
      <w:r w:rsidR="005379FD" w:rsidRPr="00D22819">
        <w:t>Yamagiwa</w:t>
      </w:r>
      <w:proofErr w:type="spellEnd"/>
      <w:r w:rsidR="005379FD" w:rsidRPr="00D22819">
        <w:t xml:space="preserve"> </w:t>
      </w:r>
      <w:r w:rsidR="005379FD" w:rsidRPr="00D22819">
        <w:rPr>
          <w:i/>
        </w:rPr>
        <w:t>et. al.</w:t>
      </w:r>
      <w:r w:rsidRPr="00D22819">
        <w:t xml:space="preserve"> </w:t>
      </w:r>
      <w:r w:rsidRPr="00871B7D">
        <w:rPr>
          <w:i/>
          <w:lang w:val="pt-BR"/>
        </w:rPr>
        <w:t xml:space="preserve">Org. </w:t>
      </w:r>
      <w:proofErr w:type="spellStart"/>
      <w:r w:rsidRPr="00871B7D">
        <w:rPr>
          <w:i/>
          <w:lang w:val="pt-BR"/>
        </w:rPr>
        <w:t>Process</w:t>
      </w:r>
      <w:proofErr w:type="spellEnd"/>
      <w:r w:rsidRPr="00871B7D">
        <w:rPr>
          <w:i/>
          <w:lang w:val="pt-BR"/>
        </w:rPr>
        <w:t xml:space="preserve"> Res. Dev.</w:t>
      </w:r>
      <w:r>
        <w:rPr>
          <w:i/>
          <w:lang w:val="pt-BR"/>
        </w:rPr>
        <w:t xml:space="preserve"> </w:t>
      </w:r>
      <w:r w:rsidRPr="00871B7D">
        <w:rPr>
          <w:b/>
          <w:lang w:val="pt-BR"/>
        </w:rPr>
        <w:t>2007</w:t>
      </w:r>
      <w:r>
        <w:rPr>
          <w:b/>
          <w:lang w:val="pt-BR"/>
        </w:rPr>
        <w:t>,</w:t>
      </w:r>
      <w:r>
        <w:rPr>
          <w:lang w:val="pt-BR"/>
        </w:rPr>
        <w:t xml:space="preserve"> </w:t>
      </w:r>
      <w:r w:rsidRPr="00871B7D">
        <w:rPr>
          <w:i/>
          <w:lang w:val="pt-BR"/>
        </w:rPr>
        <w:t>11</w:t>
      </w:r>
      <w:r>
        <w:rPr>
          <w:i/>
          <w:lang w:val="pt-BR"/>
        </w:rPr>
        <w:t>,</w:t>
      </w:r>
      <w:r>
        <w:rPr>
          <w:lang w:val="pt-BR"/>
        </w:rPr>
        <w:t xml:space="preserve"> 251-258.</w:t>
      </w:r>
    </w:p>
    <w:p w14:paraId="5FD2066B" w14:textId="17A4E138" w:rsidR="00871B7D" w:rsidRDefault="00871B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es-ES"/>
        </w:rPr>
        <w:t xml:space="preserve">F. </w:t>
      </w:r>
      <w:proofErr w:type="spellStart"/>
      <w:r w:rsidRPr="004B7AB5">
        <w:rPr>
          <w:lang w:val="es-ES"/>
        </w:rPr>
        <w:t>Aricò</w:t>
      </w:r>
      <w:proofErr w:type="spellEnd"/>
      <w:r w:rsidRPr="004B7AB5">
        <w:rPr>
          <w:lang w:val="es-ES"/>
        </w:rPr>
        <w:t xml:space="preserve">; P. Tundo, </w:t>
      </w:r>
      <w:proofErr w:type="spellStart"/>
      <w:r w:rsidRPr="004B7AB5">
        <w:rPr>
          <w:i/>
          <w:lang w:val="es-ES"/>
        </w:rPr>
        <w:t>Beilstein</w:t>
      </w:r>
      <w:proofErr w:type="spellEnd"/>
      <w:r w:rsidRPr="004B7AB5">
        <w:rPr>
          <w:i/>
          <w:lang w:val="es-ES"/>
        </w:rPr>
        <w:t xml:space="preserve"> J. </w:t>
      </w:r>
      <w:proofErr w:type="spellStart"/>
      <w:r w:rsidRPr="004B7AB5">
        <w:rPr>
          <w:i/>
          <w:lang w:val="es-ES"/>
        </w:rPr>
        <w:t>Org</w:t>
      </w:r>
      <w:proofErr w:type="spellEnd"/>
      <w:r w:rsidRPr="004B7AB5">
        <w:rPr>
          <w:i/>
          <w:lang w:val="es-ES"/>
        </w:rPr>
        <w:t xml:space="preserve">. </w:t>
      </w:r>
      <w:proofErr w:type="spellStart"/>
      <w:r w:rsidRPr="00871B7D">
        <w:rPr>
          <w:i/>
          <w:lang w:val="pt-BR"/>
        </w:rPr>
        <w:t>Chem</w:t>
      </w:r>
      <w:proofErr w:type="spellEnd"/>
      <w:r w:rsidRPr="00871B7D">
        <w:rPr>
          <w:i/>
          <w:lang w:val="pt-BR"/>
        </w:rPr>
        <w:t>.</w:t>
      </w:r>
      <w:r>
        <w:rPr>
          <w:lang w:val="pt-BR"/>
        </w:rPr>
        <w:t xml:space="preserve"> </w:t>
      </w:r>
      <w:r w:rsidRPr="00871B7D">
        <w:rPr>
          <w:b/>
          <w:lang w:val="pt-BR"/>
        </w:rPr>
        <w:t>2016</w:t>
      </w:r>
      <w:r>
        <w:rPr>
          <w:b/>
          <w:lang w:val="pt-BR"/>
        </w:rPr>
        <w:t>,</w:t>
      </w:r>
      <w:r>
        <w:rPr>
          <w:lang w:val="pt-BR"/>
        </w:rPr>
        <w:t xml:space="preserve"> </w:t>
      </w:r>
      <w:r w:rsidRPr="00871B7D">
        <w:rPr>
          <w:i/>
          <w:lang w:val="pt-BR"/>
        </w:rPr>
        <w:t>12</w:t>
      </w:r>
      <w:r>
        <w:rPr>
          <w:lang w:val="pt-BR"/>
        </w:rPr>
        <w:t>, 2256-2266.</w:t>
      </w:r>
    </w:p>
    <w:p w14:paraId="0450EE77" w14:textId="551E9E5A" w:rsidR="00871B7D" w:rsidRDefault="00615F15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es-ES"/>
        </w:rPr>
        <w:t xml:space="preserve">P. Tundo; F. </w:t>
      </w:r>
      <w:proofErr w:type="spellStart"/>
      <w:r w:rsidRPr="004B7AB5">
        <w:rPr>
          <w:lang w:val="es-ES"/>
        </w:rPr>
        <w:t>Aricò</w:t>
      </w:r>
      <w:proofErr w:type="spellEnd"/>
      <w:r w:rsidRPr="004B7AB5">
        <w:rPr>
          <w:lang w:val="es-ES"/>
        </w:rPr>
        <w:t xml:space="preserve"> </w:t>
      </w:r>
      <w:r w:rsidRPr="004B7AB5">
        <w:rPr>
          <w:i/>
          <w:lang w:val="es-ES"/>
        </w:rPr>
        <w:t>et. al.</w:t>
      </w:r>
      <w:r w:rsidRPr="004B7AB5">
        <w:rPr>
          <w:lang w:val="es-ES"/>
        </w:rPr>
        <w:t xml:space="preserve"> </w:t>
      </w:r>
      <w:proofErr w:type="spellStart"/>
      <w:r w:rsidR="00F75EC4" w:rsidRPr="00F75EC4">
        <w:rPr>
          <w:i/>
          <w:lang w:val="pt-BR"/>
        </w:rPr>
        <w:t>ChemSusChem</w:t>
      </w:r>
      <w:proofErr w:type="spellEnd"/>
      <w:r w:rsidR="00F75EC4">
        <w:rPr>
          <w:lang w:val="pt-BR"/>
        </w:rPr>
        <w:t xml:space="preserve"> </w:t>
      </w:r>
      <w:r w:rsidR="00F75EC4" w:rsidRPr="00F75EC4">
        <w:rPr>
          <w:b/>
          <w:lang w:val="pt-BR"/>
        </w:rPr>
        <w:t>2010</w:t>
      </w:r>
      <w:r w:rsidR="00F75EC4">
        <w:rPr>
          <w:b/>
          <w:lang w:val="pt-BR"/>
        </w:rPr>
        <w:t xml:space="preserve">, </w:t>
      </w:r>
      <w:r w:rsidR="00F75EC4">
        <w:rPr>
          <w:lang w:val="pt-BR"/>
        </w:rPr>
        <w:t>3, 566-570.</w:t>
      </w:r>
    </w:p>
    <w:p w14:paraId="12ADC9E0" w14:textId="04D6DDBF" w:rsidR="00615F15" w:rsidRDefault="00615F15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 xml:space="preserve">C. J. Clarke; W. Tu </w:t>
      </w:r>
      <w:r w:rsidRPr="004B7AB5">
        <w:rPr>
          <w:i/>
          <w:lang w:val="fr-FR"/>
        </w:rPr>
        <w:t>et. al.</w:t>
      </w:r>
      <w:r w:rsidRPr="004B7AB5">
        <w:rPr>
          <w:lang w:val="fr-FR"/>
        </w:rPr>
        <w:t xml:space="preserve"> </w:t>
      </w:r>
      <w:r w:rsidRPr="00D22819">
        <w:rPr>
          <w:i/>
        </w:rPr>
        <w:t xml:space="preserve">Chem. </w:t>
      </w:r>
      <w:r>
        <w:rPr>
          <w:i/>
          <w:lang w:val="pt-BR"/>
        </w:rPr>
        <w:t xml:space="preserve">Rev. </w:t>
      </w:r>
      <w:r w:rsidRPr="00615F15">
        <w:rPr>
          <w:b/>
          <w:lang w:val="pt-BR"/>
        </w:rPr>
        <w:t>2018</w:t>
      </w:r>
      <w:r>
        <w:rPr>
          <w:b/>
          <w:lang w:val="pt-BR"/>
        </w:rPr>
        <w:t xml:space="preserve">, </w:t>
      </w:r>
      <w:r>
        <w:rPr>
          <w:lang w:val="pt-BR"/>
        </w:rPr>
        <w:t>118, 747-800.</w:t>
      </w:r>
    </w:p>
    <w:p w14:paraId="79E1DD84" w14:textId="172D3B14" w:rsidR="005379FD" w:rsidRPr="004B7AB5" w:rsidRDefault="005379FD" w:rsidP="00EA4E1B">
      <w:pPr>
        <w:pStyle w:val="TAMainText"/>
        <w:numPr>
          <w:ilvl w:val="0"/>
          <w:numId w:val="1"/>
        </w:numPr>
        <w:rPr>
          <w:lang w:val="fr-FR"/>
        </w:rPr>
      </w:pPr>
      <w:r w:rsidRPr="004B7AB5">
        <w:rPr>
          <w:lang w:val="fr-FR"/>
        </w:rPr>
        <w:t xml:space="preserve">J. Sherwood; M. De </w:t>
      </w:r>
      <w:r w:rsidR="00BF164E" w:rsidRPr="004B7AB5">
        <w:rPr>
          <w:lang w:val="fr-FR"/>
        </w:rPr>
        <w:t>B</w:t>
      </w:r>
      <w:r w:rsidRPr="004B7AB5">
        <w:rPr>
          <w:lang w:val="fr-FR"/>
        </w:rPr>
        <w:t xml:space="preserve">ruyn </w:t>
      </w:r>
      <w:r w:rsidRPr="004B7AB5">
        <w:rPr>
          <w:i/>
          <w:lang w:val="fr-FR"/>
        </w:rPr>
        <w:t>et. al.</w:t>
      </w:r>
      <w:r w:rsidRPr="004B7AB5">
        <w:rPr>
          <w:lang w:val="fr-FR"/>
        </w:rPr>
        <w:t xml:space="preserve"> </w:t>
      </w:r>
      <w:r w:rsidRPr="004B7AB5">
        <w:rPr>
          <w:b/>
          <w:lang w:val="fr-FR"/>
        </w:rPr>
        <w:t xml:space="preserve">2014, </w:t>
      </w:r>
      <w:r w:rsidRPr="004B7AB5">
        <w:rPr>
          <w:i/>
          <w:lang w:val="fr-FR"/>
        </w:rPr>
        <w:t>50</w:t>
      </w:r>
      <w:r w:rsidRPr="004B7AB5">
        <w:rPr>
          <w:lang w:val="fr-FR"/>
        </w:rPr>
        <w:t>, 9650-9652.</w:t>
      </w:r>
    </w:p>
    <w:p w14:paraId="43BEABF0" w14:textId="51A4FA5D" w:rsidR="00615F15" w:rsidRDefault="005379F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 xml:space="preserve">H. Rastegari; H. S. Ghaziaskar </w:t>
      </w:r>
      <w:r w:rsidRPr="004B7AB5">
        <w:rPr>
          <w:i/>
          <w:lang w:val="fr-FR"/>
        </w:rPr>
        <w:t>et. al.</w:t>
      </w:r>
      <w:r w:rsidRPr="004B7AB5">
        <w:rPr>
          <w:lang w:val="fr-FR"/>
        </w:rPr>
        <w:t xml:space="preserve"> </w:t>
      </w:r>
      <w:r w:rsidRPr="00D22819">
        <w:rPr>
          <w:i/>
        </w:rPr>
        <w:t>Ind. E</w:t>
      </w:r>
      <w:r w:rsidR="00563B41" w:rsidRPr="00D22819">
        <w:rPr>
          <w:i/>
        </w:rPr>
        <w:t xml:space="preserve">ng. </w:t>
      </w:r>
      <w:proofErr w:type="spellStart"/>
      <w:r w:rsidR="00563B41">
        <w:rPr>
          <w:i/>
          <w:lang w:val="pt-BR"/>
        </w:rPr>
        <w:t>Chem</w:t>
      </w:r>
      <w:proofErr w:type="spellEnd"/>
      <w:r w:rsidR="00563B41">
        <w:rPr>
          <w:i/>
          <w:lang w:val="pt-BR"/>
        </w:rPr>
        <w:t xml:space="preserve">. Res. </w:t>
      </w:r>
      <w:r w:rsidR="00563B41" w:rsidRPr="00563B41">
        <w:rPr>
          <w:b/>
          <w:lang w:val="pt-BR"/>
        </w:rPr>
        <w:t>2015</w:t>
      </w:r>
      <w:r w:rsidR="00563B41">
        <w:rPr>
          <w:b/>
          <w:lang w:val="pt-BR"/>
        </w:rPr>
        <w:t xml:space="preserve">, </w:t>
      </w:r>
      <w:r w:rsidR="00563B41">
        <w:rPr>
          <w:i/>
          <w:lang w:val="pt-BR"/>
        </w:rPr>
        <w:t xml:space="preserve">54, </w:t>
      </w:r>
      <w:r w:rsidR="00563B41">
        <w:rPr>
          <w:lang w:val="pt-BR"/>
        </w:rPr>
        <w:t>3279-3284.</w:t>
      </w:r>
    </w:p>
    <w:p w14:paraId="2788FACD" w14:textId="0A3BFAF7" w:rsidR="00563B41" w:rsidRDefault="00563B41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fr-FR"/>
        </w:rPr>
        <w:t xml:space="preserve">G. M. Torres; R. Frauenlob </w:t>
      </w:r>
      <w:r w:rsidRPr="004B7AB5">
        <w:rPr>
          <w:i/>
          <w:lang w:val="fr-FR"/>
        </w:rPr>
        <w:t>et. al.</w:t>
      </w:r>
      <w:r w:rsidRPr="004B7AB5">
        <w:rPr>
          <w:lang w:val="fr-FR"/>
        </w:rPr>
        <w:t xml:space="preserve"> </w:t>
      </w:r>
      <w:r w:rsidRPr="004B7AB5">
        <w:rPr>
          <w:i/>
          <w:lang w:val="fr-FR"/>
        </w:rPr>
        <w:t xml:space="preserve">Catal. Sci. Technol. </w:t>
      </w:r>
      <w:r>
        <w:rPr>
          <w:b/>
          <w:lang w:val="pt-BR"/>
        </w:rPr>
        <w:t>2015,</w:t>
      </w:r>
      <w:r>
        <w:rPr>
          <w:lang w:val="pt-BR"/>
        </w:rPr>
        <w:t xml:space="preserve"> </w:t>
      </w:r>
      <w:r w:rsidRPr="00563B41">
        <w:rPr>
          <w:i/>
          <w:lang w:val="pt-BR"/>
        </w:rPr>
        <w:t>5</w:t>
      </w:r>
      <w:r>
        <w:rPr>
          <w:lang w:val="pt-BR"/>
        </w:rPr>
        <w:t>, 34-54.</w:t>
      </w:r>
    </w:p>
    <w:p w14:paraId="4D3E8799" w14:textId="4753917F" w:rsidR="00F37C6C" w:rsidRPr="004B7AB5" w:rsidRDefault="00F37C6C" w:rsidP="00EA4E1B">
      <w:pPr>
        <w:pStyle w:val="TAMainText"/>
        <w:numPr>
          <w:ilvl w:val="0"/>
          <w:numId w:val="1"/>
        </w:numPr>
        <w:rPr>
          <w:lang w:val="es-ES"/>
        </w:rPr>
      </w:pPr>
      <w:r w:rsidRPr="004B7AB5">
        <w:rPr>
          <w:lang w:val="es-ES"/>
        </w:rPr>
        <w:t xml:space="preserve">P. </w:t>
      </w:r>
      <w:proofErr w:type="spellStart"/>
      <w:r w:rsidRPr="004B7AB5">
        <w:rPr>
          <w:lang w:val="es-ES"/>
        </w:rPr>
        <w:t>Szuroczki</w:t>
      </w:r>
      <w:proofErr w:type="spellEnd"/>
      <w:r w:rsidRPr="004B7AB5">
        <w:rPr>
          <w:lang w:val="es-ES"/>
        </w:rPr>
        <w:t xml:space="preserve">; A. </w:t>
      </w:r>
      <w:proofErr w:type="spellStart"/>
      <w:r w:rsidRPr="004B7AB5">
        <w:rPr>
          <w:lang w:val="es-ES"/>
        </w:rPr>
        <w:t>Takátsy</w:t>
      </w:r>
      <w:proofErr w:type="spellEnd"/>
      <w:r w:rsidRPr="004B7AB5">
        <w:rPr>
          <w:lang w:val="es-ES"/>
        </w:rPr>
        <w:t xml:space="preserve"> </w:t>
      </w:r>
      <w:r w:rsidRPr="004B7AB5">
        <w:rPr>
          <w:i/>
          <w:lang w:val="es-ES"/>
        </w:rPr>
        <w:t>et. al.</w:t>
      </w:r>
      <w:r w:rsidRPr="004B7AB5">
        <w:rPr>
          <w:lang w:val="es-ES"/>
        </w:rPr>
        <w:t xml:space="preserve"> </w:t>
      </w:r>
      <w:r w:rsidRPr="004B7AB5">
        <w:rPr>
          <w:i/>
          <w:lang w:val="es-ES"/>
        </w:rPr>
        <w:t>Mol</w:t>
      </w:r>
      <w:r w:rsidR="00BF164E" w:rsidRPr="004B7AB5">
        <w:rPr>
          <w:i/>
          <w:lang w:val="es-ES"/>
        </w:rPr>
        <w:t>.</w:t>
      </w:r>
      <w:r w:rsidRPr="004B7AB5">
        <w:rPr>
          <w:i/>
          <w:lang w:val="es-ES"/>
        </w:rPr>
        <w:t xml:space="preserve"> </w:t>
      </w:r>
      <w:proofErr w:type="spellStart"/>
      <w:r w:rsidRPr="004B7AB5">
        <w:rPr>
          <w:i/>
          <w:lang w:val="es-ES"/>
        </w:rPr>
        <w:t>Catal</w:t>
      </w:r>
      <w:proofErr w:type="spellEnd"/>
      <w:r w:rsidR="00BF164E" w:rsidRPr="004B7AB5">
        <w:rPr>
          <w:i/>
          <w:lang w:val="es-ES"/>
        </w:rPr>
        <w:t>.,</w:t>
      </w:r>
      <w:r w:rsidRPr="004B7AB5">
        <w:rPr>
          <w:lang w:val="es-ES"/>
        </w:rPr>
        <w:t xml:space="preserve"> </w:t>
      </w:r>
      <w:r w:rsidRPr="004B7AB5">
        <w:rPr>
          <w:b/>
          <w:lang w:val="es-ES"/>
        </w:rPr>
        <w:t>2023</w:t>
      </w:r>
      <w:r w:rsidRPr="004B7AB5">
        <w:rPr>
          <w:lang w:val="es-ES"/>
        </w:rPr>
        <w:t xml:space="preserve">, </w:t>
      </w:r>
      <w:r w:rsidRPr="004B7AB5">
        <w:rPr>
          <w:i/>
          <w:lang w:val="es-ES"/>
        </w:rPr>
        <w:t>535</w:t>
      </w:r>
      <w:r w:rsidRPr="004B7AB5">
        <w:rPr>
          <w:lang w:val="es-ES"/>
        </w:rPr>
        <w:t>, 112837-112841.</w:t>
      </w:r>
    </w:p>
    <w:p w14:paraId="3A179199" w14:textId="5E18630C" w:rsidR="00563B41" w:rsidRDefault="00F37C6C" w:rsidP="00EA4E1B">
      <w:pPr>
        <w:pStyle w:val="TAMainText"/>
        <w:numPr>
          <w:ilvl w:val="0"/>
          <w:numId w:val="1"/>
        </w:numPr>
        <w:rPr>
          <w:lang w:val="pt-BR"/>
        </w:rPr>
      </w:pPr>
      <w:r w:rsidRPr="004B7AB5">
        <w:rPr>
          <w:lang w:val="es-ES"/>
        </w:rPr>
        <w:t xml:space="preserve">T. C. Chen; C. O. da Fonseca </w:t>
      </w:r>
      <w:r w:rsidRPr="004B7AB5">
        <w:rPr>
          <w:i/>
          <w:lang w:val="es-ES"/>
        </w:rPr>
        <w:t>et. al.</w:t>
      </w:r>
      <w:r w:rsidRPr="004B7AB5">
        <w:rPr>
          <w:lang w:val="es-ES"/>
        </w:rPr>
        <w:t xml:space="preserve"> </w:t>
      </w:r>
      <w:proofErr w:type="spellStart"/>
      <w:r w:rsidRPr="00F37C6C">
        <w:rPr>
          <w:i/>
          <w:lang w:val="pt-BR"/>
        </w:rPr>
        <w:t>Pharmaceutics</w:t>
      </w:r>
      <w:proofErr w:type="spellEnd"/>
      <w:r>
        <w:rPr>
          <w:i/>
          <w:lang w:val="pt-BR"/>
        </w:rPr>
        <w:t xml:space="preserve">, </w:t>
      </w:r>
      <w:r>
        <w:rPr>
          <w:b/>
          <w:lang w:val="pt-BR"/>
        </w:rPr>
        <w:t>2021,</w:t>
      </w:r>
      <w:r>
        <w:rPr>
          <w:lang w:val="pt-BR"/>
        </w:rPr>
        <w:t xml:space="preserve"> </w:t>
      </w:r>
      <w:r>
        <w:rPr>
          <w:i/>
          <w:lang w:val="pt-BR"/>
        </w:rPr>
        <w:t xml:space="preserve">13, </w:t>
      </w:r>
      <w:r>
        <w:rPr>
          <w:lang w:val="pt-BR"/>
        </w:rPr>
        <w:t>2167-2194.</w:t>
      </w:r>
    </w:p>
    <w:p w14:paraId="44FB009E" w14:textId="13EF6105" w:rsidR="004A33F3" w:rsidRDefault="004A33F3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F. G. </w:t>
      </w:r>
      <w:proofErr w:type="spellStart"/>
      <w:r>
        <w:rPr>
          <w:lang w:val="pt-BR"/>
        </w:rPr>
        <w:t>Delolo</w:t>
      </w:r>
      <w:proofErr w:type="spellEnd"/>
      <w:r>
        <w:rPr>
          <w:lang w:val="pt-BR"/>
        </w:rPr>
        <w:t xml:space="preserve">; G. M. Vieira </w:t>
      </w:r>
      <w:r>
        <w:rPr>
          <w:i/>
          <w:lang w:val="pt-BR"/>
        </w:rPr>
        <w:t xml:space="preserve">et. al. </w:t>
      </w:r>
      <w:r w:rsidRPr="004A33F3">
        <w:rPr>
          <w:i/>
          <w:lang w:val="pt-BR"/>
        </w:rPr>
        <w:t>J</w:t>
      </w:r>
      <w:r w:rsidR="00BF164E">
        <w:rPr>
          <w:i/>
          <w:lang w:val="pt-BR"/>
        </w:rPr>
        <w:t>.</w:t>
      </w:r>
      <w:r w:rsidRPr="004A33F3">
        <w:rPr>
          <w:i/>
          <w:lang w:val="pt-BR"/>
        </w:rPr>
        <w:t xml:space="preserve"> Catal</w:t>
      </w:r>
      <w:r w:rsidR="00BF164E">
        <w:rPr>
          <w:i/>
          <w:lang w:val="pt-BR"/>
        </w:rPr>
        <w:t>.</w:t>
      </w:r>
      <w:r>
        <w:rPr>
          <w:lang w:val="pt-BR"/>
        </w:rPr>
        <w:t xml:space="preserve">, </w:t>
      </w:r>
      <w:r>
        <w:rPr>
          <w:b/>
          <w:lang w:val="pt-BR"/>
        </w:rPr>
        <w:t xml:space="preserve">2023, </w:t>
      </w:r>
      <w:r w:rsidRPr="004A33F3">
        <w:rPr>
          <w:i/>
          <w:lang w:val="pt-BR"/>
        </w:rPr>
        <w:t>421</w:t>
      </w:r>
      <w:r>
        <w:rPr>
          <w:lang w:val="pt-BR"/>
        </w:rPr>
        <w:t xml:space="preserve">, 20-29. </w:t>
      </w:r>
    </w:p>
    <w:p w14:paraId="6F865CFD" w14:textId="6169CB44" w:rsidR="000A2FD8" w:rsidRPr="004B7AB5" w:rsidRDefault="00F37C6C" w:rsidP="000A2FD8">
      <w:pPr>
        <w:pStyle w:val="TAMainText"/>
        <w:numPr>
          <w:ilvl w:val="0"/>
          <w:numId w:val="1"/>
        </w:numPr>
        <w:rPr>
          <w:lang w:val="es-ES"/>
        </w:rPr>
      </w:pPr>
      <w:r w:rsidRPr="004B7AB5">
        <w:rPr>
          <w:lang w:val="es-ES"/>
        </w:rPr>
        <w:t xml:space="preserve">F. G. </w:t>
      </w:r>
      <w:proofErr w:type="spellStart"/>
      <w:r w:rsidRPr="004B7AB5">
        <w:rPr>
          <w:lang w:val="es-ES"/>
        </w:rPr>
        <w:t>Delolo</w:t>
      </w:r>
      <w:proofErr w:type="spellEnd"/>
      <w:r w:rsidRPr="004B7AB5">
        <w:rPr>
          <w:lang w:val="es-ES"/>
        </w:rPr>
        <w:t xml:space="preserve">; E. N. dos Santos </w:t>
      </w:r>
      <w:r w:rsidRPr="004B7AB5">
        <w:rPr>
          <w:i/>
          <w:lang w:val="es-ES"/>
        </w:rPr>
        <w:t xml:space="preserve">et. al. </w:t>
      </w:r>
      <w:r w:rsidR="00BF164E" w:rsidRPr="004B7AB5">
        <w:rPr>
          <w:i/>
          <w:lang w:val="es-ES"/>
        </w:rPr>
        <w:t xml:space="preserve">Green </w:t>
      </w:r>
      <w:proofErr w:type="spellStart"/>
      <w:r w:rsidR="00757F6E" w:rsidRPr="004B7AB5">
        <w:rPr>
          <w:i/>
          <w:lang w:val="es-ES"/>
        </w:rPr>
        <w:t>Chem</w:t>
      </w:r>
      <w:proofErr w:type="spellEnd"/>
      <w:r w:rsidR="00757F6E" w:rsidRPr="004B7AB5">
        <w:rPr>
          <w:i/>
          <w:lang w:val="es-ES"/>
        </w:rPr>
        <w:t xml:space="preserve">. </w:t>
      </w:r>
      <w:r w:rsidR="00757F6E" w:rsidRPr="004B7AB5">
        <w:rPr>
          <w:b/>
          <w:lang w:val="es-ES"/>
        </w:rPr>
        <w:t xml:space="preserve">2019, </w:t>
      </w:r>
      <w:r w:rsidR="00757F6E" w:rsidRPr="004B7AB5">
        <w:rPr>
          <w:i/>
          <w:lang w:val="es-ES"/>
        </w:rPr>
        <w:t>21</w:t>
      </w:r>
      <w:r w:rsidR="00757F6E" w:rsidRPr="004B7AB5">
        <w:rPr>
          <w:lang w:val="es-ES"/>
        </w:rPr>
        <w:t>, 1091-1098.</w:t>
      </w:r>
    </w:p>
    <w:p w14:paraId="0AF46CBB" w14:textId="77777777" w:rsidR="00757F6E" w:rsidRPr="004B7AB5" w:rsidRDefault="00757F6E" w:rsidP="00757F6E">
      <w:pPr>
        <w:pStyle w:val="TAMainText"/>
        <w:ind w:left="360" w:firstLine="0"/>
        <w:rPr>
          <w:lang w:val="es-ES"/>
        </w:rPr>
      </w:pPr>
    </w:p>
    <w:p w14:paraId="7C6630AF" w14:textId="364EA6E6" w:rsidR="0058774E" w:rsidRPr="004B7AB5" w:rsidRDefault="0058774E" w:rsidP="0058774E">
      <w:pPr>
        <w:pStyle w:val="TAMainText"/>
        <w:rPr>
          <w:rFonts w:ascii="Times New Roman" w:hAnsi="Times New Roman"/>
          <w:lang w:val="es-ES"/>
        </w:rPr>
      </w:pPr>
    </w:p>
    <w:p w14:paraId="01B200C9" w14:textId="77777777" w:rsidR="0058774E" w:rsidRPr="004B7AB5" w:rsidRDefault="0058774E" w:rsidP="0058774E">
      <w:pPr>
        <w:pStyle w:val="TAMainText"/>
        <w:rPr>
          <w:rFonts w:ascii="Times New Roman" w:hAnsi="Times New Roman"/>
          <w:lang w:val="es-ES"/>
        </w:rPr>
      </w:pPr>
    </w:p>
    <w:p w14:paraId="332D7DFB" w14:textId="77777777" w:rsidR="0058774E" w:rsidRPr="004B7AB5" w:rsidRDefault="0058774E" w:rsidP="0058774E">
      <w:pPr>
        <w:pStyle w:val="TAMainText"/>
        <w:ind w:firstLine="0"/>
        <w:rPr>
          <w:rFonts w:ascii="Times New Roman" w:hAnsi="Times New Roman"/>
          <w:lang w:val="es-ES"/>
        </w:rPr>
      </w:pPr>
    </w:p>
    <w:p w14:paraId="58716424" w14:textId="77777777" w:rsidR="007B4B2B" w:rsidRPr="004B7AB5" w:rsidRDefault="007B4B2B" w:rsidP="00EA4E1B">
      <w:pPr>
        <w:rPr>
          <w:lang w:val="es-ES"/>
        </w:rPr>
      </w:pPr>
    </w:p>
    <w:sectPr w:rsidR="007B4B2B" w:rsidRPr="004B7AB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15BE" w14:textId="77777777" w:rsidR="001636F2" w:rsidRDefault="001636F2" w:rsidP="00EA4E1B">
      <w:pPr>
        <w:spacing w:after="0" w:line="240" w:lineRule="auto"/>
      </w:pPr>
      <w:r>
        <w:separator/>
      </w:r>
    </w:p>
  </w:endnote>
  <w:endnote w:type="continuationSeparator" w:id="0">
    <w:p w14:paraId="61904273" w14:textId="77777777" w:rsidR="001636F2" w:rsidRDefault="001636F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66AB" w14:textId="77777777" w:rsidR="001636F2" w:rsidRDefault="001636F2" w:rsidP="00EA4E1B">
      <w:pPr>
        <w:spacing w:after="0" w:line="240" w:lineRule="auto"/>
      </w:pPr>
      <w:r>
        <w:separator/>
      </w:r>
    </w:p>
  </w:footnote>
  <w:footnote w:type="continuationSeparator" w:id="0">
    <w:p w14:paraId="40B4CB92" w14:textId="77777777" w:rsidR="001636F2" w:rsidRDefault="001636F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4A33F3" w:rsidRDefault="004A33F3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5E15"/>
    <w:multiLevelType w:val="hybridMultilevel"/>
    <w:tmpl w:val="3E68A0D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8254B2"/>
    <w:multiLevelType w:val="hybridMultilevel"/>
    <w:tmpl w:val="9D263514"/>
    <w:lvl w:ilvl="0" w:tplc="77D6C23A">
      <w:start w:val="1"/>
      <w:numFmt w:val="decimal"/>
      <w:lvlText w:val="(%1)"/>
      <w:lvlJc w:val="left"/>
      <w:pPr>
        <w:ind w:left="562" w:hanging="360"/>
      </w:pPr>
      <w:rPr>
        <w:rFonts w:ascii="Times" w:hAnsi="Times" w:hint="default"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num w:numId="1" w16cid:durableId="1297490218">
    <w:abstractNumId w:val="1"/>
  </w:num>
  <w:num w:numId="2" w16cid:durableId="168569075">
    <w:abstractNumId w:val="0"/>
  </w:num>
  <w:num w:numId="3" w16cid:durableId="16582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319E"/>
    <w:rsid w:val="00011DC3"/>
    <w:rsid w:val="0001264A"/>
    <w:rsid w:val="00016012"/>
    <w:rsid w:val="00016743"/>
    <w:rsid w:val="00017232"/>
    <w:rsid w:val="000222AA"/>
    <w:rsid w:val="00061A72"/>
    <w:rsid w:val="000752DA"/>
    <w:rsid w:val="00075723"/>
    <w:rsid w:val="00075B33"/>
    <w:rsid w:val="00080702"/>
    <w:rsid w:val="00082C1D"/>
    <w:rsid w:val="00091277"/>
    <w:rsid w:val="000A2FD8"/>
    <w:rsid w:val="000A6528"/>
    <w:rsid w:val="000B3A49"/>
    <w:rsid w:val="000B7D79"/>
    <w:rsid w:val="000C7639"/>
    <w:rsid w:val="000D2067"/>
    <w:rsid w:val="000D34E9"/>
    <w:rsid w:val="000E0FE8"/>
    <w:rsid w:val="000E47CB"/>
    <w:rsid w:val="000F1D24"/>
    <w:rsid w:val="001139C1"/>
    <w:rsid w:val="00115F1C"/>
    <w:rsid w:val="00125AEC"/>
    <w:rsid w:val="00134FF9"/>
    <w:rsid w:val="0013608C"/>
    <w:rsid w:val="00140DC2"/>
    <w:rsid w:val="0015069B"/>
    <w:rsid w:val="001636F2"/>
    <w:rsid w:val="001855BE"/>
    <w:rsid w:val="001972E8"/>
    <w:rsid w:val="001A7058"/>
    <w:rsid w:val="001C4D19"/>
    <w:rsid w:val="001C5892"/>
    <w:rsid w:val="001C73DF"/>
    <w:rsid w:val="001D1051"/>
    <w:rsid w:val="001E3C26"/>
    <w:rsid w:val="001E58A9"/>
    <w:rsid w:val="001F25B2"/>
    <w:rsid w:val="00205C04"/>
    <w:rsid w:val="00210C7B"/>
    <w:rsid w:val="00222230"/>
    <w:rsid w:val="00225FD7"/>
    <w:rsid w:val="00234BC4"/>
    <w:rsid w:val="0026540B"/>
    <w:rsid w:val="00282514"/>
    <w:rsid w:val="0029161F"/>
    <w:rsid w:val="00292FE8"/>
    <w:rsid w:val="00294F5C"/>
    <w:rsid w:val="00296215"/>
    <w:rsid w:val="002A7CC7"/>
    <w:rsid w:val="002D27E9"/>
    <w:rsid w:val="002E0C28"/>
    <w:rsid w:val="002E34BB"/>
    <w:rsid w:val="002E62B0"/>
    <w:rsid w:val="00301FBF"/>
    <w:rsid w:val="003179C7"/>
    <w:rsid w:val="0032114B"/>
    <w:rsid w:val="00323F37"/>
    <w:rsid w:val="003241EB"/>
    <w:rsid w:val="00327330"/>
    <w:rsid w:val="003314C2"/>
    <w:rsid w:val="00335908"/>
    <w:rsid w:val="0034002D"/>
    <w:rsid w:val="00340B1E"/>
    <w:rsid w:val="00342E5C"/>
    <w:rsid w:val="003455EB"/>
    <w:rsid w:val="00364DED"/>
    <w:rsid w:val="00365C75"/>
    <w:rsid w:val="0038604C"/>
    <w:rsid w:val="003878D6"/>
    <w:rsid w:val="00392CA2"/>
    <w:rsid w:val="00393599"/>
    <w:rsid w:val="0039736D"/>
    <w:rsid w:val="003A2D70"/>
    <w:rsid w:val="003A5E86"/>
    <w:rsid w:val="003B1F23"/>
    <w:rsid w:val="003B5A0E"/>
    <w:rsid w:val="003C2EB6"/>
    <w:rsid w:val="003D04FF"/>
    <w:rsid w:val="003D1CF8"/>
    <w:rsid w:val="003E3B33"/>
    <w:rsid w:val="00402B2C"/>
    <w:rsid w:val="00402CA9"/>
    <w:rsid w:val="00402F3E"/>
    <w:rsid w:val="00404862"/>
    <w:rsid w:val="00424C41"/>
    <w:rsid w:val="00426AE6"/>
    <w:rsid w:val="00427B57"/>
    <w:rsid w:val="004316AF"/>
    <w:rsid w:val="004327BA"/>
    <w:rsid w:val="004454E2"/>
    <w:rsid w:val="00466416"/>
    <w:rsid w:val="00476ADE"/>
    <w:rsid w:val="00491AD2"/>
    <w:rsid w:val="00495EC1"/>
    <w:rsid w:val="004A33F3"/>
    <w:rsid w:val="004B7AB5"/>
    <w:rsid w:val="004D2BAE"/>
    <w:rsid w:val="004D61FB"/>
    <w:rsid w:val="004F0B1E"/>
    <w:rsid w:val="004F3F42"/>
    <w:rsid w:val="004F781C"/>
    <w:rsid w:val="00513370"/>
    <w:rsid w:val="00517347"/>
    <w:rsid w:val="0052112E"/>
    <w:rsid w:val="00524A08"/>
    <w:rsid w:val="005264EB"/>
    <w:rsid w:val="005379FD"/>
    <w:rsid w:val="00537EFF"/>
    <w:rsid w:val="0054285C"/>
    <w:rsid w:val="00546B65"/>
    <w:rsid w:val="00554601"/>
    <w:rsid w:val="00563B41"/>
    <w:rsid w:val="00570566"/>
    <w:rsid w:val="00582A87"/>
    <w:rsid w:val="0058774E"/>
    <w:rsid w:val="005C2775"/>
    <w:rsid w:val="005C3579"/>
    <w:rsid w:val="005C41E2"/>
    <w:rsid w:val="005D01BE"/>
    <w:rsid w:val="005D5ED3"/>
    <w:rsid w:val="005D65EB"/>
    <w:rsid w:val="005D6FE5"/>
    <w:rsid w:val="005E32DB"/>
    <w:rsid w:val="005E3D27"/>
    <w:rsid w:val="005E56BE"/>
    <w:rsid w:val="00603458"/>
    <w:rsid w:val="00604718"/>
    <w:rsid w:val="00604C80"/>
    <w:rsid w:val="00614EDE"/>
    <w:rsid w:val="00615F15"/>
    <w:rsid w:val="00620D53"/>
    <w:rsid w:val="00637E8F"/>
    <w:rsid w:val="00646939"/>
    <w:rsid w:val="006521AD"/>
    <w:rsid w:val="00652815"/>
    <w:rsid w:val="006827D9"/>
    <w:rsid w:val="006B638A"/>
    <w:rsid w:val="006C565F"/>
    <w:rsid w:val="006D31C5"/>
    <w:rsid w:val="006D64D7"/>
    <w:rsid w:val="006E0E25"/>
    <w:rsid w:val="006E3AAF"/>
    <w:rsid w:val="006F025E"/>
    <w:rsid w:val="006F0579"/>
    <w:rsid w:val="006F2B8D"/>
    <w:rsid w:val="006F599B"/>
    <w:rsid w:val="006F6ABC"/>
    <w:rsid w:val="00704C90"/>
    <w:rsid w:val="00726345"/>
    <w:rsid w:val="00727A5B"/>
    <w:rsid w:val="00741744"/>
    <w:rsid w:val="00753BC3"/>
    <w:rsid w:val="00757F6E"/>
    <w:rsid w:val="00760E22"/>
    <w:rsid w:val="0076646F"/>
    <w:rsid w:val="007670A0"/>
    <w:rsid w:val="00777F46"/>
    <w:rsid w:val="00781685"/>
    <w:rsid w:val="007A0D3A"/>
    <w:rsid w:val="007B22A7"/>
    <w:rsid w:val="007B4B2B"/>
    <w:rsid w:val="007B6E4B"/>
    <w:rsid w:val="007C027E"/>
    <w:rsid w:val="007C42DA"/>
    <w:rsid w:val="007C4B5D"/>
    <w:rsid w:val="007D417A"/>
    <w:rsid w:val="007F57EA"/>
    <w:rsid w:val="008015C7"/>
    <w:rsid w:val="008023C2"/>
    <w:rsid w:val="00824C20"/>
    <w:rsid w:val="0083323C"/>
    <w:rsid w:val="0083400D"/>
    <w:rsid w:val="00836E1B"/>
    <w:rsid w:val="0084037A"/>
    <w:rsid w:val="00847E38"/>
    <w:rsid w:val="00852ADD"/>
    <w:rsid w:val="00853B23"/>
    <w:rsid w:val="00857905"/>
    <w:rsid w:val="00860C45"/>
    <w:rsid w:val="00865BB9"/>
    <w:rsid w:val="00866091"/>
    <w:rsid w:val="00866822"/>
    <w:rsid w:val="00871B7D"/>
    <w:rsid w:val="0088401A"/>
    <w:rsid w:val="00884B45"/>
    <w:rsid w:val="00885531"/>
    <w:rsid w:val="00886E49"/>
    <w:rsid w:val="008932C1"/>
    <w:rsid w:val="008B1683"/>
    <w:rsid w:val="008B3899"/>
    <w:rsid w:val="008B6B06"/>
    <w:rsid w:val="008C1B30"/>
    <w:rsid w:val="008C55D4"/>
    <w:rsid w:val="008D78D6"/>
    <w:rsid w:val="008E5D2B"/>
    <w:rsid w:val="008F5E51"/>
    <w:rsid w:val="00906AC7"/>
    <w:rsid w:val="0090768C"/>
    <w:rsid w:val="009106E2"/>
    <w:rsid w:val="009148E7"/>
    <w:rsid w:val="009263A4"/>
    <w:rsid w:val="00926D3C"/>
    <w:rsid w:val="00935A17"/>
    <w:rsid w:val="009363C3"/>
    <w:rsid w:val="009410F4"/>
    <w:rsid w:val="00945BE6"/>
    <w:rsid w:val="0095679C"/>
    <w:rsid w:val="0096188C"/>
    <w:rsid w:val="009656D9"/>
    <w:rsid w:val="00991139"/>
    <w:rsid w:val="00993554"/>
    <w:rsid w:val="0099663F"/>
    <w:rsid w:val="00996A92"/>
    <w:rsid w:val="00996CA1"/>
    <w:rsid w:val="009A3F78"/>
    <w:rsid w:val="009B0721"/>
    <w:rsid w:val="009B5A25"/>
    <w:rsid w:val="009C7CB0"/>
    <w:rsid w:val="009D1392"/>
    <w:rsid w:val="009E23DB"/>
    <w:rsid w:val="009F136D"/>
    <w:rsid w:val="00A01817"/>
    <w:rsid w:val="00A10C59"/>
    <w:rsid w:val="00A1323A"/>
    <w:rsid w:val="00A1471B"/>
    <w:rsid w:val="00A173B3"/>
    <w:rsid w:val="00A17D85"/>
    <w:rsid w:val="00A233BB"/>
    <w:rsid w:val="00A33937"/>
    <w:rsid w:val="00A36491"/>
    <w:rsid w:val="00A42084"/>
    <w:rsid w:val="00A46CDC"/>
    <w:rsid w:val="00A47C58"/>
    <w:rsid w:val="00A53A3A"/>
    <w:rsid w:val="00A5426F"/>
    <w:rsid w:val="00A640C4"/>
    <w:rsid w:val="00A64A74"/>
    <w:rsid w:val="00A665D0"/>
    <w:rsid w:val="00A83E95"/>
    <w:rsid w:val="00A87CE8"/>
    <w:rsid w:val="00A93CE5"/>
    <w:rsid w:val="00AA182E"/>
    <w:rsid w:val="00AA1C9C"/>
    <w:rsid w:val="00AA1DE0"/>
    <w:rsid w:val="00AA51E2"/>
    <w:rsid w:val="00AB154D"/>
    <w:rsid w:val="00AB2553"/>
    <w:rsid w:val="00AB2C6C"/>
    <w:rsid w:val="00AB4E6A"/>
    <w:rsid w:val="00AC69E5"/>
    <w:rsid w:val="00AD1612"/>
    <w:rsid w:val="00AD7E22"/>
    <w:rsid w:val="00AF0400"/>
    <w:rsid w:val="00AF05F5"/>
    <w:rsid w:val="00B02E93"/>
    <w:rsid w:val="00B0318C"/>
    <w:rsid w:val="00B12D72"/>
    <w:rsid w:val="00B23C0A"/>
    <w:rsid w:val="00B23EE1"/>
    <w:rsid w:val="00B30AEB"/>
    <w:rsid w:val="00B4784A"/>
    <w:rsid w:val="00B51CDB"/>
    <w:rsid w:val="00B520E2"/>
    <w:rsid w:val="00B64754"/>
    <w:rsid w:val="00B67CA7"/>
    <w:rsid w:val="00B72C2B"/>
    <w:rsid w:val="00B73859"/>
    <w:rsid w:val="00B82998"/>
    <w:rsid w:val="00B85057"/>
    <w:rsid w:val="00B957DA"/>
    <w:rsid w:val="00B97CD3"/>
    <w:rsid w:val="00BA6A6E"/>
    <w:rsid w:val="00BB2D1F"/>
    <w:rsid w:val="00BD03DA"/>
    <w:rsid w:val="00BD1BF2"/>
    <w:rsid w:val="00BE1B60"/>
    <w:rsid w:val="00BE7A6C"/>
    <w:rsid w:val="00BF164E"/>
    <w:rsid w:val="00BF3DAF"/>
    <w:rsid w:val="00BF51BC"/>
    <w:rsid w:val="00C008C4"/>
    <w:rsid w:val="00C05246"/>
    <w:rsid w:val="00C10FCA"/>
    <w:rsid w:val="00C115D7"/>
    <w:rsid w:val="00C26315"/>
    <w:rsid w:val="00C274A6"/>
    <w:rsid w:val="00C4147F"/>
    <w:rsid w:val="00C43489"/>
    <w:rsid w:val="00C44D5B"/>
    <w:rsid w:val="00C51D36"/>
    <w:rsid w:val="00C5467C"/>
    <w:rsid w:val="00C567A6"/>
    <w:rsid w:val="00C733D7"/>
    <w:rsid w:val="00C757AC"/>
    <w:rsid w:val="00C76E54"/>
    <w:rsid w:val="00C90320"/>
    <w:rsid w:val="00C95CA3"/>
    <w:rsid w:val="00CA42E1"/>
    <w:rsid w:val="00CA4B46"/>
    <w:rsid w:val="00CB5C4C"/>
    <w:rsid w:val="00CB72C8"/>
    <w:rsid w:val="00CC7DE8"/>
    <w:rsid w:val="00CD27B0"/>
    <w:rsid w:val="00CD3135"/>
    <w:rsid w:val="00CD6AE0"/>
    <w:rsid w:val="00CE08CB"/>
    <w:rsid w:val="00CF394F"/>
    <w:rsid w:val="00D00713"/>
    <w:rsid w:val="00D13ADE"/>
    <w:rsid w:val="00D22819"/>
    <w:rsid w:val="00D27AA7"/>
    <w:rsid w:val="00D27CAB"/>
    <w:rsid w:val="00D34E8B"/>
    <w:rsid w:val="00D371E4"/>
    <w:rsid w:val="00D545E7"/>
    <w:rsid w:val="00D65891"/>
    <w:rsid w:val="00D65CAF"/>
    <w:rsid w:val="00D9132C"/>
    <w:rsid w:val="00D95E85"/>
    <w:rsid w:val="00D96135"/>
    <w:rsid w:val="00DA0955"/>
    <w:rsid w:val="00DB70EB"/>
    <w:rsid w:val="00DC0CE4"/>
    <w:rsid w:val="00DD083C"/>
    <w:rsid w:val="00DD1A72"/>
    <w:rsid w:val="00DD5308"/>
    <w:rsid w:val="00DD632C"/>
    <w:rsid w:val="00DF346E"/>
    <w:rsid w:val="00DF6F73"/>
    <w:rsid w:val="00E02A21"/>
    <w:rsid w:val="00E038AF"/>
    <w:rsid w:val="00E04E69"/>
    <w:rsid w:val="00E0668E"/>
    <w:rsid w:val="00E12917"/>
    <w:rsid w:val="00E130CE"/>
    <w:rsid w:val="00E1761F"/>
    <w:rsid w:val="00E23A91"/>
    <w:rsid w:val="00E25D38"/>
    <w:rsid w:val="00E353D7"/>
    <w:rsid w:val="00E4360C"/>
    <w:rsid w:val="00E547DC"/>
    <w:rsid w:val="00E600BC"/>
    <w:rsid w:val="00E63BE8"/>
    <w:rsid w:val="00E65549"/>
    <w:rsid w:val="00E75E98"/>
    <w:rsid w:val="00E80092"/>
    <w:rsid w:val="00E84DC2"/>
    <w:rsid w:val="00E90FB8"/>
    <w:rsid w:val="00E957CA"/>
    <w:rsid w:val="00EA4E1B"/>
    <w:rsid w:val="00EA598E"/>
    <w:rsid w:val="00EC1047"/>
    <w:rsid w:val="00EC3538"/>
    <w:rsid w:val="00EE5A51"/>
    <w:rsid w:val="00F01656"/>
    <w:rsid w:val="00F17785"/>
    <w:rsid w:val="00F17F0B"/>
    <w:rsid w:val="00F21161"/>
    <w:rsid w:val="00F305FA"/>
    <w:rsid w:val="00F30661"/>
    <w:rsid w:val="00F354AF"/>
    <w:rsid w:val="00F37C6C"/>
    <w:rsid w:val="00F4198A"/>
    <w:rsid w:val="00F44365"/>
    <w:rsid w:val="00F522C3"/>
    <w:rsid w:val="00F57818"/>
    <w:rsid w:val="00F75299"/>
    <w:rsid w:val="00F75EC4"/>
    <w:rsid w:val="00F814C7"/>
    <w:rsid w:val="00F816A9"/>
    <w:rsid w:val="00F869C7"/>
    <w:rsid w:val="00F917DA"/>
    <w:rsid w:val="00F92A3B"/>
    <w:rsid w:val="00F92D0E"/>
    <w:rsid w:val="00F93FE0"/>
    <w:rsid w:val="00FA6E61"/>
    <w:rsid w:val="00FB1A07"/>
    <w:rsid w:val="00FB71D9"/>
    <w:rsid w:val="00FD21E7"/>
    <w:rsid w:val="00FE3956"/>
    <w:rsid w:val="00FE6522"/>
    <w:rsid w:val="00FE695E"/>
    <w:rsid w:val="00FF1E47"/>
    <w:rsid w:val="00FF3FCF"/>
    <w:rsid w:val="00FF60A6"/>
    <w:rsid w:val="00FF60C0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38B9DC89-08E0-40FE-A748-119CEE0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1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139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1139C1"/>
  </w:style>
  <w:style w:type="character" w:styleId="Hyperlink">
    <w:name w:val="Hyperlink"/>
    <w:basedOn w:val="Fontepargpadro"/>
    <w:uiPriority w:val="99"/>
    <w:unhideWhenUsed/>
    <w:rsid w:val="0058774E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75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5B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5B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B3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93CE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70566"/>
    <w:pPr>
      <w:spacing w:before="240" w:after="0" w:line="360" w:lineRule="auto"/>
      <w:ind w:firstLine="1134"/>
      <w:jc w:val="both"/>
    </w:pPr>
    <w:rPr>
      <w:rFonts w:ascii="Times New Roman" w:eastAsia="Batang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3A2B-A828-4176-99CA-EA7C29A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4021</Words>
  <Characters>21715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Ricardo Penido</cp:lastModifiedBy>
  <cp:revision>59</cp:revision>
  <dcterms:created xsi:type="dcterms:W3CDTF">2023-04-28T13:14:00Z</dcterms:created>
  <dcterms:modified xsi:type="dcterms:W3CDTF">2023-04-29T14:09:00Z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6594229591a1dd97bad25e9bcade8a2f7485fd0e728ed6930c79560d0cfe874b</vt:lpwstr>
  </property>
</Properties>
</file>