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4D7FDBDC" w14:textId="2ADF5436" w:rsidR="00AF0400" w:rsidRDefault="00B7045E"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533FB045" wp14:editId="07463156">
                <wp:simplePos x="0" y="0"/>
                <wp:positionH relativeFrom="margin">
                  <wp:posOffset>0</wp:posOffset>
                </wp:positionH>
                <wp:positionV relativeFrom="paragraph">
                  <wp:posOffset>0</wp:posOffset>
                </wp:positionV>
                <wp:extent cx="6507480" cy="167640"/>
                <wp:effectExtent l="0" t="0" r="0" b="0"/>
                <wp:wrapNone/>
                <wp:docPr id="249094916"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B647B" w14:textId="77777777" w:rsidR="00866822" w:rsidRPr="008C1B30" w:rsidRDefault="00866822" w:rsidP="00866822">
                            <w:pPr>
                              <w:pStyle w:val="BDAbstract"/>
                              <w:spacing w:before="0" w:after="0" w:line="240" w:lineRule="auto"/>
                              <w:rPr>
                                <w:rFonts w:cs="Helvetica"/>
                                <w:bCs/>
                                <w:sz w:val="20"/>
                                <w:lang w:val="pt-BR"/>
                              </w:rPr>
                            </w:pPr>
                          </w:p>
                          <w:p w14:paraId="210A8EE3"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B045"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25BB647B" w14:textId="77777777" w:rsidR="00866822" w:rsidRPr="008C1B30" w:rsidRDefault="00866822" w:rsidP="00866822">
                      <w:pPr>
                        <w:pStyle w:val="BDAbstract"/>
                        <w:spacing w:before="0" w:after="0" w:line="240" w:lineRule="auto"/>
                        <w:rPr>
                          <w:rFonts w:cs="Helvetica"/>
                          <w:bCs/>
                          <w:sz w:val="20"/>
                          <w:lang w:val="pt-BR"/>
                        </w:rPr>
                      </w:pPr>
                    </w:p>
                    <w:p w14:paraId="210A8EE3" w14:textId="77777777" w:rsidR="00866822" w:rsidRPr="008C1B30" w:rsidRDefault="00866822" w:rsidP="00866822">
                      <w:pPr>
                        <w:pStyle w:val="SemEspaamento"/>
                      </w:pPr>
                    </w:p>
                  </w:txbxContent>
                </v:textbox>
                <w10:wrap anchorx="margin"/>
              </v:rect>
            </w:pict>
          </mc:Fallback>
        </mc:AlternateContent>
      </w:r>
    </w:p>
    <w:p w14:paraId="3D2269E7" w14:textId="77777777" w:rsidR="00EA4E1B" w:rsidRDefault="00135957" w:rsidP="00135957">
      <w:pPr>
        <w:pStyle w:val="BATitle"/>
        <w:spacing w:before="0" w:after="0" w:line="240" w:lineRule="auto"/>
        <w:ind w:right="0"/>
        <w:jc w:val="both"/>
        <w:rPr>
          <w:sz w:val="32"/>
          <w:lang w:val="pt-BR"/>
        </w:rPr>
      </w:pPr>
      <w:r>
        <w:rPr>
          <w:sz w:val="32"/>
          <w:lang w:val="pt-BR"/>
        </w:rPr>
        <w:t xml:space="preserve">Efeito do suporte e </w:t>
      </w:r>
      <w:r w:rsidR="00BA7F9A">
        <w:rPr>
          <w:sz w:val="32"/>
          <w:lang w:val="pt-BR"/>
        </w:rPr>
        <w:t xml:space="preserve">do </w:t>
      </w:r>
      <w:r>
        <w:rPr>
          <w:sz w:val="32"/>
          <w:lang w:val="pt-BR"/>
        </w:rPr>
        <w:t>tamanho de partícula na conversão de fenetoxibenzeno</w:t>
      </w:r>
    </w:p>
    <w:p w14:paraId="6C459ABB" w14:textId="77777777" w:rsidR="00135957" w:rsidRPr="00135957" w:rsidRDefault="00135957" w:rsidP="00135957">
      <w:pPr>
        <w:pStyle w:val="BBAuthorName"/>
        <w:spacing w:after="0"/>
        <w:ind w:right="3022"/>
        <w:rPr>
          <w:lang w:val="pt-BR"/>
        </w:rPr>
      </w:pPr>
    </w:p>
    <w:p w14:paraId="454DF3A4" w14:textId="77777777" w:rsidR="00EA4E1B" w:rsidRPr="001F25B2" w:rsidRDefault="00B76F9F" w:rsidP="00EA4E1B">
      <w:pPr>
        <w:pStyle w:val="BBAuthorName"/>
        <w:spacing w:after="120"/>
        <w:ind w:right="0"/>
        <w:jc w:val="both"/>
        <w:rPr>
          <w:rFonts w:ascii="Times New Roman" w:hAnsi="Times New Roman"/>
          <w:sz w:val="20"/>
          <w:lang w:val="pt-BR"/>
        </w:rPr>
      </w:pPr>
      <w:r>
        <w:rPr>
          <w:rFonts w:ascii="Times New Roman" w:hAnsi="Times New Roman"/>
          <w:sz w:val="20"/>
          <w:lang w:val="pt-BR"/>
        </w:rPr>
        <w:t>Raphaela Azevedo Rafael</w:t>
      </w:r>
      <w:r w:rsidRPr="00B76F9F">
        <w:rPr>
          <w:rFonts w:ascii="Times New Roman" w:hAnsi="Times New Roman"/>
          <w:sz w:val="20"/>
          <w:vertAlign w:val="superscript"/>
          <w:lang w:val="pt-BR"/>
        </w:rPr>
        <w:t>1</w:t>
      </w:r>
      <w:r>
        <w:rPr>
          <w:rFonts w:ascii="Times New Roman" w:hAnsi="Times New Roman"/>
          <w:sz w:val="20"/>
          <w:lang w:val="pt-BR"/>
        </w:rPr>
        <w:t>, Robert Wojcieszak</w:t>
      </w:r>
      <w:r w:rsidRPr="00B76F9F">
        <w:rPr>
          <w:rFonts w:ascii="Times New Roman" w:hAnsi="Times New Roman"/>
          <w:sz w:val="20"/>
          <w:vertAlign w:val="superscript"/>
          <w:lang w:val="pt-BR"/>
        </w:rPr>
        <w:t>1</w:t>
      </w:r>
      <w:r>
        <w:rPr>
          <w:rFonts w:ascii="Times New Roman" w:hAnsi="Times New Roman"/>
          <w:sz w:val="20"/>
          <w:lang w:val="pt-BR"/>
        </w:rPr>
        <w:t>, Eric Marceau</w:t>
      </w:r>
      <w:r w:rsidRPr="00B76F9F">
        <w:rPr>
          <w:rFonts w:ascii="Times New Roman" w:hAnsi="Times New Roman"/>
          <w:sz w:val="20"/>
          <w:vertAlign w:val="superscript"/>
          <w:lang w:val="pt-BR"/>
        </w:rPr>
        <w:t>1</w:t>
      </w:r>
      <w:r>
        <w:rPr>
          <w:rFonts w:ascii="Times New Roman" w:hAnsi="Times New Roman"/>
          <w:sz w:val="20"/>
          <w:lang w:val="pt-BR"/>
        </w:rPr>
        <w:t>, Fabio Bellot Noronha</w:t>
      </w:r>
      <w:r w:rsidRPr="00B76F9F">
        <w:rPr>
          <w:rFonts w:ascii="Times New Roman" w:hAnsi="Times New Roman"/>
          <w:sz w:val="20"/>
          <w:vertAlign w:val="superscript"/>
          <w:lang w:val="pt-BR"/>
        </w:rPr>
        <w:t>1,2</w:t>
      </w:r>
      <w:r>
        <w:rPr>
          <w:rFonts w:ascii="Times New Roman" w:hAnsi="Times New Roman"/>
          <w:sz w:val="20"/>
          <w:lang w:val="pt-BR"/>
        </w:rPr>
        <w:t xml:space="preserve"> *</w:t>
      </w:r>
    </w:p>
    <w:p w14:paraId="5A88B038" w14:textId="77777777" w:rsidR="00B76F9F" w:rsidRPr="002730B7" w:rsidRDefault="00EA4E1B" w:rsidP="00EA4E1B">
      <w:pPr>
        <w:pStyle w:val="BCAuthorAddress"/>
        <w:spacing w:after="0"/>
        <w:ind w:right="0"/>
        <w:jc w:val="both"/>
        <w:rPr>
          <w:vertAlign w:val="superscript"/>
          <w:lang w:val="pt-BR"/>
        </w:rPr>
      </w:pPr>
      <w:r w:rsidRPr="002730B7">
        <w:rPr>
          <w:vertAlign w:val="superscript"/>
          <w:lang w:val="pt-BR"/>
        </w:rPr>
        <w:t>1</w:t>
      </w:r>
      <w:r w:rsidR="00B76F9F" w:rsidRPr="002730B7">
        <w:rPr>
          <w:lang w:val="pt-BR"/>
        </w:rPr>
        <w:t>University of Lille, CNRS, Centrale Lille, University of Artois, UMR 8181—UCCS—Unité de Catalyse et Chimiedu Solide, F-59000 Lille, France</w:t>
      </w:r>
    </w:p>
    <w:p w14:paraId="48DD45C9" w14:textId="77777777" w:rsidR="00EA4E1B" w:rsidRDefault="00B76F9F" w:rsidP="00EA4E1B">
      <w:pPr>
        <w:pStyle w:val="BCAuthorAddress"/>
        <w:spacing w:after="0"/>
        <w:ind w:right="0"/>
        <w:jc w:val="both"/>
        <w:rPr>
          <w:lang w:val="pt-BR"/>
        </w:rPr>
      </w:pPr>
      <w:r>
        <w:rPr>
          <w:vertAlign w:val="superscript"/>
          <w:lang w:val="pt-BR"/>
        </w:rPr>
        <w:t>2.</w:t>
      </w:r>
      <w:r>
        <w:rPr>
          <w:lang w:val="pt-BR"/>
        </w:rPr>
        <w:t>Instituto Nacional de Tecnologia, divisão de catálise, Av. Venezuela 82, Rio de Jan</w:t>
      </w:r>
      <w:r w:rsidR="008750F9">
        <w:rPr>
          <w:lang w:val="pt-BR"/>
        </w:rPr>
        <w:t>e</w:t>
      </w:r>
      <w:r>
        <w:rPr>
          <w:lang w:val="pt-BR"/>
        </w:rPr>
        <w:t>iro, 20081-312, Brasil.</w:t>
      </w:r>
    </w:p>
    <w:p w14:paraId="6BCB0A02" w14:textId="77777777" w:rsidR="00B76F9F" w:rsidRPr="00B76F9F" w:rsidRDefault="00B76F9F" w:rsidP="00B76F9F">
      <w:pPr>
        <w:rPr>
          <w:lang w:eastAsia="pt-BR"/>
        </w:rPr>
      </w:pPr>
      <w:r>
        <w:rPr>
          <w:lang w:eastAsia="pt-BR"/>
        </w:rPr>
        <w:t>*</w:t>
      </w:r>
      <w:r w:rsidRPr="007C4C6A">
        <w:rPr>
          <w:rFonts w:ascii="Times" w:eastAsia="Times New Roman" w:hAnsi="Times" w:cs="Times New Roman"/>
          <w:i/>
          <w:sz w:val="20"/>
          <w:szCs w:val="20"/>
          <w:lang w:eastAsia="pt-BR"/>
        </w:rPr>
        <w:t>Fabio.bellot@int.gov.br</w:t>
      </w:r>
    </w:p>
    <w:bookmarkEnd w:id="0"/>
    <w:p w14:paraId="674BCE55" w14:textId="534EA586" w:rsidR="00AF0400" w:rsidRDefault="00B7045E"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4D5A20AE" wp14:editId="197FB4FA">
                <wp:simplePos x="0" y="0"/>
                <wp:positionH relativeFrom="margin">
                  <wp:align>right</wp:align>
                </wp:positionH>
                <wp:positionV relativeFrom="paragraph">
                  <wp:posOffset>34925</wp:posOffset>
                </wp:positionV>
                <wp:extent cx="6507480" cy="167640"/>
                <wp:effectExtent l="0" t="0" r="0" b="0"/>
                <wp:wrapNone/>
                <wp:docPr id="184770218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317FD"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37DBF551" w14:textId="77777777"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A20AE"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1CA317FD"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37DBF551" w14:textId="77777777" w:rsidR="00AF0400" w:rsidRPr="008C1B30" w:rsidRDefault="00AF0400" w:rsidP="008C1B30">
                      <w:pPr>
                        <w:pStyle w:val="SemEspaamento"/>
                      </w:pPr>
                    </w:p>
                  </w:txbxContent>
                </v:textbox>
                <w10:wrap anchorx="margin"/>
              </v:rect>
            </w:pict>
          </mc:Fallback>
        </mc:AlternateContent>
      </w:r>
    </w:p>
    <w:p w14:paraId="62378A63" w14:textId="77777777" w:rsidR="00AF0400" w:rsidRDefault="00AF0400" w:rsidP="00EA4E1B">
      <w:pPr>
        <w:pStyle w:val="BDAbstract"/>
        <w:spacing w:before="0" w:after="0" w:line="240" w:lineRule="auto"/>
        <w:rPr>
          <w:rFonts w:ascii="Times New Roman" w:hAnsi="Times New Roman"/>
          <w:b w:val="0"/>
          <w:sz w:val="20"/>
          <w:lang w:val="pt-BR"/>
        </w:rPr>
      </w:pPr>
    </w:p>
    <w:p w14:paraId="07C4ED4E" w14:textId="77777777" w:rsidR="000A7087"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2E04E3" w:rsidRPr="002E04E3">
        <w:rPr>
          <w:rFonts w:ascii="Times New Roman" w:hAnsi="Times New Roman"/>
          <w:b w:val="0"/>
          <w:sz w:val="20"/>
          <w:lang w:val="pt-BR"/>
        </w:rPr>
        <w:t xml:space="preserve">Este trabalho investiga o papel do suporte e do tamanho das partículas metálicas no desempenho de catalisadores à base de Pd para a hidroconversão do </w:t>
      </w:r>
      <w:r w:rsidR="002E04E3">
        <w:rPr>
          <w:rFonts w:ascii="Times New Roman" w:hAnsi="Times New Roman"/>
          <w:b w:val="0"/>
          <w:sz w:val="20"/>
          <w:lang w:val="pt-BR"/>
        </w:rPr>
        <w:t>fenetóxibenzeno</w:t>
      </w:r>
      <w:r w:rsidR="00B7481B">
        <w:rPr>
          <w:rFonts w:ascii="Times New Roman" w:hAnsi="Times New Roman"/>
          <w:b w:val="0"/>
          <w:sz w:val="20"/>
          <w:lang w:val="pt-BR"/>
        </w:rPr>
        <w:t xml:space="preserve"> (</w:t>
      </w:r>
      <w:r w:rsidR="00537F17">
        <w:rPr>
          <w:rFonts w:ascii="Times New Roman" w:hAnsi="Times New Roman"/>
          <w:b w:val="0"/>
          <w:sz w:val="20"/>
          <w:lang w:val="pt-BR"/>
        </w:rPr>
        <w:t>FEB</w:t>
      </w:r>
      <w:r w:rsidR="00B7481B">
        <w:rPr>
          <w:rFonts w:ascii="Times New Roman" w:hAnsi="Times New Roman"/>
          <w:b w:val="0"/>
          <w:sz w:val="20"/>
          <w:lang w:val="pt-BR"/>
        </w:rPr>
        <w:t xml:space="preserve">) </w:t>
      </w:r>
      <w:r w:rsidR="002E04E3">
        <w:rPr>
          <w:rFonts w:ascii="Times New Roman" w:hAnsi="Times New Roman"/>
          <w:b w:val="0"/>
          <w:sz w:val="20"/>
          <w:lang w:val="pt-BR"/>
        </w:rPr>
        <w:t>em</w:t>
      </w:r>
      <w:r w:rsidR="002E04E3" w:rsidRPr="002E04E3">
        <w:rPr>
          <w:rFonts w:ascii="Times New Roman" w:hAnsi="Times New Roman"/>
          <w:b w:val="0"/>
          <w:sz w:val="20"/>
          <w:lang w:val="pt-BR"/>
        </w:rPr>
        <w:t xml:space="preserve"> fase líquida.</w:t>
      </w:r>
      <w:r w:rsidR="000A7087" w:rsidRPr="000A7087">
        <w:rPr>
          <w:rFonts w:ascii="Times New Roman" w:hAnsi="Times New Roman"/>
          <w:b w:val="0"/>
          <w:sz w:val="20"/>
          <w:lang w:val="pt-BR"/>
        </w:rPr>
        <w:t>Os catalisadores à base de Pd foram sintetizados em TiO</w:t>
      </w:r>
      <w:r w:rsidR="000A7087" w:rsidRPr="000A7087">
        <w:rPr>
          <w:rFonts w:ascii="Times New Roman" w:hAnsi="Times New Roman"/>
          <w:b w:val="0"/>
          <w:sz w:val="20"/>
          <w:vertAlign w:val="subscript"/>
          <w:lang w:val="pt-BR"/>
        </w:rPr>
        <w:t>2</w:t>
      </w:r>
      <w:r w:rsidR="000A7087" w:rsidRPr="000A7087">
        <w:rPr>
          <w:rFonts w:ascii="Times New Roman" w:hAnsi="Times New Roman"/>
          <w:b w:val="0"/>
          <w:sz w:val="20"/>
          <w:lang w:val="pt-BR"/>
        </w:rPr>
        <w:t xml:space="preserve"> e Nb</w:t>
      </w:r>
      <w:r w:rsidR="000A7087" w:rsidRPr="000A7087">
        <w:rPr>
          <w:rFonts w:ascii="Times New Roman" w:hAnsi="Times New Roman"/>
          <w:b w:val="0"/>
          <w:sz w:val="20"/>
          <w:vertAlign w:val="subscript"/>
          <w:lang w:val="pt-BR"/>
        </w:rPr>
        <w:t>2</w:t>
      </w:r>
      <w:r w:rsidR="000A7087" w:rsidRPr="000A7087">
        <w:rPr>
          <w:rFonts w:ascii="Times New Roman" w:hAnsi="Times New Roman"/>
          <w:b w:val="0"/>
          <w:sz w:val="20"/>
          <w:lang w:val="pt-BR"/>
        </w:rPr>
        <w:t>O</w:t>
      </w:r>
      <w:r w:rsidR="000A7087" w:rsidRPr="000A7087">
        <w:rPr>
          <w:rFonts w:ascii="Times New Roman" w:hAnsi="Times New Roman"/>
          <w:b w:val="0"/>
          <w:sz w:val="20"/>
          <w:vertAlign w:val="subscript"/>
          <w:lang w:val="pt-BR"/>
        </w:rPr>
        <w:t>5</w:t>
      </w:r>
      <w:r w:rsidR="000A7087" w:rsidRPr="000A7087">
        <w:rPr>
          <w:rFonts w:ascii="Times New Roman" w:hAnsi="Times New Roman"/>
          <w:b w:val="0"/>
          <w:sz w:val="20"/>
          <w:lang w:val="pt-BR"/>
        </w:rPr>
        <w:t>, por impregnação ao</w:t>
      </w:r>
      <w:r w:rsidR="000A7087">
        <w:rPr>
          <w:rFonts w:ascii="Times New Roman" w:hAnsi="Times New Roman"/>
          <w:b w:val="0"/>
          <w:sz w:val="20"/>
          <w:lang w:val="pt-BR"/>
        </w:rPr>
        <w:t xml:space="preserve"> ponto úmido</w:t>
      </w:r>
      <w:r w:rsidR="000A7087" w:rsidRPr="000A7087">
        <w:rPr>
          <w:rFonts w:ascii="Times New Roman" w:hAnsi="Times New Roman"/>
          <w:b w:val="0"/>
          <w:sz w:val="20"/>
          <w:lang w:val="pt-BR"/>
        </w:rPr>
        <w:t xml:space="preserve"> (tamanho de partícula &gt;4 nm) e </w:t>
      </w:r>
      <w:r w:rsidR="000A7087">
        <w:rPr>
          <w:rFonts w:ascii="Times New Roman" w:hAnsi="Times New Roman"/>
          <w:b w:val="0"/>
          <w:sz w:val="20"/>
          <w:lang w:val="pt-BR"/>
        </w:rPr>
        <w:t>por</w:t>
      </w:r>
      <w:r w:rsidR="000A7087" w:rsidRPr="000A7087">
        <w:rPr>
          <w:rFonts w:ascii="Times New Roman" w:hAnsi="Times New Roman"/>
          <w:b w:val="0"/>
          <w:sz w:val="20"/>
          <w:lang w:val="pt-BR"/>
        </w:rPr>
        <w:t xml:space="preserve"> imobilização (tamanho de partícula &lt;4 nm). </w:t>
      </w:r>
      <w:r w:rsidR="00B7481B">
        <w:rPr>
          <w:rFonts w:ascii="Times New Roman" w:hAnsi="Times New Roman"/>
          <w:b w:val="0"/>
          <w:sz w:val="20"/>
          <w:lang w:val="pt-BR"/>
        </w:rPr>
        <w:t>Os resultados mostraram que a</w:t>
      </w:r>
      <w:r w:rsidR="000A7087" w:rsidRPr="000A7087">
        <w:rPr>
          <w:rFonts w:ascii="Times New Roman" w:hAnsi="Times New Roman"/>
          <w:b w:val="0"/>
          <w:sz w:val="20"/>
          <w:lang w:val="pt-BR"/>
        </w:rPr>
        <w:t xml:space="preserve"> conversão de </w:t>
      </w:r>
      <w:r w:rsidR="00B7481B">
        <w:rPr>
          <w:rFonts w:ascii="Times New Roman" w:hAnsi="Times New Roman"/>
          <w:b w:val="0"/>
          <w:sz w:val="20"/>
          <w:lang w:val="pt-BR"/>
        </w:rPr>
        <w:t>FEB</w:t>
      </w:r>
      <w:r w:rsidR="000A7087" w:rsidRPr="000A7087">
        <w:rPr>
          <w:rFonts w:ascii="Times New Roman" w:hAnsi="Times New Roman"/>
          <w:b w:val="0"/>
          <w:sz w:val="20"/>
          <w:lang w:val="pt-BR"/>
        </w:rPr>
        <w:t xml:space="preserve">só </w:t>
      </w:r>
      <w:r w:rsidR="00B7481B">
        <w:rPr>
          <w:rFonts w:ascii="Times New Roman" w:hAnsi="Times New Roman"/>
          <w:b w:val="0"/>
          <w:sz w:val="20"/>
          <w:lang w:val="pt-BR"/>
        </w:rPr>
        <w:t>ocorreu</w:t>
      </w:r>
      <w:r w:rsidR="000A7087" w:rsidRPr="000A7087">
        <w:rPr>
          <w:rFonts w:ascii="Times New Roman" w:hAnsi="Times New Roman"/>
          <w:b w:val="0"/>
          <w:sz w:val="20"/>
          <w:lang w:val="pt-BR"/>
        </w:rPr>
        <w:t xml:space="preserve"> na presença de sítios de ácido</w:t>
      </w:r>
      <w:r w:rsidR="000A7087">
        <w:rPr>
          <w:rFonts w:ascii="Times New Roman" w:hAnsi="Times New Roman"/>
          <w:b w:val="0"/>
          <w:sz w:val="20"/>
          <w:lang w:val="pt-BR"/>
        </w:rPr>
        <w:t>s</w:t>
      </w:r>
      <w:r w:rsidR="000A7087" w:rsidRPr="000A7087">
        <w:rPr>
          <w:rFonts w:ascii="Times New Roman" w:hAnsi="Times New Roman"/>
          <w:b w:val="0"/>
          <w:sz w:val="20"/>
          <w:lang w:val="pt-BR"/>
        </w:rPr>
        <w:t xml:space="preserve"> de Brönsted (BAS). </w:t>
      </w:r>
      <w:r w:rsidR="00B7481B">
        <w:rPr>
          <w:rFonts w:ascii="Times New Roman" w:hAnsi="Times New Roman"/>
          <w:b w:val="0"/>
          <w:sz w:val="20"/>
          <w:lang w:val="pt-BR"/>
        </w:rPr>
        <w:t>Catalisadores com partículas grandes favoreceram a hidrogenólise da ligaç</w:t>
      </w:r>
      <w:r w:rsidR="00537F17">
        <w:rPr>
          <w:rFonts w:ascii="Times New Roman" w:hAnsi="Times New Roman"/>
          <w:b w:val="0"/>
          <w:sz w:val="20"/>
          <w:lang w:val="pt-BR"/>
        </w:rPr>
        <w:t>ão C-O do FEB</w:t>
      </w:r>
      <w:r w:rsidR="00B7481B">
        <w:rPr>
          <w:rFonts w:ascii="Times New Roman" w:hAnsi="Times New Roman"/>
          <w:b w:val="0"/>
          <w:sz w:val="20"/>
          <w:lang w:val="pt-BR"/>
        </w:rPr>
        <w:t>, enquanto partículas pequenas levaram a hidrogen</w:t>
      </w:r>
      <w:r w:rsidR="00537F17">
        <w:rPr>
          <w:rFonts w:ascii="Times New Roman" w:hAnsi="Times New Roman"/>
          <w:b w:val="0"/>
          <w:sz w:val="20"/>
          <w:lang w:val="pt-BR"/>
        </w:rPr>
        <w:t>ação dos anéis aromáticos do FEB</w:t>
      </w:r>
      <w:r w:rsidR="00B7481B">
        <w:rPr>
          <w:rFonts w:ascii="Times New Roman" w:hAnsi="Times New Roman"/>
          <w:b w:val="0"/>
          <w:sz w:val="20"/>
          <w:lang w:val="pt-BR"/>
        </w:rPr>
        <w:t xml:space="preserve">. </w:t>
      </w:r>
      <w:r w:rsidR="000A7087" w:rsidRPr="000A7087">
        <w:rPr>
          <w:rFonts w:ascii="Times New Roman" w:hAnsi="Times New Roman"/>
          <w:b w:val="0"/>
          <w:sz w:val="20"/>
          <w:lang w:val="pt-BR"/>
        </w:rPr>
        <w:t>Além disso, a formação de cicloexano foi favorecida quando os BAS estavam envolvidos</w:t>
      </w:r>
      <w:r w:rsidR="00B7481B">
        <w:rPr>
          <w:rFonts w:ascii="Times New Roman" w:hAnsi="Times New Roman"/>
          <w:b w:val="0"/>
          <w:sz w:val="20"/>
          <w:lang w:val="pt-BR"/>
        </w:rPr>
        <w:t>.</w:t>
      </w:r>
      <w:r w:rsidR="000A7087" w:rsidRPr="000A7087">
        <w:rPr>
          <w:rFonts w:ascii="Times New Roman" w:hAnsi="Times New Roman"/>
          <w:b w:val="0"/>
          <w:sz w:val="20"/>
          <w:lang w:val="pt-BR"/>
        </w:rPr>
        <w:t xml:space="preserve"> Esses resultados enfatizam a importância do equilíbrio entre o tamanho da partícula e a acidez do suporte para a produção de ciclo</w:t>
      </w:r>
      <w:r w:rsidR="000A7087">
        <w:rPr>
          <w:rFonts w:ascii="Times New Roman" w:hAnsi="Times New Roman"/>
          <w:b w:val="0"/>
          <w:sz w:val="20"/>
          <w:lang w:val="pt-BR"/>
        </w:rPr>
        <w:t>-</w:t>
      </w:r>
      <w:r w:rsidR="000A7087" w:rsidRPr="000A7087">
        <w:rPr>
          <w:rFonts w:ascii="Times New Roman" w:hAnsi="Times New Roman"/>
          <w:b w:val="0"/>
          <w:sz w:val="20"/>
          <w:lang w:val="pt-BR"/>
        </w:rPr>
        <w:t>alcanos a partir de éteres de arila.</w:t>
      </w:r>
    </w:p>
    <w:p w14:paraId="28D08E0C" w14:textId="7777777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0A7087">
        <w:rPr>
          <w:rFonts w:ascii="Times New Roman" w:hAnsi="Times New Roman"/>
          <w:b w:val="0"/>
          <w:i/>
          <w:sz w:val="20"/>
          <w:lang w:val="pt-BR"/>
        </w:rPr>
        <w:t>Hidrodesoxigenação, fenetoxibenzeno, lignina.</w:t>
      </w:r>
    </w:p>
    <w:p w14:paraId="63E62B7D" w14:textId="77777777" w:rsidR="00EA4E1B" w:rsidRPr="00DA4DFC" w:rsidRDefault="00EA4E1B" w:rsidP="00EA4E1B">
      <w:pPr>
        <w:pStyle w:val="BDAbstract"/>
        <w:spacing w:before="0" w:after="0" w:line="240" w:lineRule="auto"/>
        <w:rPr>
          <w:rFonts w:ascii="Times New Roman" w:hAnsi="Times New Roman"/>
          <w:b w:val="0"/>
          <w:sz w:val="20"/>
          <w:lang w:val="pt-BR"/>
        </w:rPr>
      </w:pPr>
    </w:p>
    <w:p w14:paraId="101F3F0B" w14:textId="77777777" w:rsidR="00B7481B" w:rsidRPr="00B7481B" w:rsidRDefault="00EA4E1B" w:rsidP="00B7481B">
      <w:pPr>
        <w:pStyle w:val="BDAbstract"/>
        <w:spacing w:after="0" w:line="240" w:lineRule="auto"/>
        <w:rPr>
          <w:rFonts w:ascii="Times New Roman" w:hAnsi="Times New Roman"/>
          <w:b w:val="0"/>
          <w:sz w:val="20"/>
        </w:rPr>
      </w:pPr>
      <w:r w:rsidRPr="00B544BE">
        <w:rPr>
          <w:rFonts w:ascii="Times New Roman" w:hAnsi="Times New Roman"/>
          <w:b w:val="0"/>
          <w:sz w:val="20"/>
        </w:rPr>
        <w:t xml:space="preserve">ABSTRACT - </w:t>
      </w:r>
      <w:r w:rsidR="00B7481B" w:rsidRPr="00B7481B">
        <w:rPr>
          <w:rFonts w:ascii="Times New Roman" w:hAnsi="Times New Roman"/>
          <w:b w:val="0"/>
          <w:sz w:val="20"/>
        </w:rPr>
        <w:t>This work investigates the role of support and metal particle size on the performance of Pd-based catalysts for the hydroconv</w:t>
      </w:r>
      <w:r w:rsidR="00537F17">
        <w:rPr>
          <w:rFonts w:ascii="Times New Roman" w:hAnsi="Times New Roman"/>
          <w:b w:val="0"/>
          <w:sz w:val="20"/>
        </w:rPr>
        <w:t>ersion of phenethoxybenzene (FEB</w:t>
      </w:r>
      <w:r w:rsidR="00B7481B" w:rsidRPr="00B7481B">
        <w:rPr>
          <w:rFonts w:ascii="Times New Roman" w:hAnsi="Times New Roman"/>
          <w:b w:val="0"/>
          <w:sz w:val="20"/>
        </w:rPr>
        <w:t>) in liquid phase. Pd-based catalysts were synthesized on TiO</w:t>
      </w:r>
      <w:r w:rsidR="00B7481B" w:rsidRPr="00B7481B">
        <w:rPr>
          <w:rFonts w:ascii="Times New Roman" w:hAnsi="Times New Roman"/>
          <w:b w:val="0"/>
          <w:sz w:val="20"/>
          <w:vertAlign w:val="subscript"/>
        </w:rPr>
        <w:t>2</w:t>
      </w:r>
      <w:r w:rsidR="00B7481B" w:rsidRPr="00B7481B">
        <w:rPr>
          <w:rFonts w:ascii="Times New Roman" w:hAnsi="Times New Roman"/>
          <w:b w:val="0"/>
          <w:sz w:val="20"/>
        </w:rPr>
        <w:t xml:space="preserve"> and Nb</w:t>
      </w:r>
      <w:r w:rsidR="00B7481B" w:rsidRPr="00B7481B">
        <w:rPr>
          <w:rFonts w:ascii="Times New Roman" w:hAnsi="Times New Roman"/>
          <w:b w:val="0"/>
          <w:sz w:val="20"/>
          <w:vertAlign w:val="subscript"/>
        </w:rPr>
        <w:t>2</w:t>
      </w:r>
      <w:r w:rsidR="00B7481B" w:rsidRPr="00B7481B">
        <w:rPr>
          <w:rFonts w:ascii="Times New Roman" w:hAnsi="Times New Roman"/>
          <w:b w:val="0"/>
          <w:sz w:val="20"/>
        </w:rPr>
        <w:t>O</w:t>
      </w:r>
      <w:r w:rsidR="00B7481B" w:rsidRPr="00B7481B">
        <w:rPr>
          <w:rFonts w:ascii="Times New Roman" w:hAnsi="Times New Roman"/>
          <w:b w:val="0"/>
          <w:sz w:val="20"/>
          <w:vertAlign w:val="subscript"/>
        </w:rPr>
        <w:t>5</w:t>
      </w:r>
      <w:r w:rsidR="00B7481B" w:rsidRPr="00B7481B">
        <w:rPr>
          <w:rFonts w:ascii="Times New Roman" w:hAnsi="Times New Roman"/>
          <w:b w:val="0"/>
          <w:sz w:val="20"/>
        </w:rPr>
        <w:t xml:space="preserve">, by </w:t>
      </w:r>
      <w:r w:rsidR="00B7481B">
        <w:rPr>
          <w:rFonts w:ascii="Times New Roman" w:hAnsi="Times New Roman"/>
          <w:b w:val="0"/>
          <w:sz w:val="20"/>
        </w:rPr>
        <w:t>incipient wetness</w:t>
      </w:r>
      <w:r w:rsidR="00B7481B" w:rsidRPr="00B7481B">
        <w:rPr>
          <w:rFonts w:ascii="Times New Roman" w:hAnsi="Times New Roman"/>
          <w:b w:val="0"/>
          <w:sz w:val="20"/>
        </w:rPr>
        <w:t xml:space="preserve"> impregnation (particle size &gt;4 nm) and by immobilization (particle size &lt;4 nm). The results s</w:t>
      </w:r>
      <w:r w:rsidR="00B7481B">
        <w:rPr>
          <w:rFonts w:ascii="Times New Roman" w:hAnsi="Times New Roman"/>
          <w:b w:val="0"/>
          <w:sz w:val="20"/>
        </w:rPr>
        <w:t xml:space="preserve">howed that the conversion of </w:t>
      </w:r>
      <w:r w:rsidR="00537F17">
        <w:rPr>
          <w:rFonts w:ascii="Times New Roman" w:hAnsi="Times New Roman"/>
          <w:b w:val="0"/>
          <w:sz w:val="20"/>
        </w:rPr>
        <w:t>FEB</w:t>
      </w:r>
      <w:r w:rsidR="00B7481B" w:rsidRPr="00B7481B">
        <w:rPr>
          <w:rFonts w:ascii="Times New Roman" w:hAnsi="Times New Roman"/>
          <w:b w:val="0"/>
          <w:sz w:val="20"/>
        </w:rPr>
        <w:t xml:space="preserve"> only occurred in the presence of Brönsted acid sites (BAS). Catalysts with large particles </w:t>
      </w:r>
      <w:r w:rsidR="00B7481B">
        <w:rPr>
          <w:rFonts w:ascii="Times New Roman" w:hAnsi="Times New Roman"/>
          <w:b w:val="0"/>
          <w:sz w:val="20"/>
        </w:rPr>
        <w:t xml:space="preserve">size </w:t>
      </w:r>
      <w:r w:rsidR="00B7481B" w:rsidRPr="00B7481B">
        <w:rPr>
          <w:rFonts w:ascii="Times New Roman" w:hAnsi="Times New Roman"/>
          <w:b w:val="0"/>
          <w:sz w:val="20"/>
        </w:rPr>
        <w:t>favored the hydroge</w:t>
      </w:r>
      <w:r w:rsidR="00B7481B">
        <w:rPr>
          <w:rFonts w:ascii="Times New Roman" w:hAnsi="Times New Roman"/>
          <w:b w:val="0"/>
          <w:sz w:val="20"/>
        </w:rPr>
        <w:t xml:space="preserve">nolysis of the C-O bond of the </w:t>
      </w:r>
      <w:r w:rsidR="00537F17">
        <w:rPr>
          <w:rFonts w:ascii="Times New Roman" w:hAnsi="Times New Roman"/>
          <w:b w:val="0"/>
          <w:sz w:val="20"/>
        </w:rPr>
        <w:t>FEB</w:t>
      </w:r>
      <w:r w:rsidR="00B7481B" w:rsidRPr="00B7481B">
        <w:rPr>
          <w:rFonts w:ascii="Times New Roman" w:hAnsi="Times New Roman"/>
          <w:b w:val="0"/>
          <w:sz w:val="20"/>
        </w:rPr>
        <w:t xml:space="preserve">, while small particles led to hydrogenation of the aromatic rings of the </w:t>
      </w:r>
      <w:r w:rsidR="00537F17">
        <w:rPr>
          <w:rFonts w:ascii="Times New Roman" w:hAnsi="Times New Roman"/>
          <w:b w:val="0"/>
          <w:sz w:val="20"/>
        </w:rPr>
        <w:t>FEB</w:t>
      </w:r>
      <w:r w:rsidR="00B7481B">
        <w:rPr>
          <w:rFonts w:ascii="Times New Roman" w:hAnsi="Times New Roman"/>
          <w:b w:val="0"/>
          <w:sz w:val="20"/>
        </w:rPr>
        <w:t>. Moreover, cyclohexane was favored when BAS</w:t>
      </w:r>
      <w:r w:rsidR="00B7481B" w:rsidRPr="00B7481B">
        <w:rPr>
          <w:rFonts w:ascii="Times New Roman" w:hAnsi="Times New Roman"/>
          <w:b w:val="0"/>
          <w:sz w:val="20"/>
        </w:rPr>
        <w:t xml:space="preserve"> were involved. These results emphasize the importance of the balance between particle size and support acidity for the production of cycloalkanes from aryl ethers.</w:t>
      </w:r>
    </w:p>
    <w:p w14:paraId="19C23A4D" w14:textId="77777777" w:rsidR="00EA4E1B" w:rsidRDefault="00EA4E1B" w:rsidP="00B748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Keywords:</w:t>
      </w:r>
      <w:r w:rsidR="00A92178" w:rsidRPr="00A92178">
        <w:rPr>
          <w:rFonts w:ascii="Times New Roman" w:hAnsi="Times New Roman"/>
          <w:b w:val="0"/>
          <w:i/>
          <w:sz w:val="20"/>
          <w:lang w:val="pt-BR"/>
        </w:rPr>
        <w:t>Hydrodeoxygenation</w:t>
      </w:r>
      <w:r w:rsidR="006C58F1">
        <w:rPr>
          <w:rFonts w:ascii="Times New Roman" w:hAnsi="Times New Roman"/>
          <w:b w:val="0"/>
          <w:i/>
          <w:sz w:val="20"/>
          <w:lang w:val="pt-BR"/>
        </w:rPr>
        <w:t>, phenethoxybenzene, lignin</w:t>
      </w:r>
    </w:p>
    <w:bookmarkEnd w:id="1"/>
    <w:p w14:paraId="4B436361" w14:textId="77777777"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14:paraId="73485E0C"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w:t>
      </w:r>
      <w:r w:rsidR="0019443C">
        <w:rPr>
          <w:rFonts w:ascii="Helvetica" w:hAnsi="Helvetica" w:cs="Helvetica"/>
          <w:sz w:val="24"/>
          <w:szCs w:val="24"/>
        </w:rPr>
        <w:t>ção</w:t>
      </w:r>
    </w:p>
    <w:p w14:paraId="3A4CDC15" w14:textId="20D721CE" w:rsidR="00DD1549" w:rsidRPr="004B57DF" w:rsidRDefault="00180EF0" w:rsidP="00535C02">
      <w:pPr>
        <w:pStyle w:val="TAMainText"/>
        <w:rPr>
          <w:rFonts w:ascii="Times New Roman" w:hAnsi="Times New Roman"/>
          <w:bCs/>
          <w:lang w:val="pt-BR"/>
        </w:rPr>
      </w:pPr>
      <w:r w:rsidRPr="00180EF0">
        <w:rPr>
          <w:rFonts w:ascii="Times New Roman" w:hAnsi="Times New Roman"/>
          <w:bCs/>
          <w:lang w:val="pt-BR"/>
        </w:rPr>
        <w:t>O bio</w:t>
      </w:r>
      <w:r w:rsidR="00292AD0">
        <w:rPr>
          <w:rFonts w:ascii="Times New Roman" w:hAnsi="Times New Roman"/>
          <w:bCs/>
          <w:lang w:val="pt-BR"/>
        </w:rPr>
        <w:t>-</w:t>
      </w:r>
      <w:r w:rsidRPr="00180EF0">
        <w:rPr>
          <w:rFonts w:ascii="Times New Roman" w:hAnsi="Times New Roman"/>
          <w:bCs/>
          <w:lang w:val="pt-BR"/>
        </w:rPr>
        <w:t>óleo produzido através da pirólise rápida da biomassa lignocelulósica</w:t>
      </w:r>
      <w:r w:rsidR="00292AD0">
        <w:rPr>
          <w:rFonts w:ascii="Times New Roman" w:hAnsi="Times New Roman"/>
          <w:bCs/>
          <w:lang w:val="pt-BR"/>
        </w:rPr>
        <w:t xml:space="preserve"> vem sendo considerado uma fonte potencial para a substit</w:t>
      </w:r>
      <w:r w:rsidR="00292AD0" w:rsidRPr="004B57DF">
        <w:rPr>
          <w:rFonts w:ascii="Times New Roman" w:hAnsi="Times New Roman"/>
          <w:bCs/>
          <w:lang w:val="pt-BR"/>
        </w:rPr>
        <w:t>uição de combustíveis fósseis (</w:t>
      </w:r>
      <w:r w:rsidR="002730B7" w:rsidRPr="004B57DF">
        <w:rPr>
          <w:rFonts w:ascii="Times New Roman" w:hAnsi="Times New Roman"/>
          <w:bCs/>
          <w:lang w:val="pt-BR"/>
        </w:rPr>
        <w:t>1</w:t>
      </w:r>
      <w:r w:rsidR="00292AD0" w:rsidRPr="004B57DF">
        <w:rPr>
          <w:rFonts w:ascii="Times New Roman" w:hAnsi="Times New Roman"/>
          <w:bCs/>
          <w:lang w:val="pt-BR"/>
        </w:rPr>
        <w:t xml:space="preserve">). Entretanto, </w:t>
      </w:r>
      <w:r w:rsidR="006F2280" w:rsidRPr="004B57DF">
        <w:rPr>
          <w:rFonts w:ascii="Times New Roman" w:hAnsi="Times New Roman"/>
          <w:bCs/>
          <w:lang w:val="pt-BR"/>
        </w:rPr>
        <w:t>em razão da</w:t>
      </w:r>
      <w:r w:rsidR="00310B4D" w:rsidRPr="004B57DF">
        <w:rPr>
          <w:rFonts w:ascii="Times New Roman" w:hAnsi="Times New Roman"/>
          <w:bCs/>
          <w:lang w:val="pt-BR"/>
        </w:rPr>
        <w:t xml:space="preserve"> sua baixa qualidade, causada principalmente pelo </w:t>
      </w:r>
      <w:r w:rsidR="007C4C6A" w:rsidRPr="004B57DF">
        <w:rPr>
          <w:rFonts w:ascii="Times New Roman" w:hAnsi="Times New Roman"/>
          <w:bCs/>
          <w:lang w:val="pt-BR"/>
        </w:rPr>
        <w:t xml:space="preserve">seu </w:t>
      </w:r>
      <w:r w:rsidR="00292AD0" w:rsidRPr="004B57DF">
        <w:rPr>
          <w:rFonts w:ascii="Times New Roman" w:hAnsi="Times New Roman"/>
          <w:bCs/>
          <w:lang w:val="pt-BR"/>
        </w:rPr>
        <w:t>alto teor de oxigênio</w:t>
      </w:r>
      <w:r w:rsidR="00310B4D" w:rsidRPr="004B57DF">
        <w:rPr>
          <w:rFonts w:ascii="Times New Roman" w:hAnsi="Times New Roman"/>
          <w:bCs/>
          <w:lang w:val="pt-BR"/>
        </w:rPr>
        <w:t>, é fundamental o desenvolvimento de tecnologias de beneficiamento</w:t>
      </w:r>
      <w:r w:rsidR="00DD1549" w:rsidRPr="004B57DF">
        <w:rPr>
          <w:rFonts w:ascii="Times New Roman" w:hAnsi="Times New Roman"/>
          <w:bCs/>
          <w:lang w:val="pt-BR"/>
        </w:rPr>
        <w:t xml:space="preserve"> que possibilitem seu uso direto como combustível</w:t>
      </w:r>
      <w:r w:rsidR="00E97C02">
        <w:rPr>
          <w:rFonts w:ascii="Times New Roman" w:hAnsi="Times New Roman"/>
          <w:bCs/>
          <w:lang w:val="pt-BR"/>
        </w:rPr>
        <w:t xml:space="preserve"> </w:t>
      </w:r>
      <w:r w:rsidR="007C4C6A" w:rsidRPr="004B57DF">
        <w:rPr>
          <w:rFonts w:ascii="Times New Roman" w:hAnsi="Times New Roman"/>
          <w:bCs/>
          <w:lang w:val="pt-BR"/>
        </w:rPr>
        <w:t>(</w:t>
      </w:r>
      <w:r w:rsidR="004A37F2" w:rsidRPr="004B57DF">
        <w:rPr>
          <w:rFonts w:ascii="Times New Roman" w:hAnsi="Times New Roman"/>
          <w:bCs/>
          <w:lang w:val="pt-BR"/>
        </w:rPr>
        <w:t>2</w:t>
      </w:r>
      <w:r w:rsidR="007C4C6A" w:rsidRPr="004B57DF">
        <w:rPr>
          <w:rFonts w:ascii="Times New Roman" w:hAnsi="Times New Roman"/>
          <w:bCs/>
          <w:lang w:val="pt-BR"/>
        </w:rPr>
        <w:t>)</w:t>
      </w:r>
      <w:r w:rsidR="00310B4D" w:rsidRPr="004B57DF">
        <w:rPr>
          <w:rFonts w:ascii="Times New Roman" w:hAnsi="Times New Roman"/>
          <w:bCs/>
          <w:lang w:val="pt-BR"/>
        </w:rPr>
        <w:t>.</w:t>
      </w:r>
    </w:p>
    <w:p w14:paraId="31A3F6DC" w14:textId="667AC00C" w:rsidR="00EA4E1B" w:rsidRDefault="00DD1549" w:rsidP="00535C02">
      <w:pPr>
        <w:pStyle w:val="TAMainText"/>
        <w:rPr>
          <w:rFonts w:ascii="Times New Roman" w:hAnsi="Times New Roman"/>
          <w:bCs/>
          <w:lang w:val="pt-BR"/>
        </w:rPr>
      </w:pPr>
      <w:r w:rsidRPr="004B57DF">
        <w:rPr>
          <w:rFonts w:ascii="Times New Roman" w:hAnsi="Times New Roman"/>
          <w:bCs/>
          <w:lang w:val="pt-BR"/>
        </w:rPr>
        <w:t xml:space="preserve">A hidrodesoxigenação, que tem por objetivo a </w:t>
      </w:r>
      <w:r w:rsidR="007C4C6A" w:rsidRPr="004B57DF">
        <w:rPr>
          <w:rFonts w:ascii="Times New Roman" w:hAnsi="Times New Roman"/>
          <w:bCs/>
          <w:lang w:val="pt-BR"/>
        </w:rPr>
        <w:t xml:space="preserve">remoção </w:t>
      </w:r>
      <w:r w:rsidRPr="004B57DF">
        <w:rPr>
          <w:rFonts w:ascii="Times New Roman" w:hAnsi="Times New Roman"/>
          <w:bCs/>
          <w:lang w:val="pt-BR"/>
        </w:rPr>
        <w:t>do oxigênio</w:t>
      </w:r>
      <w:r w:rsidR="007C4C6A" w:rsidRPr="004B57DF">
        <w:rPr>
          <w:rFonts w:ascii="Times New Roman" w:hAnsi="Times New Roman"/>
          <w:bCs/>
          <w:lang w:val="pt-BR"/>
        </w:rPr>
        <w:t xml:space="preserve"> para produzir hidrocarbonetos</w:t>
      </w:r>
      <w:r w:rsidR="006F2280" w:rsidRPr="004B57DF">
        <w:rPr>
          <w:rFonts w:ascii="Times New Roman" w:hAnsi="Times New Roman"/>
          <w:bCs/>
          <w:lang w:val="pt-BR"/>
        </w:rPr>
        <w:t xml:space="preserve"> utilizando um catalisador e </w:t>
      </w:r>
      <w:r w:rsidR="00B90012" w:rsidRPr="004B57DF">
        <w:rPr>
          <w:rFonts w:ascii="Times New Roman" w:hAnsi="Times New Roman"/>
          <w:bCs/>
          <w:lang w:val="pt-BR"/>
        </w:rPr>
        <w:t xml:space="preserve">uma fonte de </w:t>
      </w:r>
      <w:r w:rsidR="006F2280" w:rsidRPr="004B57DF">
        <w:rPr>
          <w:rFonts w:ascii="Times New Roman" w:hAnsi="Times New Roman"/>
          <w:bCs/>
          <w:lang w:val="pt-BR"/>
        </w:rPr>
        <w:t>hidrogênio</w:t>
      </w:r>
      <w:r w:rsidR="007C4C6A" w:rsidRPr="004B57DF">
        <w:rPr>
          <w:rFonts w:ascii="Times New Roman" w:hAnsi="Times New Roman"/>
          <w:bCs/>
          <w:lang w:val="pt-BR"/>
        </w:rPr>
        <w:t>,</w:t>
      </w:r>
      <w:r w:rsidRPr="004B57DF">
        <w:rPr>
          <w:rFonts w:ascii="Times New Roman" w:hAnsi="Times New Roman"/>
          <w:bCs/>
          <w:lang w:val="pt-BR"/>
        </w:rPr>
        <w:t xml:space="preserve"> vem sendo considerada um </w:t>
      </w:r>
      <w:r w:rsidR="007C4C6A" w:rsidRPr="004B57DF">
        <w:rPr>
          <w:rFonts w:ascii="Times New Roman" w:hAnsi="Times New Roman"/>
          <w:bCs/>
          <w:lang w:val="pt-BR"/>
        </w:rPr>
        <w:t xml:space="preserve">dos </w:t>
      </w:r>
      <w:r w:rsidRPr="004B57DF">
        <w:rPr>
          <w:rFonts w:ascii="Times New Roman" w:hAnsi="Times New Roman"/>
          <w:bCs/>
          <w:lang w:val="pt-BR"/>
        </w:rPr>
        <w:t>processo</w:t>
      </w:r>
      <w:r w:rsidR="007C4C6A" w:rsidRPr="004B57DF">
        <w:rPr>
          <w:rFonts w:ascii="Times New Roman" w:hAnsi="Times New Roman"/>
          <w:bCs/>
          <w:lang w:val="pt-BR"/>
        </w:rPr>
        <w:t>s</w:t>
      </w:r>
      <w:r w:rsidR="00651A40">
        <w:rPr>
          <w:rFonts w:ascii="Times New Roman" w:hAnsi="Times New Roman"/>
          <w:bCs/>
          <w:lang w:val="pt-BR"/>
        </w:rPr>
        <w:t xml:space="preserve"> </w:t>
      </w:r>
      <w:r w:rsidR="007C4C6A" w:rsidRPr="004B57DF">
        <w:rPr>
          <w:rFonts w:ascii="Times New Roman" w:hAnsi="Times New Roman"/>
          <w:bCs/>
          <w:lang w:val="pt-BR"/>
        </w:rPr>
        <w:t xml:space="preserve">mais </w:t>
      </w:r>
      <w:r w:rsidRPr="004B57DF">
        <w:rPr>
          <w:rFonts w:ascii="Times New Roman" w:hAnsi="Times New Roman"/>
          <w:bCs/>
          <w:lang w:val="pt-BR"/>
        </w:rPr>
        <w:t>promissor</w:t>
      </w:r>
      <w:r w:rsidR="007C4C6A" w:rsidRPr="004B57DF">
        <w:rPr>
          <w:rFonts w:ascii="Times New Roman" w:hAnsi="Times New Roman"/>
          <w:bCs/>
          <w:lang w:val="pt-BR"/>
        </w:rPr>
        <w:t>es</w:t>
      </w:r>
      <w:r w:rsidRPr="004B57DF">
        <w:rPr>
          <w:rFonts w:ascii="Times New Roman" w:hAnsi="Times New Roman"/>
          <w:bCs/>
          <w:lang w:val="pt-BR"/>
        </w:rPr>
        <w:t xml:space="preserve"> para melhorar a </w:t>
      </w:r>
      <w:r w:rsidRPr="004B57DF">
        <w:rPr>
          <w:rFonts w:ascii="Times New Roman" w:hAnsi="Times New Roman"/>
          <w:bCs/>
          <w:color w:val="000000" w:themeColor="text1"/>
          <w:lang w:val="pt-BR"/>
        </w:rPr>
        <w:t>qualidade do bio-óleo</w:t>
      </w:r>
      <w:r w:rsidR="00E97C02">
        <w:rPr>
          <w:rFonts w:ascii="Times New Roman" w:hAnsi="Times New Roman"/>
          <w:bCs/>
          <w:color w:val="000000" w:themeColor="text1"/>
          <w:lang w:val="pt-BR"/>
        </w:rPr>
        <w:t xml:space="preserve"> </w:t>
      </w:r>
      <w:r w:rsidR="007C4C6A" w:rsidRPr="004B57DF">
        <w:rPr>
          <w:rFonts w:ascii="Times New Roman" w:hAnsi="Times New Roman"/>
          <w:bCs/>
          <w:color w:val="000000" w:themeColor="text1"/>
          <w:lang w:val="pt-BR"/>
        </w:rPr>
        <w:t>(</w:t>
      </w:r>
      <w:r w:rsidR="00702EEE" w:rsidRPr="004B57DF">
        <w:rPr>
          <w:rFonts w:ascii="Times New Roman" w:hAnsi="Times New Roman"/>
          <w:bCs/>
          <w:color w:val="000000" w:themeColor="text1"/>
          <w:lang w:val="pt-BR"/>
        </w:rPr>
        <w:t>3</w:t>
      </w:r>
      <w:r w:rsidR="006D7020" w:rsidRPr="004B57DF">
        <w:rPr>
          <w:rFonts w:ascii="Times New Roman" w:hAnsi="Times New Roman"/>
          <w:bCs/>
          <w:color w:val="000000" w:themeColor="text1"/>
          <w:lang w:val="pt-BR"/>
        </w:rPr>
        <w:t>-5</w:t>
      </w:r>
      <w:r w:rsidR="007C4C6A" w:rsidRPr="004B57DF">
        <w:rPr>
          <w:rFonts w:ascii="Times New Roman" w:hAnsi="Times New Roman"/>
          <w:bCs/>
          <w:color w:val="000000" w:themeColor="text1"/>
          <w:lang w:val="pt-BR"/>
        </w:rPr>
        <w:t>).</w:t>
      </w:r>
      <w:r w:rsidR="006F2280" w:rsidRPr="004B57DF">
        <w:rPr>
          <w:rFonts w:ascii="Times New Roman" w:hAnsi="Times New Roman"/>
          <w:bCs/>
          <w:color w:val="000000" w:themeColor="text1"/>
          <w:lang w:val="pt-BR"/>
        </w:rPr>
        <w:t xml:space="preserve"> Porém</w:t>
      </w:r>
      <w:r w:rsidR="006F2280" w:rsidRPr="004B57DF">
        <w:rPr>
          <w:rFonts w:ascii="Times New Roman" w:hAnsi="Times New Roman"/>
          <w:bCs/>
          <w:lang w:val="pt-BR"/>
        </w:rPr>
        <w:t>, devido à grande variedade de compostos presentes no bio-óleo, moléculas</w:t>
      </w:r>
      <w:r w:rsidR="00651A40">
        <w:rPr>
          <w:rFonts w:ascii="Times New Roman" w:hAnsi="Times New Roman"/>
          <w:bCs/>
          <w:lang w:val="pt-BR"/>
        </w:rPr>
        <w:t xml:space="preserve"> </w:t>
      </w:r>
      <w:r w:rsidR="006F2280" w:rsidRPr="004B57DF">
        <w:rPr>
          <w:rFonts w:ascii="Times New Roman" w:hAnsi="Times New Roman"/>
          <w:bCs/>
          <w:lang w:val="pt-BR"/>
        </w:rPr>
        <w:t>modelo são frequentemente utilizadas para o estudo dessas reações.</w:t>
      </w:r>
    </w:p>
    <w:p w14:paraId="7A42189B" w14:textId="77777777" w:rsidR="007C4C6A" w:rsidRDefault="007C4C6A" w:rsidP="00535C02">
      <w:pPr>
        <w:pStyle w:val="TAMainText"/>
        <w:rPr>
          <w:rFonts w:ascii="Times New Roman" w:hAnsi="Times New Roman"/>
          <w:bCs/>
          <w:lang w:val="pt-BR"/>
        </w:rPr>
      </w:pPr>
      <w:r>
        <w:rPr>
          <w:rFonts w:ascii="Times New Roman" w:hAnsi="Times New Roman"/>
          <w:bCs/>
          <w:lang w:val="pt-BR"/>
        </w:rPr>
        <w:t>A conversão de fenetoxibenzeno</w:t>
      </w:r>
      <w:r w:rsidR="001009AC">
        <w:rPr>
          <w:rFonts w:ascii="Times New Roman" w:hAnsi="Times New Roman"/>
          <w:bCs/>
          <w:lang w:val="pt-BR"/>
        </w:rPr>
        <w:t xml:space="preserve"> (FEB)</w:t>
      </w:r>
      <w:r>
        <w:rPr>
          <w:rFonts w:ascii="Times New Roman" w:hAnsi="Times New Roman"/>
          <w:bCs/>
          <w:lang w:val="pt-BR"/>
        </w:rPr>
        <w:t xml:space="preserve">, molécula representativa da ligação éter </w:t>
      </w:r>
      <w:r w:rsidRPr="007C4C6A">
        <w:rPr>
          <w:rFonts w:ascii="Symbol" w:hAnsi="Symbol"/>
          <w:bCs/>
          <w:lang w:val="pt-BR"/>
        </w:rPr>
        <w:t></w:t>
      </w:r>
      <w:r>
        <w:rPr>
          <w:rFonts w:ascii="Times New Roman" w:hAnsi="Times New Roman"/>
          <w:bCs/>
          <w:lang w:val="pt-BR"/>
        </w:rPr>
        <w:t xml:space="preserve">-O-5, vem sendo muito estudada na </w:t>
      </w:r>
      <w:r w:rsidRPr="0084495D">
        <w:rPr>
          <w:rFonts w:ascii="Times New Roman" w:hAnsi="Times New Roman"/>
          <w:bCs/>
          <w:lang w:val="pt-BR"/>
        </w:rPr>
        <w:t>literatura (</w:t>
      </w:r>
      <w:r w:rsidR="006D7020" w:rsidRPr="0084495D">
        <w:rPr>
          <w:rFonts w:ascii="Times New Roman" w:hAnsi="Times New Roman"/>
          <w:bCs/>
          <w:lang w:val="pt-BR"/>
        </w:rPr>
        <w:t>6-9</w:t>
      </w:r>
      <w:r w:rsidRPr="0084495D">
        <w:rPr>
          <w:rFonts w:ascii="Times New Roman" w:hAnsi="Times New Roman"/>
          <w:bCs/>
          <w:lang w:val="pt-BR"/>
        </w:rPr>
        <w:t>) por</w:t>
      </w:r>
      <w:r>
        <w:rPr>
          <w:rFonts w:ascii="Times New Roman" w:hAnsi="Times New Roman"/>
          <w:bCs/>
          <w:lang w:val="pt-BR"/>
        </w:rPr>
        <w:t xml:space="preserve"> se</w:t>
      </w:r>
      <w:r w:rsidR="00B90012">
        <w:rPr>
          <w:rFonts w:ascii="Times New Roman" w:hAnsi="Times New Roman"/>
          <w:bCs/>
          <w:lang w:val="pt-BR"/>
        </w:rPr>
        <w:t>r</w:t>
      </w:r>
      <w:r>
        <w:rPr>
          <w:rFonts w:ascii="Times New Roman" w:hAnsi="Times New Roman"/>
          <w:bCs/>
          <w:lang w:val="pt-BR"/>
        </w:rPr>
        <w:t xml:space="preserve"> a principal ligação de </w:t>
      </w:r>
      <w:r w:rsidR="002E04E3">
        <w:rPr>
          <w:rFonts w:ascii="Times New Roman" w:hAnsi="Times New Roman"/>
          <w:bCs/>
          <w:lang w:val="pt-BR"/>
        </w:rPr>
        <w:t xml:space="preserve">C-O </w:t>
      </w:r>
      <w:r>
        <w:rPr>
          <w:rFonts w:ascii="Times New Roman" w:hAnsi="Times New Roman"/>
          <w:bCs/>
          <w:lang w:val="pt-BR"/>
        </w:rPr>
        <w:t>presente na estrutura da lignina.</w:t>
      </w:r>
      <w:r w:rsidR="00CA1F31">
        <w:rPr>
          <w:rFonts w:ascii="Times New Roman" w:hAnsi="Times New Roman"/>
          <w:bCs/>
          <w:lang w:val="pt-BR"/>
        </w:rPr>
        <w:t xml:space="preserve"> Porém, a relação entre </w:t>
      </w:r>
      <w:r w:rsidR="002E04E3">
        <w:rPr>
          <w:rFonts w:ascii="Times New Roman" w:hAnsi="Times New Roman"/>
          <w:bCs/>
          <w:lang w:val="pt-BR"/>
        </w:rPr>
        <w:t xml:space="preserve">o </w:t>
      </w:r>
      <w:r w:rsidR="002E04E3">
        <w:rPr>
          <w:rFonts w:ascii="Times New Roman" w:hAnsi="Times New Roman"/>
          <w:bCs/>
          <w:lang w:val="pt-BR"/>
        </w:rPr>
        <w:t xml:space="preserve">tamanho das </w:t>
      </w:r>
      <w:r w:rsidR="00CA1F31">
        <w:rPr>
          <w:rFonts w:ascii="Times New Roman" w:hAnsi="Times New Roman"/>
          <w:bCs/>
          <w:lang w:val="pt-BR"/>
        </w:rPr>
        <w:t>partículas metálicas</w:t>
      </w:r>
      <w:r w:rsidR="002E04E3">
        <w:rPr>
          <w:rFonts w:ascii="Times New Roman" w:hAnsi="Times New Roman"/>
          <w:bCs/>
          <w:lang w:val="pt-BR"/>
        </w:rPr>
        <w:t xml:space="preserve"> e acidez do suportecom</w:t>
      </w:r>
      <w:r w:rsidR="00CA1F31">
        <w:rPr>
          <w:rFonts w:ascii="Times New Roman" w:hAnsi="Times New Roman"/>
          <w:bCs/>
          <w:lang w:val="pt-BR"/>
        </w:rPr>
        <w:t xml:space="preserve"> a atividade de desoxigenação</w:t>
      </w:r>
      <w:r w:rsidR="001009AC">
        <w:rPr>
          <w:rFonts w:ascii="Times New Roman" w:hAnsi="Times New Roman"/>
          <w:bCs/>
          <w:lang w:val="pt-BR"/>
        </w:rPr>
        <w:t xml:space="preserve"> ainda não foi </w:t>
      </w:r>
      <w:r w:rsidR="002E04E3">
        <w:rPr>
          <w:rFonts w:ascii="Times New Roman" w:hAnsi="Times New Roman"/>
          <w:bCs/>
          <w:lang w:val="pt-BR"/>
        </w:rPr>
        <w:t>estudada</w:t>
      </w:r>
      <w:r w:rsidR="001009AC">
        <w:rPr>
          <w:rFonts w:ascii="Times New Roman" w:hAnsi="Times New Roman"/>
          <w:bCs/>
          <w:lang w:val="pt-BR"/>
        </w:rPr>
        <w:t xml:space="preserve">. </w:t>
      </w:r>
    </w:p>
    <w:p w14:paraId="54B6E579" w14:textId="77777777" w:rsidR="001009AC" w:rsidRDefault="001009AC" w:rsidP="00535C02">
      <w:pPr>
        <w:pStyle w:val="TAMainText"/>
        <w:rPr>
          <w:rFonts w:ascii="Times New Roman" w:hAnsi="Times New Roman"/>
          <w:bCs/>
          <w:lang w:val="pt-BR"/>
        </w:rPr>
      </w:pPr>
      <w:r>
        <w:rPr>
          <w:rFonts w:ascii="Times New Roman" w:hAnsi="Times New Roman"/>
          <w:bCs/>
          <w:lang w:val="pt-BR"/>
        </w:rPr>
        <w:t xml:space="preserve">Nesse sentido, o presente trabalho tem por objetivo investigar o efeito do tipo </w:t>
      </w:r>
      <w:r w:rsidR="002E04E3">
        <w:rPr>
          <w:rFonts w:ascii="Times New Roman" w:hAnsi="Times New Roman"/>
          <w:bCs/>
          <w:lang w:val="pt-BR"/>
        </w:rPr>
        <w:t xml:space="preserve">do </w:t>
      </w:r>
      <w:r>
        <w:rPr>
          <w:rFonts w:ascii="Times New Roman" w:hAnsi="Times New Roman"/>
          <w:bCs/>
          <w:lang w:val="pt-BR"/>
        </w:rPr>
        <w:t>suporte, assim como, do tamanho da partícula de Pd nas reações de conversão do FEB. Para isso catalisadores suportados em TiO</w:t>
      </w:r>
      <w:r w:rsidRPr="001009AC">
        <w:rPr>
          <w:rFonts w:ascii="Times New Roman" w:hAnsi="Times New Roman"/>
          <w:bCs/>
          <w:vertAlign w:val="subscript"/>
          <w:lang w:val="pt-BR"/>
        </w:rPr>
        <w:t>2</w:t>
      </w:r>
      <w:r>
        <w:rPr>
          <w:rFonts w:ascii="Times New Roman" w:hAnsi="Times New Roman"/>
          <w:bCs/>
          <w:lang w:val="pt-BR"/>
        </w:rPr>
        <w:t xml:space="preserve"> e Nb</w:t>
      </w:r>
      <w:r w:rsidRPr="001009AC">
        <w:rPr>
          <w:rFonts w:ascii="Times New Roman" w:hAnsi="Times New Roman"/>
          <w:bCs/>
          <w:vertAlign w:val="subscript"/>
          <w:lang w:val="pt-BR"/>
        </w:rPr>
        <w:t>2</w:t>
      </w:r>
      <w:r>
        <w:rPr>
          <w:rFonts w:ascii="Times New Roman" w:hAnsi="Times New Roman"/>
          <w:bCs/>
          <w:lang w:val="pt-BR"/>
        </w:rPr>
        <w:t>O</w:t>
      </w:r>
      <w:r w:rsidRPr="001009AC">
        <w:rPr>
          <w:rFonts w:ascii="Times New Roman" w:hAnsi="Times New Roman"/>
          <w:bCs/>
          <w:vertAlign w:val="subscript"/>
          <w:lang w:val="pt-BR"/>
        </w:rPr>
        <w:t>5</w:t>
      </w:r>
      <w:r>
        <w:rPr>
          <w:rFonts w:ascii="Times New Roman" w:hAnsi="Times New Roman"/>
          <w:bCs/>
          <w:lang w:val="pt-BR"/>
        </w:rPr>
        <w:t xml:space="preserve"> foram sintetizados por duas metodologias diferentes: impregnação ao ponto úmido e imobilização.</w:t>
      </w:r>
    </w:p>
    <w:p w14:paraId="078E33D8" w14:textId="77777777" w:rsidR="00DD1549" w:rsidRDefault="00DD1549" w:rsidP="00535C02">
      <w:pPr>
        <w:pStyle w:val="TAMainText"/>
        <w:rPr>
          <w:rFonts w:ascii="Times New Roman" w:hAnsi="Times New Roman"/>
          <w:bCs/>
          <w:lang w:val="pt-BR"/>
        </w:rPr>
      </w:pPr>
    </w:p>
    <w:p w14:paraId="7567939F"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19736C5" w14:textId="77777777" w:rsidR="00535C02" w:rsidRDefault="0019443C" w:rsidP="00EA4E1B">
      <w:pPr>
        <w:pStyle w:val="TAMainText"/>
        <w:ind w:firstLine="0"/>
        <w:rPr>
          <w:rFonts w:ascii="Times New Roman" w:hAnsi="Times New Roman"/>
          <w:i/>
          <w:lang w:val="pt-BR"/>
        </w:rPr>
      </w:pPr>
      <w:r>
        <w:rPr>
          <w:rFonts w:ascii="Times New Roman" w:hAnsi="Times New Roman"/>
          <w:i/>
          <w:lang w:val="pt-BR"/>
        </w:rPr>
        <w:t>Preparo dos catalisadores</w:t>
      </w:r>
    </w:p>
    <w:p w14:paraId="411CEEB8" w14:textId="77777777" w:rsidR="00EA4E1B" w:rsidRDefault="00EA4E1B" w:rsidP="00EA4E1B">
      <w:pPr>
        <w:pStyle w:val="TAMainText"/>
        <w:ind w:firstLine="0"/>
        <w:rPr>
          <w:rFonts w:ascii="Times New Roman" w:hAnsi="Times New Roman"/>
          <w:i/>
          <w:lang w:val="pt-BR"/>
        </w:rPr>
      </w:pPr>
    </w:p>
    <w:p w14:paraId="0DFEE9CE" w14:textId="77777777" w:rsidR="00535C02" w:rsidRPr="00535C02" w:rsidRDefault="00535C02" w:rsidP="00EA4E1B">
      <w:pPr>
        <w:pStyle w:val="TAMainText"/>
        <w:ind w:firstLine="0"/>
        <w:rPr>
          <w:rFonts w:ascii="Times New Roman" w:hAnsi="Times New Roman"/>
          <w:i/>
          <w:lang w:val="pt-BR"/>
        </w:rPr>
      </w:pPr>
      <w:r w:rsidRPr="00535C02">
        <w:rPr>
          <w:rFonts w:ascii="Times New Roman" w:hAnsi="Times New Roman"/>
          <w:i/>
          <w:lang w:val="pt-BR"/>
        </w:rPr>
        <w:t>Preparo de catalisadores por impregnação ao ponto úmido</w:t>
      </w:r>
    </w:p>
    <w:p w14:paraId="075C38F7" w14:textId="77777777" w:rsidR="00EA4E1B" w:rsidRDefault="000746C5" w:rsidP="00EA4E1B">
      <w:pPr>
        <w:pStyle w:val="TAMainText"/>
        <w:rPr>
          <w:rFonts w:ascii="Times New Roman" w:hAnsi="Times New Roman"/>
          <w:lang w:val="pt-BR"/>
        </w:rPr>
      </w:pPr>
      <w:r>
        <w:rPr>
          <w:rFonts w:ascii="Times New Roman" w:hAnsi="Times New Roman"/>
          <w:lang w:val="pt-BR"/>
        </w:rPr>
        <w:t>TiO</w:t>
      </w:r>
      <w:r w:rsidRPr="005B3FFD">
        <w:rPr>
          <w:rFonts w:ascii="Times New Roman" w:hAnsi="Times New Roman"/>
          <w:vertAlign w:val="subscript"/>
          <w:lang w:val="pt-BR"/>
        </w:rPr>
        <w:t>2</w:t>
      </w:r>
      <w:r w:rsidR="002E04E3">
        <w:rPr>
          <w:rFonts w:ascii="Times New Roman" w:hAnsi="Times New Roman"/>
          <w:lang w:val="pt-BR"/>
        </w:rPr>
        <w:t xml:space="preserve">comercial </w:t>
      </w:r>
      <w:r w:rsidR="005B3FFD">
        <w:rPr>
          <w:rFonts w:ascii="Times New Roman" w:hAnsi="Times New Roman"/>
          <w:lang w:val="pt-BR"/>
        </w:rPr>
        <w:t xml:space="preserve">(P25, Sigma Aldrich) </w:t>
      </w:r>
      <w:r>
        <w:rPr>
          <w:rFonts w:ascii="Times New Roman" w:hAnsi="Times New Roman"/>
          <w:lang w:val="pt-BR"/>
        </w:rPr>
        <w:t>e Nb</w:t>
      </w:r>
      <w:r w:rsidRPr="005B3FFD">
        <w:rPr>
          <w:rFonts w:ascii="Times New Roman" w:hAnsi="Times New Roman"/>
          <w:vertAlign w:val="subscript"/>
          <w:lang w:val="pt-BR"/>
        </w:rPr>
        <w:t>2</w:t>
      </w:r>
      <w:r>
        <w:rPr>
          <w:rFonts w:ascii="Times New Roman" w:hAnsi="Times New Roman"/>
          <w:lang w:val="pt-BR"/>
        </w:rPr>
        <w:t>O</w:t>
      </w:r>
      <w:r w:rsidRPr="005B3FFD">
        <w:rPr>
          <w:rFonts w:ascii="Times New Roman" w:hAnsi="Times New Roman"/>
          <w:vertAlign w:val="subscript"/>
          <w:lang w:val="pt-BR"/>
        </w:rPr>
        <w:t>5</w:t>
      </w:r>
      <w:r>
        <w:rPr>
          <w:rFonts w:ascii="Times New Roman" w:hAnsi="Times New Roman"/>
          <w:lang w:val="pt-BR"/>
        </w:rPr>
        <w:t xml:space="preserve"> foram </w:t>
      </w:r>
      <w:r w:rsidR="002E04E3">
        <w:rPr>
          <w:rFonts w:ascii="Times New Roman" w:hAnsi="Times New Roman"/>
          <w:lang w:val="pt-BR"/>
        </w:rPr>
        <w:t>usados como suportes</w:t>
      </w:r>
      <w:r w:rsidR="005B3FFD">
        <w:rPr>
          <w:rFonts w:ascii="Times New Roman" w:hAnsi="Times New Roman"/>
          <w:lang w:val="pt-BR"/>
        </w:rPr>
        <w:t>. Nb</w:t>
      </w:r>
      <w:r w:rsidR="005B3FFD" w:rsidRPr="005B3FFD">
        <w:rPr>
          <w:rFonts w:ascii="Times New Roman" w:hAnsi="Times New Roman"/>
          <w:vertAlign w:val="subscript"/>
          <w:lang w:val="pt-BR"/>
        </w:rPr>
        <w:t>2</w:t>
      </w:r>
      <w:r w:rsidR="005B3FFD">
        <w:rPr>
          <w:rFonts w:ascii="Times New Roman" w:hAnsi="Times New Roman"/>
          <w:lang w:val="pt-BR"/>
        </w:rPr>
        <w:t>O</w:t>
      </w:r>
      <w:r w:rsidR="005B3FFD" w:rsidRPr="005B3FFD">
        <w:rPr>
          <w:rFonts w:ascii="Times New Roman" w:hAnsi="Times New Roman"/>
          <w:vertAlign w:val="subscript"/>
          <w:lang w:val="pt-BR"/>
        </w:rPr>
        <w:t>5</w:t>
      </w:r>
      <w:r w:rsidR="005B3FFD">
        <w:rPr>
          <w:rFonts w:ascii="Times New Roman" w:hAnsi="Times New Roman"/>
          <w:lang w:val="pt-BR"/>
        </w:rPr>
        <w:t xml:space="preserve"> foi </w:t>
      </w:r>
      <w:r w:rsidR="003171F9">
        <w:rPr>
          <w:rFonts w:ascii="Times New Roman" w:hAnsi="Times New Roman"/>
          <w:lang w:val="pt-BR"/>
        </w:rPr>
        <w:t xml:space="preserve">obtido </w:t>
      </w:r>
      <w:r w:rsidR="005B3FFD">
        <w:rPr>
          <w:rFonts w:ascii="Times New Roman" w:hAnsi="Times New Roman"/>
          <w:lang w:val="pt-BR"/>
        </w:rPr>
        <w:t xml:space="preserve">pela calcinação do ácido nióbico (CBMM) em mufla </w:t>
      </w:r>
      <w:r w:rsidR="00101988">
        <w:rPr>
          <w:rFonts w:ascii="Times New Roman" w:hAnsi="Times New Roman"/>
          <w:lang w:val="pt-BR"/>
        </w:rPr>
        <w:t>a</w:t>
      </w:r>
      <w:r w:rsidR="005B3FFD">
        <w:rPr>
          <w:rFonts w:ascii="Times New Roman" w:hAnsi="Times New Roman"/>
          <w:lang w:val="pt-BR"/>
        </w:rPr>
        <w:t xml:space="preserve"> 400 °C</w:t>
      </w:r>
      <w:r w:rsidR="00101988">
        <w:rPr>
          <w:rFonts w:ascii="Times New Roman" w:hAnsi="Times New Roman"/>
          <w:lang w:val="pt-BR"/>
        </w:rPr>
        <w:t xml:space="preserve"> (2 °C min</w:t>
      </w:r>
      <w:r w:rsidR="00101988" w:rsidRPr="00101988">
        <w:rPr>
          <w:rFonts w:ascii="Times New Roman" w:hAnsi="Times New Roman"/>
          <w:vertAlign w:val="superscript"/>
          <w:lang w:val="pt-BR"/>
        </w:rPr>
        <w:t>-1</w:t>
      </w:r>
      <w:r w:rsidR="00101988">
        <w:rPr>
          <w:rFonts w:ascii="Times New Roman" w:hAnsi="Times New Roman"/>
          <w:lang w:val="pt-BR"/>
        </w:rPr>
        <w:t>) por 3 horas</w:t>
      </w:r>
      <w:r w:rsidR="00535C02">
        <w:rPr>
          <w:rFonts w:ascii="Times New Roman" w:hAnsi="Times New Roman"/>
          <w:lang w:val="pt-BR"/>
        </w:rPr>
        <w:t xml:space="preserve">. Os catalisadores foram preparados </w:t>
      </w:r>
      <w:r w:rsidR="003171F9">
        <w:rPr>
          <w:rFonts w:ascii="Times New Roman" w:hAnsi="Times New Roman"/>
          <w:lang w:val="pt-BR"/>
        </w:rPr>
        <w:t xml:space="preserve">pela impregnação úmida dos suportes </w:t>
      </w:r>
      <w:r w:rsidR="00535C02">
        <w:rPr>
          <w:rFonts w:ascii="Times New Roman" w:hAnsi="Times New Roman"/>
          <w:lang w:val="pt-BR"/>
        </w:rPr>
        <w:t>usando uma solução aquosa de nitrato de paládio (</w:t>
      </w:r>
      <w:r w:rsidR="00535C02" w:rsidRPr="00535C02">
        <w:rPr>
          <w:rFonts w:ascii="Times New Roman" w:hAnsi="Times New Roman"/>
          <w:lang w:val="pt-BR"/>
        </w:rPr>
        <w:t>Pd(NO</w:t>
      </w:r>
      <w:r w:rsidR="00535C02" w:rsidRPr="00535C02">
        <w:rPr>
          <w:rFonts w:ascii="Times New Roman" w:hAnsi="Times New Roman"/>
          <w:vertAlign w:val="subscript"/>
          <w:lang w:val="pt-BR"/>
        </w:rPr>
        <w:t>3</w:t>
      </w:r>
      <w:r w:rsidR="00535C02" w:rsidRPr="00535C02">
        <w:rPr>
          <w:rFonts w:ascii="Times New Roman" w:hAnsi="Times New Roman"/>
          <w:lang w:val="pt-BR"/>
        </w:rPr>
        <w:t>)</w:t>
      </w:r>
      <w:r w:rsidR="00535C02" w:rsidRPr="00535C02">
        <w:rPr>
          <w:rFonts w:ascii="Times New Roman" w:hAnsi="Times New Roman"/>
          <w:vertAlign w:val="subscript"/>
          <w:lang w:val="pt-BR"/>
        </w:rPr>
        <w:t>2</w:t>
      </w:r>
      <w:r w:rsidR="00535C02" w:rsidRPr="00535C02">
        <w:rPr>
          <w:rFonts w:ascii="Times New Roman" w:hAnsi="Times New Roman"/>
          <w:lang w:val="pt-BR"/>
        </w:rPr>
        <w:t>.xH</w:t>
      </w:r>
      <w:r w:rsidR="00535C02" w:rsidRPr="00535C02">
        <w:rPr>
          <w:rFonts w:ascii="Times New Roman" w:hAnsi="Times New Roman"/>
          <w:vertAlign w:val="subscript"/>
          <w:lang w:val="pt-BR"/>
        </w:rPr>
        <w:t>2</w:t>
      </w:r>
      <w:r w:rsidR="00535C02" w:rsidRPr="00535C02">
        <w:rPr>
          <w:rFonts w:ascii="Times New Roman" w:hAnsi="Times New Roman"/>
          <w:lang w:val="pt-BR"/>
        </w:rPr>
        <w:t>O, Alfa Aesar</w:t>
      </w:r>
      <w:r w:rsidR="00535C02">
        <w:rPr>
          <w:rFonts w:ascii="Times New Roman" w:hAnsi="Times New Roman"/>
          <w:lang w:val="pt-BR"/>
        </w:rPr>
        <w:t xml:space="preserve">) com volume apropriado para garantir que todos os </w:t>
      </w:r>
      <w:r w:rsidR="00535C02">
        <w:rPr>
          <w:rFonts w:ascii="Times New Roman" w:hAnsi="Times New Roman"/>
          <w:lang w:val="pt-BR"/>
        </w:rPr>
        <w:lastRenderedPageBreak/>
        <w:t>catalisadores tivessem 2 wt % de Pd. Ao final da impregnação, as amostras foram secas em estufa a 100 °C por 12h e calcinadas em mufla a 400 °C (2 °C min</w:t>
      </w:r>
      <w:r w:rsidR="00535C02" w:rsidRPr="00101988">
        <w:rPr>
          <w:rFonts w:ascii="Times New Roman" w:hAnsi="Times New Roman"/>
          <w:vertAlign w:val="superscript"/>
          <w:lang w:val="pt-BR"/>
        </w:rPr>
        <w:t>-1</w:t>
      </w:r>
      <w:r w:rsidR="00535C02">
        <w:rPr>
          <w:rFonts w:ascii="Times New Roman" w:hAnsi="Times New Roman"/>
          <w:lang w:val="pt-BR"/>
        </w:rPr>
        <w:t>) por 3h. Esses catalisadores foram denominados Pd/TiO</w:t>
      </w:r>
      <w:r w:rsidR="00535C02" w:rsidRPr="00535C02">
        <w:rPr>
          <w:rFonts w:ascii="Times New Roman" w:hAnsi="Times New Roman"/>
          <w:vertAlign w:val="subscript"/>
          <w:lang w:val="pt-BR"/>
        </w:rPr>
        <w:t>2</w:t>
      </w:r>
      <w:r w:rsidR="00535C02">
        <w:rPr>
          <w:rFonts w:ascii="Times New Roman" w:hAnsi="Times New Roman"/>
          <w:lang w:val="pt-BR"/>
        </w:rPr>
        <w:t>-imp e Pd/Nb</w:t>
      </w:r>
      <w:r w:rsidR="00535C02" w:rsidRPr="00535C02">
        <w:rPr>
          <w:rFonts w:ascii="Times New Roman" w:hAnsi="Times New Roman"/>
          <w:vertAlign w:val="subscript"/>
          <w:lang w:val="pt-BR"/>
        </w:rPr>
        <w:t>2</w:t>
      </w:r>
      <w:r w:rsidR="00535C02">
        <w:rPr>
          <w:rFonts w:ascii="Times New Roman" w:hAnsi="Times New Roman"/>
          <w:lang w:val="pt-BR"/>
        </w:rPr>
        <w:t>O</w:t>
      </w:r>
      <w:r w:rsidR="00535C02" w:rsidRPr="00535C02">
        <w:rPr>
          <w:rFonts w:ascii="Times New Roman" w:hAnsi="Times New Roman"/>
          <w:vertAlign w:val="subscript"/>
          <w:lang w:val="pt-BR"/>
        </w:rPr>
        <w:t>5</w:t>
      </w:r>
      <w:r w:rsidR="00535C02">
        <w:rPr>
          <w:rFonts w:ascii="Times New Roman" w:hAnsi="Times New Roman"/>
          <w:lang w:val="pt-BR"/>
        </w:rPr>
        <w:t>-</w:t>
      </w:r>
      <w:r w:rsidR="003171F9">
        <w:rPr>
          <w:rFonts w:ascii="Times New Roman" w:hAnsi="Times New Roman"/>
          <w:lang w:val="pt-BR"/>
        </w:rPr>
        <w:t>imp</w:t>
      </w:r>
      <w:r w:rsidR="00535C02">
        <w:rPr>
          <w:rFonts w:ascii="Times New Roman" w:hAnsi="Times New Roman"/>
          <w:lang w:val="pt-BR"/>
        </w:rPr>
        <w:t>.</w:t>
      </w:r>
    </w:p>
    <w:p w14:paraId="780206E3" w14:textId="77777777" w:rsidR="0019443C" w:rsidRDefault="0019443C" w:rsidP="00EA4E1B">
      <w:pPr>
        <w:pStyle w:val="TAMainText"/>
        <w:rPr>
          <w:rFonts w:ascii="Times New Roman" w:hAnsi="Times New Roman"/>
          <w:lang w:val="pt-BR"/>
        </w:rPr>
      </w:pPr>
    </w:p>
    <w:p w14:paraId="00CF2449" w14:textId="77777777" w:rsidR="00535C02" w:rsidRDefault="00535C02" w:rsidP="00535C02">
      <w:pPr>
        <w:pStyle w:val="TAMainText"/>
        <w:ind w:firstLine="0"/>
        <w:rPr>
          <w:rFonts w:ascii="Times New Roman" w:hAnsi="Times New Roman"/>
          <w:i/>
          <w:lang w:val="pt-BR"/>
        </w:rPr>
      </w:pPr>
      <w:r>
        <w:rPr>
          <w:rFonts w:ascii="Times New Roman" w:hAnsi="Times New Roman"/>
          <w:i/>
          <w:lang w:val="pt-BR"/>
        </w:rPr>
        <w:t>Preparo de catalisadores por imobilização</w:t>
      </w:r>
    </w:p>
    <w:p w14:paraId="7B00FEEB" w14:textId="77777777" w:rsidR="00BC556C" w:rsidRPr="001F25B2" w:rsidRDefault="00BC556C" w:rsidP="00535C02">
      <w:pPr>
        <w:pStyle w:val="TAMainText"/>
        <w:ind w:firstLine="0"/>
        <w:rPr>
          <w:rFonts w:ascii="Times New Roman" w:hAnsi="Times New Roman"/>
          <w:i/>
          <w:lang w:val="pt-BR"/>
        </w:rPr>
      </w:pPr>
    </w:p>
    <w:p w14:paraId="25AFB4B3" w14:textId="77777777" w:rsidR="00535C02" w:rsidRDefault="00535C02" w:rsidP="00EA4E1B">
      <w:pPr>
        <w:pStyle w:val="TAMainText"/>
        <w:rPr>
          <w:rFonts w:ascii="Times New Roman" w:hAnsi="Times New Roman"/>
          <w:lang w:val="pt-BR"/>
        </w:rPr>
      </w:pPr>
      <w:r>
        <w:rPr>
          <w:rFonts w:ascii="Times New Roman" w:hAnsi="Times New Roman"/>
          <w:lang w:val="pt-BR"/>
        </w:rPr>
        <w:t>TiO</w:t>
      </w:r>
      <w:r w:rsidRPr="005B3FFD">
        <w:rPr>
          <w:rFonts w:ascii="Times New Roman" w:hAnsi="Times New Roman"/>
          <w:vertAlign w:val="subscript"/>
          <w:lang w:val="pt-BR"/>
        </w:rPr>
        <w:t>2</w:t>
      </w:r>
      <w:r>
        <w:rPr>
          <w:rFonts w:ascii="Times New Roman" w:hAnsi="Times New Roman"/>
          <w:lang w:val="pt-BR"/>
        </w:rPr>
        <w:t xml:space="preserve"> (P25, Sigma Aldrich) e Nb</w:t>
      </w:r>
      <w:r w:rsidRPr="005B3FFD">
        <w:rPr>
          <w:rFonts w:ascii="Times New Roman" w:hAnsi="Times New Roman"/>
          <w:vertAlign w:val="subscript"/>
          <w:lang w:val="pt-BR"/>
        </w:rPr>
        <w:t>2</w:t>
      </w:r>
      <w:r>
        <w:rPr>
          <w:rFonts w:ascii="Times New Roman" w:hAnsi="Times New Roman"/>
          <w:lang w:val="pt-BR"/>
        </w:rPr>
        <w:t>O</w:t>
      </w:r>
      <w:r w:rsidRPr="005B3FFD">
        <w:rPr>
          <w:rFonts w:ascii="Times New Roman" w:hAnsi="Times New Roman"/>
          <w:vertAlign w:val="subscript"/>
          <w:lang w:val="pt-BR"/>
        </w:rPr>
        <w:t>5</w:t>
      </w:r>
      <w:r>
        <w:rPr>
          <w:rFonts w:ascii="Times New Roman" w:hAnsi="Times New Roman"/>
          <w:lang w:val="pt-BR"/>
        </w:rPr>
        <w:t xml:space="preserve"> também foram escolhidos para o preparo de catalisadores suportados a base de paládio por imobilização. Nb</w:t>
      </w:r>
      <w:r w:rsidRPr="00535C02">
        <w:rPr>
          <w:rFonts w:ascii="Times New Roman" w:hAnsi="Times New Roman"/>
          <w:vertAlign w:val="subscript"/>
          <w:lang w:val="pt-BR"/>
        </w:rPr>
        <w:t>2</w:t>
      </w:r>
      <w:r>
        <w:rPr>
          <w:rFonts w:ascii="Times New Roman" w:hAnsi="Times New Roman"/>
          <w:lang w:val="pt-BR"/>
        </w:rPr>
        <w:t>O</w:t>
      </w:r>
      <w:r w:rsidRPr="00535C02">
        <w:rPr>
          <w:rFonts w:ascii="Times New Roman" w:hAnsi="Times New Roman"/>
          <w:vertAlign w:val="subscript"/>
          <w:lang w:val="pt-BR"/>
        </w:rPr>
        <w:t>5</w:t>
      </w:r>
      <w:r>
        <w:rPr>
          <w:rFonts w:ascii="Times New Roman" w:hAnsi="Times New Roman"/>
          <w:lang w:val="pt-BR"/>
        </w:rPr>
        <w:t xml:space="preserve"> foi obtida como descrito no item anterior. </w:t>
      </w:r>
      <w:r w:rsidR="00D621B8">
        <w:rPr>
          <w:rFonts w:ascii="Times New Roman" w:hAnsi="Times New Roman"/>
          <w:lang w:val="pt-BR"/>
        </w:rPr>
        <w:t>Para esses catalisadores, 0,094 mmol de tetraclo</w:t>
      </w:r>
      <w:r w:rsidR="003F668E">
        <w:rPr>
          <w:rFonts w:ascii="Times New Roman" w:hAnsi="Times New Roman"/>
          <w:lang w:val="pt-BR"/>
        </w:rPr>
        <w:t>ropaladato (II)</w:t>
      </w:r>
      <w:r w:rsidR="00D621B8">
        <w:rPr>
          <w:rFonts w:ascii="Times New Roman" w:hAnsi="Times New Roman"/>
          <w:lang w:val="pt-BR"/>
        </w:rPr>
        <w:t xml:space="preserve"> de potássio (98 % Pd, Sigma Aldrich) e 0.7 mL de uma solução contento 2% de álcool poli vinílico (</w:t>
      </w:r>
      <w:r w:rsidR="00D621B8" w:rsidRPr="00D621B8">
        <w:rPr>
          <w:rFonts w:ascii="Times New Roman" w:hAnsi="Times New Roman"/>
          <w:lang w:val="pt-BR"/>
        </w:rPr>
        <w:t>Sigma Aldrich, Mw:9.000-10.000, 80% h</w:t>
      </w:r>
      <w:r w:rsidR="003F668E">
        <w:rPr>
          <w:rFonts w:ascii="Times New Roman" w:hAnsi="Times New Roman"/>
          <w:lang w:val="pt-BR"/>
        </w:rPr>
        <w:t>idrolisado</w:t>
      </w:r>
      <w:r w:rsidR="00D621B8">
        <w:rPr>
          <w:rFonts w:ascii="Times New Roman" w:hAnsi="Times New Roman"/>
          <w:lang w:val="pt-BR"/>
        </w:rPr>
        <w:t>)</w:t>
      </w:r>
      <w:r w:rsidR="001104FA">
        <w:rPr>
          <w:rFonts w:ascii="Times New Roman" w:hAnsi="Times New Roman"/>
          <w:lang w:val="pt-BR"/>
        </w:rPr>
        <w:t xml:space="preserve"> foram adicionados </w:t>
      </w:r>
      <w:r w:rsidR="00F76E0F">
        <w:rPr>
          <w:rFonts w:ascii="Times New Roman" w:hAnsi="Times New Roman"/>
          <w:lang w:val="pt-BR"/>
        </w:rPr>
        <w:t xml:space="preserve">a </w:t>
      </w:r>
      <w:r w:rsidR="001104FA">
        <w:rPr>
          <w:rFonts w:ascii="Times New Roman" w:hAnsi="Times New Roman"/>
          <w:lang w:val="pt-BR"/>
        </w:rPr>
        <w:t>800 mL</w:t>
      </w:r>
      <w:r w:rsidR="00F76E0F">
        <w:rPr>
          <w:rFonts w:ascii="Times New Roman" w:hAnsi="Times New Roman"/>
          <w:lang w:val="pt-BR"/>
        </w:rPr>
        <w:t xml:space="preserve"> de água deionizada e a soluç</w:t>
      </w:r>
      <w:r w:rsidR="00B056B0">
        <w:rPr>
          <w:rFonts w:ascii="Times New Roman" w:hAnsi="Times New Roman"/>
          <w:lang w:val="pt-BR"/>
        </w:rPr>
        <w:t xml:space="preserve">ão </w:t>
      </w:r>
      <w:r w:rsidR="00F76E0F">
        <w:rPr>
          <w:rFonts w:ascii="Times New Roman" w:hAnsi="Times New Roman"/>
          <w:lang w:val="pt-BR"/>
        </w:rPr>
        <w:t>foi magneticamente agitada</w:t>
      </w:r>
      <w:r w:rsidR="00B056B0">
        <w:rPr>
          <w:rFonts w:ascii="Times New Roman" w:hAnsi="Times New Roman"/>
          <w:lang w:val="pt-BR"/>
        </w:rPr>
        <w:t xml:space="preserve"> por 10 min. Em seguida, 4,7 mL de uma solução 0,1 M de borohidreto de sódio (Sigma-Aldrich) foram adicionados </w:t>
      </w:r>
      <w:r w:rsidR="003171F9">
        <w:rPr>
          <w:rFonts w:ascii="Times New Roman" w:hAnsi="Times New Roman"/>
          <w:lang w:val="pt-BR"/>
        </w:rPr>
        <w:t xml:space="preserve">à </w:t>
      </w:r>
      <w:r w:rsidR="00B056B0">
        <w:rPr>
          <w:rFonts w:ascii="Times New Roman" w:hAnsi="Times New Roman"/>
          <w:lang w:val="pt-BR"/>
        </w:rPr>
        <w:t>mistura. Depois de 30 minutos, 990 mg do suporte foram adicionados e o pH da solução foi ajustado para 2 pela adição de H</w:t>
      </w:r>
      <w:r w:rsidR="00B056B0" w:rsidRPr="00B056B0">
        <w:rPr>
          <w:rFonts w:ascii="Times New Roman" w:hAnsi="Times New Roman"/>
          <w:vertAlign w:val="subscript"/>
          <w:lang w:val="pt-BR"/>
        </w:rPr>
        <w:t>2</w:t>
      </w:r>
      <w:r w:rsidR="00B056B0">
        <w:rPr>
          <w:rFonts w:ascii="Times New Roman" w:hAnsi="Times New Roman"/>
          <w:lang w:val="pt-BR"/>
        </w:rPr>
        <w:t>SO</w:t>
      </w:r>
      <w:r w:rsidR="00B056B0" w:rsidRPr="00B056B0">
        <w:rPr>
          <w:rFonts w:ascii="Times New Roman" w:hAnsi="Times New Roman"/>
          <w:vertAlign w:val="subscript"/>
          <w:lang w:val="pt-BR"/>
        </w:rPr>
        <w:t>4</w:t>
      </w:r>
      <w:r w:rsidR="00B056B0">
        <w:rPr>
          <w:rFonts w:ascii="Times New Roman" w:hAnsi="Times New Roman"/>
          <w:lang w:val="pt-BR"/>
        </w:rPr>
        <w:t xml:space="preserve">. A mistura foi agitada magneticamente por 2 horas. Ao final, o catalisador foi filtrado, lavado com 400 mL de água deionizada e seco em mufla por 3h. Os catalisadores sintetizados por esse método </w:t>
      </w:r>
      <w:r w:rsidR="008750F9">
        <w:rPr>
          <w:rFonts w:ascii="Times New Roman" w:hAnsi="Times New Roman"/>
          <w:lang w:val="pt-BR"/>
        </w:rPr>
        <w:t xml:space="preserve">possuem 1 wt% de Pd e </w:t>
      </w:r>
      <w:r w:rsidR="00B056B0">
        <w:rPr>
          <w:rFonts w:ascii="Times New Roman" w:hAnsi="Times New Roman"/>
          <w:lang w:val="pt-BR"/>
        </w:rPr>
        <w:t>foram denominados: Pd/TiO</w:t>
      </w:r>
      <w:r w:rsidR="00B056B0" w:rsidRPr="00B056B0">
        <w:rPr>
          <w:rFonts w:ascii="Times New Roman" w:hAnsi="Times New Roman"/>
          <w:vertAlign w:val="subscript"/>
          <w:lang w:val="pt-BR"/>
        </w:rPr>
        <w:t>2</w:t>
      </w:r>
      <w:r w:rsidR="00B056B0">
        <w:rPr>
          <w:rFonts w:ascii="Times New Roman" w:hAnsi="Times New Roman"/>
          <w:lang w:val="pt-BR"/>
        </w:rPr>
        <w:t>-sol e Pd/Nb</w:t>
      </w:r>
      <w:r w:rsidR="00B056B0" w:rsidRPr="00B056B0">
        <w:rPr>
          <w:rFonts w:ascii="Times New Roman" w:hAnsi="Times New Roman"/>
          <w:vertAlign w:val="subscript"/>
          <w:lang w:val="pt-BR"/>
        </w:rPr>
        <w:t>2</w:t>
      </w:r>
      <w:r w:rsidR="00B056B0">
        <w:rPr>
          <w:rFonts w:ascii="Times New Roman" w:hAnsi="Times New Roman"/>
          <w:lang w:val="pt-BR"/>
        </w:rPr>
        <w:t>O</w:t>
      </w:r>
      <w:r w:rsidR="00B056B0" w:rsidRPr="00B056B0">
        <w:rPr>
          <w:rFonts w:ascii="Times New Roman" w:hAnsi="Times New Roman"/>
          <w:vertAlign w:val="subscript"/>
          <w:lang w:val="pt-BR"/>
        </w:rPr>
        <w:t>5</w:t>
      </w:r>
      <w:r w:rsidR="00B056B0">
        <w:rPr>
          <w:rFonts w:ascii="Times New Roman" w:hAnsi="Times New Roman"/>
          <w:lang w:val="pt-BR"/>
        </w:rPr>
        <w:t>-sol</w:t>
      </w:r>
    </w:p>
    <w:p w14:paraId="60B40900" w14:textId="77777777" w:rsidR="00535C02" w:rsidRDefault="00535C02" w:rsidP="00EA4E1B">
      <w:pPr>
        <w:pStyle w:val="TAMainText"/>
        <w:rPr>
          <w:rFonts w:ascii="Times New Roman" w:hAnsi="Times New Roman"/>
          <w:lang w:val="pt-BR"/>
        </w:rPr>
      </w:pPr>
    </w:p>
    <w:p w14:paraId="75CA1F66" w14:textId="77777777" w:rsidR="0019443C" w:rsidRDefault="0019443C" w:rsidP="00EA4E1B">
      <w:pPr>
        <w:pStyle w:val="TAMainText"/>
        <w:rPr>
          <w:rFonts w:ascii="Times New Roman" w:hAnsi="Times New Roman"/>
          <w:i/>
          <w:lang w:val="pt-BR"/>
        </w:rPr>
      </w:pPr>
      <w:r>
        <w:rPr>
          <w:rFonts w:ascii="Times New Roman" w:hAnsi="Times New Roman"/>
          <w:i/>
          <w:lang w:val="pt-BR"/>
        </w:rPr>
        <w:t>Caracterização</w:t>
      </w:r>
    </w:p>
    <w:p w14:paraId="715E2D57" w14:textId="77777777" w:rsidR="00BC556C" w:rsidRDefault="00BC556C" w:rsidP="00EA4E1B">
      <w:pPr>
        <w:pStyle w:val="TAMainText"/>
        <w:rPr>
          <w:rFonts w:ascii="Times New Roman" w:hAnsi="Times New Roman"/>
          <w:i/>
          <w:lang w:val="pt-BR"/>
        </w:rPr>
      </w:pPr>
    </w:p>
    <w:p w14:paraId="66237ED8" w14:textId="27095660" w:rsidR="0090759A" w:rsidRDefault="0090759A" w:rsidP="0090759A">
      <w:pPr>
        <w:pStyle w:val="TAMainText"/>
        <w:ind w:firstLine="0"/>
        <w:rPr>
          <w:rFonts w:ascii="Times New Roman" w:hAnsi="Times New Roman"/>
          <w:lang w:val="pt-BR"/>
        </w:rPr>
      </w:pPr>
      <w:r>
        <w:rPr>
          <w:rFonts w:ascii="Times New Roman" w:hAnsi="Times New Roman"/>
          <w:lang w:val="pt-BR"/>
        </w:rPr>
        <w:t xml:space="preserve">O teor de Pd </w:t>
      </w:r>
      <w:r w:rsidR="001E4A50">
        <w:rPr>
          <w:rFonts w:ascii="Times New Roman" w:hAnsi="Times New Roman"/>
          <w:lang w:val="pt-BR"/>
        </w:rPr>
        <w:t xml:space="preserve">dos catalisadores </w:t>
      </w:r>
      <w:r>
        <w:rPr>
          <w:rFonts w:ascii="Times New Roman" w:hAnsi="Times New Roman"/>
          <w:lang w:val="pt-BR"/>
        </w:rPr>
        <w:t>foi determinado por espectro</w:t>
      </w:r>
      <w:r w:rsidR="001E4A50">
        <w:rPr>
          <w:rFonts w:ascii="Times New Roman" w:hAnsi="Times New Roman"/>
          <w:lang w:val="pt-BR"/>
        </w:rPr>
        <w:t>metria</w:t>
      </w:r>
      <w:r>
        <w:rPr>
          <w:rFonts w:ascii="Times New Roman" w:hAnsi="Times New Roman"/>
          <w:lang w:val="pt-BR"/>
        </w:rPr>
        <w:t xml:space="preserve"> de emissão ótica </w:t>
      </w:r>
      <w:r w:rsidR="001E4A50">
        <w:rPr>
          <w:rFonts w:ascii="Times New Roman" w:hAnsi="Times New Roman"/>
          <w:lang w:val="pt-BR"/>
        </w:rPr>
        <w:t>com</w:t>
      </w:r>
      <w:r>
        <w:rPr>
          <w:rFonts w:ascii="Times New Roman" w:hAnsi="Times New Roman"/>
          <w:lang w:val="pt-BR"/>
        </w:rPr>
        <w:t xml:space="preserve"> plasma indutivamente</w:t>
      </w:r>
      <w:r w:rsidR="001E4A50">
        <w:rPr>
          <w:rFonts w:ascii="Times New Roman" w:hAnsi="Times New Roman"/>
          <w:lang w:val="pt-BR"/>
        </w:rPr>
        <w:t xml:space="preserve"> acoplado em um aparelho</w:t>
      </w:r>
      <w:r>
        <w:rPr>
          <w:rFonts w:ascii="Times New Roman" w:hAnsi="Times New Roman"/>
          <w:lang w:val="pt-BR"/>
        </w:rPr>
        <w:t xml:space="preserve"> 720-ES ICP-OES</w:t>
      </w:r>
      <w:r w:rsidR="008F5A1D">
        <w:rPr>
          <w:rFonts w:ascii="Times New Roman" w:hAnsi="Times New Roman"/>
          <w:lang w:val="pt-BR"/>
        </w:rPr>
        <w:t xml:space="preserve"> (</w:t>
      </w:r>
      <w:r>
        <w:rPr>
          <w:rFonts w:ascii="Times New Roman" w:hAnsi="Times New Roman"/>
          <w:lang w:val="pt-BR"/>
        </w:rPr>
        <w:t>Agilent</w:t>
      </w:r>
      <w:r w:rsidR="008F5A1D">
        <w:rPr>
          <w:rFonts w:ascii="Times New Roman" w:hAnsi="Times New Roman"/>
          <w:lang w:val="pt-BR"/>
        </w:rPr>
        <w:t>)</w:t>
      </w:r>
      <w:r>
        <w:rPr>
          <w:rFonts w:ascii="Times New Roman" w:hAnsi="Times New Roman"/>
          <w:lang w:val="pt-BR"/>
        </w:rPr>
        <w:t xml:space="preserve">. </w:t>
      </w:r>
      <w:r w:rsidR="001E4A50">
        <w:rPr>
          <w:rFonts w:ascii="Times New Roman" w:hAnsi="Times New Roman"/>
          <w:lang w:val="pt-BR"/>
        </w:rPr>
        <w:t xml:space="preserve">A área específica de cada amostra foi </w:t>
      </w:r>
      <w:r w:rsidR="008F5A1D">
        <w:rPr>
          <w:rFonts w:ascii="Times New Roman" w:hAnsi="Times New Roman"/>
          <w:lang w:val="pt-BR"/>
        </w:rPr>
        <w:t>medida por fisissorção de N</w:t>
      </w:r>
      <w:r w:rsidR="008F5A1D" w:rsidRPr="008F5A1D">
        <w:rPr>
          <w:rFonts w:ascii="Times New Roman" w:hAnsi="Times New Roman"/>
          <w:vertAlign w:val="subscript"/>
          <w:lang w:val="pt-BR"/>
        </w:rPr>
        <w:t>2</w:t>
      </w:r>
      <w:r w:rsidR="008F5A1D">
        <w:rPr>
          <w:rFonts w:ascii="Times New Roman" w:hAnsi="Times New Roman"/>
          <w:lang w:val="pt-BR"/>
        </w:rPr>
        <w:t xml:space="preserve"> usando</w:t>
      </w:r>
      <w:r w:rsidR="00DA0D35">
        <w:rPr>
          <w:rFonts w:ascii="Times New Roman" w:hAnsi="Times New Roman"/>
          <w:lang w:val="pt-BR"/>
        </w:rPr>
        <w:t xml:space="preserve"> </w:t>
      </w:r>
      <w:r w:rsidR="008F5A1D">
        <w:rPr>
          <w:rFonts w:ascii="Times New Roman" w:hAnsi="Times New Roman"/>
          <w:lang w:val="pt-BR"/>
        </w:rPr>
        <w:t>um equipamento ASAP 2020 (Micromeritics). Todas as áreas foram calculadas pelo m</w:t>
      </w:r>
      <w:r w:rsidR="001E4A50">
        <w:rPr>
          <w:rFonts w:ascii="Times New Roman" w:hAnsi="Times New Roman"/>
          <w:lang w:val="pt-BR"/>
        </w:rPr>
        <w:t xml:space="preserve">étodo </w:t>
      </w:r>
      <w:r w:rsidR="001E4A50" w:rsidRPr="001E4A50">
        <w:rPr>
          <w:rFonts w:ascii="Times New Roman" w:hAnsi="Times New Roman"/>
          <w:lang w:val="pt-BR"/>
        </w:rPr>
        <w:t>de</w:t>
      </w:r>
      <w:r w:rsidR="00730231">
        <w:rPr>
          <w:rFonts w:ascii="Times New Roman" w:hAnsi="Times New Roman"/>
          <w:lang w:val="pt-BR"/>
        </w:rPr>
        <w:t xml:space="preserve"> </w:t>
      </w:r>
      <w:r w:rsidR="001E4A50" w:rsidRPr="001E4A50">
        <w:rPr>
          <w:rFonts w:ascii="Times New Roman" w:hAnsi="Times New Roman"/>
          <w:lang w:val="pt-BR"/>
        </w:rPr>
        <w:t>Brunauer-Emmet-Teller (BET)</w:t>
      </w:r>
      <w:r w:rsidR="001E4A50">
        <w:rPr>
          <w:rFonts w:ascii="Times New Roman" w:hAnsi="Times New Roman"/>
          <w:lang w:val="pt-BR"/>
        </w:rPr>
        <w:t>.</w:t>
      </w:r>
      <w:r w:rsidR="008F5A1D">
        <w:rPr>
          <w:rFonts w:ascii="Times New Roman" w:hAnsi="Times New Roman"/>
          <w:lang w:val="pt-BR"/>
        </w:rPr>
        <w:t xml:space="preserve"> A distribuição de tamanho de partícula de Pd foi medida por microscopia eletrônica de transmissão (TEM)</w:t>
      </w:r>
      <w:r w:rsidR="00A30922">
        <w:rPr>
          <w:rFonts w:ascii="Times New Roman" w:hAnsi="Times New Roman"/>
          <w:lang w:val="pt-BR"/>
        </w:rPr>
        <w:t xml:space="preserve">. Antes das análises de TEM, </w:t>
      </w:r>
      <w:r w:rsidR="00BF3127">
        <w:rPr>
          <w:rFonts w:ascii="Times New Roman" w:hAnsi="Times New Roman"/>
          <w:lang w:val="pt-BR"/>
        </w:rPr>
        <w:t>os catalisadores impregnados</w:t>
      </w:r>
      <w:r w:rsidR="00A30922">
        <w:rPr>
          <w:rFonts w:ascii="Times New Roman" w:hAnsi="Times New Roman"/>
          <w:lang w:val="pt-BR"/>
        </w:rPr>
        <w:t xml:space="preserve"> foram previamente reduzid</w:t>
      </w:r>
      <w:r w:rsidR="00BF3127">
        <w:rPr>
          <w:rFonts w:ascii="Times New Roman" w:hAnsi="Times New Roman"/>
          <w:lang w:val="pt-BR"/>
        </w:rPr>
        <w:t>o</w:t>
      </w:r>
      <w:r w:rsidR="00A30922">
        <w:rPr>
          <w:rFonts w:ascii="Times New Roman" w:hAnsi="Times New Roman"/>
          <w:lang w:val="pt-BR"/>
        </w:rPr>
        <w:t xml:space="preserve">s </w:t>
      </w:r>
      <w:r w:rsidR="00BF3127">
        <w:rPr>
          <w:rFonts w:ascii="Times New Roman" w:hAnsi="Times New Roman"/>
          <w:lang w:val="pt-BR"/>
        </w:rPr>
        <w:t>com</w:t>
      </w:r>
      <w:r w:rsidR="00A30922">
        <w:rPr>
          <w:rFonts w:ascii="Times New Roman" w:hAnsi="Times New Roman"/>
          <w:lang w:val="pt-BR"/>
        </w:rPr>
        <w:t xml:space="preserve"> uma mistura de 5% de H</w:t>
      </w:r>
      <w:r w:rsidR="00A30922" w:rsidRPr="00A30922">
        <w:rPr>
          <w:rFonts w:ascii="Times New Roman" w:hAnsi="Times New Roman"/>
          <w:vertAlign w:val="subscript"/>
          <w:lang w:val="pt-BR"/>
        </w:rPr>
        <w:t>2</w:t>
      </w:r>
      <w:r w:rsidR="00A30922">
        <w:rPr>
          <w:rFonts w:ascii="Times New Roman" w:hAnsi="Times New Roman"/>
          <w:lang w:val="pt-BR"/>
        </w:rPr>
        <w:t xml:space="preserve"> em </w:t>
      </w:r>
      <w:r w:rsidR="003171F9">
        <w:rPr>
          <w:rFonts w:ascii="Times New Roman" w:hAnsi="Times New Roman"/>
          <w:lang w:val="pt-BR"/>
        </w:rPr>
        <w:t xml:space="preserve">Ar </w:t>
      </w:r>
      <w:r w:rsidR="00A30922">
        <w:rPr>
          <w:rFonts w:ascii="Times New Roman" w:hAnsi="Times New Roman"/>
          <w:lang w:val="pt-BR"/>
        </w:rPr>
        <w:t>(50 mL min</w:t>
      </w:r>
      <w:r w:rsidR="00A30922" w:rsidRPr="00A30922">
        <w:rPr>
          <w:rFonts w:ascii="Times New Roman" w:hAnsi="Times New Roman"/>
          <w:vertAlign w:val="superscript"/>
          <w:lang w:val="pt-BR"/>
        </w:rPr>
        <w:t>-1</w:t>
      </w:r>
      <w:r w:rsidR="00A30922">
        <w:rPr>
          <w:rFonts w:ascii="Times New Roman" w:hAnsi="Times New Roman"/>
          <w:lang w:val="pt-BR"/>
        </w:rPr>
        <w:t xml:space="preserve">) a 500 °C (5 °C min </w:t>
      </w:r>
      <w:r w:rsidR="00A30922" w:rsidRPr="00A30922">
        <w:rPr>
          <w:rFonts w:ascii="Times New Roman" w:hAnsi="Times New Roman"/>
          <w:vertAlign w:val="superscript"/>
          <w:lang w:val="pt-BR"/>
        </w:rPr>
        <w:t>-1</w:t>
      </w:r>
      <w:r w:rsidR="00A30922">
        <w:rPr>
          <w:rFonts w:ascii="Times New Roman" w:hAnsi="Times New Roman"/>
          <w:lang w:val="pt-BR"/>
        </w:rPr>
        <w:t>) e passivadas a temperatura ambiente em uma mistura de 5 % O</w:t>
      </w:r>
      <w:r w:rsidR="00A30922" w:rsidRPr="00A30922">
        <w:rPr>
          <w:rFonts w:ascii="Times New Roman" w:hAnsi="Times New Roman"/>
          <w:vertAlign w:val="subscript"/>
          <w:lang w:val="pt-BR"/>
        </w:rPr>
        <w:t>2</w:t>
      </w:r>
      <w:r w:rsidR="00A30922">
        <w:rPr>
          <w:rFonts w:ascii="Times New Roman" w:hAnsi="Times New Roman"/>
          <w:lang w:val="pt-BR"/>
        </w:rPr>
        <w:t>/N</w:t>
      </w:r>
      <w:r w:rsidR="00A30922" w:rsidRPr="00A30922">
        <w:rPr>
          <w:rFonts w:ascii="Times New Roman" w:hAnsi="Times New Roman"/>
          <w:vertAlign w:val="subscript"/>
          <w:lang w:val="pt-BR"/>
        </w:rPr>
        <w:t>2</w:t>
      </w:r>
      <w:r w:rsidR="00A30922">
        <w:rPr>
          <w:rFonts w:ascii="Times New Roman" w:hAnsi="Times New Roman"/>
          <w:lang w:val="pt-BR"/>
        </w:rPr>
        <w:t xml:space="preserve"> (30 mL min</w:t>
      </w:r>
      <w:r w:rsidR="00A30922" w:rsidRPr="00A30922">
        <w:rPr>
          <w:rFonts w:ascii="Times New Roman" w:hAnsi="Times New Roman"/>
          <w:vertAlign w:val="superscript"/>
          <w:lang w:val="pt-BR"/>
        </w:rPr>
        <w:t>-1</w:t>
      </w:r>
      <w:r w:rsidR="00A30922">
        <w:rPr>
          <w:rFonts w:ascii="Times New Roman" w:hAnsi="Times New Roman"/>
          <w:lang w:val="pt-BR"/>
        </w:rPr>
        <w:t xml:space="preserve">). </w:t>
      </w:r>
      <w:r w:rsidR="003171F9">
        <w:rPr>
          <w:rFonts w:ascii="Times New Roman" w:hAnsi="Times New Roman"/>
          <w:lang w:val="pt-BR"/>
        </w:rPr>
        <w:t xml:space="preserve">A </w:t>
      </w:r>
      <w:r w:rsidR="00A30922">
        <w:rPr>
          <w:rFonts w:ascii="Times New Roman" w:hAnsi="Times New Roman"/>
          <w:lang w:val="pt-BR"/>
        </w:rPr>
        <w:t>natureza e quantidade de sítios ácidos fo</w:t>
      </w:r>
      <w:r w:rsidR="00F11B1E">
        <w:rPr>
          <w:rFonts w:ascii="Times New Roman" w:hAnsi="Times New Roman"/>
          <w:lang w:val="pt-BR"/>
        </w:rPr>
        <w:t xml:space="preserve">ram </w:t>
      </w:r>
      <w:r w:rsidR="00A30922">
        <w:rPr>
          <w:rFonts w:ascii="Times New Roman" w:hAnsi="Times New Roman"/>
          <w:lang w:val="pt-BR"/>
        </w:rPr>
        <w:t>determinad</w:t>
      </w:r>
      <w:r w:rsidR="00F11B1E">
        <w:rPr>
          <w:rFonts w:ascii="Times New Roman" w:hAnsi="Times New Roman"/>
          <w:lang w:val="pt-BR"/>
        </w:rPr>
        <w:t>os por espectroscopia na região do infravermelho utilizando o equipamento Thermos Nicolet Protege 460 equipado com detector MCT.</w:t>
      </w:r>
    </w:p>
    <w:p w14:paraId="7AC608CB" w14:textId="77777777" w:rsidR="001E4A50" w:rsidRPr="0090759A" w:rsidRDefault="001E4A50" w:rsidP="0090759A">
      <w:pPr>
        <w:pStyle w:val="TAMainText"/>
        <w:ind w:firstLine="0"/>
        <w:rPr>
          <w:rFonts w:ascii="Times New Roman" w:hAnsi="Times New Roman"/>
          <w:lang w:val="pt-BR"/>
        </w:rPr>
      </w:pPr>
    </w:p>
    <w:p w14:paraId="1A4C5C45" w14:textId="77777777" w:rsidR="0019443C" w:rsidRDefault="0019443C" w:rsidP="00BF3127">
      <w:pPr>
        <w:pStyle w:val="TAMainText"/>
        <w:ind w:left="284" w:firstLine="0"/>
        <w:rPr>
          <w:rFonts w:ascii="Times New Roman" w:hAnsi="Times New Roman"/>
          <w:i/>
          <w:lang w:val="pt-BR"/>
        </w:rPr>
      </w:pPr>
      <w:r>
        <w:rPr>
          <w:rFonts w:ascii="Times New Roman" w:hAnsi="Times New Roman"/>
          <w:i/>
          <w:lang w:val="pt-BR"/>
        </w:rPr>
        <w:t>Hidrodesoxigenação do fenetoxibenzeno</w:t>
      </w:r>
    </w:p>
    <w:p w14:paraId="6E6C2D95" w14:textId="77777777" w:rsidR="00BC556C" w:rsidRDefault="00BC556C" w:rsidP="00BF3127">
      <w:pPr>
        <w:pStyle w:val="TAMainText"/>
        <w:ind w:left="284" w:firstLine="0"/>
        <w:rPr>
          <w:rFonts w:ascii="Times New Roman" w:hAnsi="Times New Roman"/>
          <w:i/>
          <w:lang w:val="pt-BR"/>
        </w:rPr>
      </w:pPr>
    </w:p>
    <w:p w14:paraId="7E7C74BE" w14:textId="0329C4AE" w:rsidR="00BF3127" w:rsidRDefault="00BF3127" w:rsidP="00F11B1E">
      <w:pPr>
        <w:pStyle w:val="TAMainText"/>
        <w:ind w:firstLine="0"/>
        <w:rPr>
          <w:rFonts w:ascii="Times New Roman" w:hAnsi="Times New Roman"/>
          <w:lang w:val="pt-BR"/>
        </w:rPr>
      </w:pPr>
      <w:r>
        <w:rPr>
          <w:rFonts w:ascii="Times New Roman" w:hAnsi="Times New Roman"/>
          <w:lang w:val="pt-BR"/>
        </w:rPr>
        <w:t>As reações</w:t>
      </w:r>
      <w:r w:rsidR="00DA0D35">
        <w:rPr>
          <w:rFonts w:ascii="Times New Roman" w:hAnsi="Times New Roman"/>
          <w:lang w:val="pt-BR"/>
        </w:rPr>
        <w:t xml:space="preserve"> </w:t>
      </w:r>
      <w:r>
        <w:rPr>
          <w:rFonts w:ascii="Times New Roman" w:hAnsi="Times New Roman"/>
          <w:lang w:val="pt-BR"/>
        </w:rPr>
        <w:t>foram realizadas em reator Parr</w:t>
      </w:r>
      <w:r w:rsidR="008750F9">
        <w:rPr>
          <w:rFonts w:ascii="Times New Roman" w:hAnsi="Times New Roman"/>
          <w:lang w:val="pt-BR"/>
        </w:rPr>
        <w:t xml:space="preserve"> equipado com agitador magnético</w:t>
      </w:r>
      <w:r w:rsidR="003171F9">
        <w:rPr>
          <w:rFonts w:ascii="Times New Roman" w:hAnsi="Times New Roman"/>
          <w:lang w:val="pt-BR"/>
        </w:rPr>
        <w:t xml:space="preserve"> a 230 °C e 18 bar de H</w:t>
      </w:r>
      <w:r w:rsidR="003171F9" w:rsidRPr="00421ECF">
        <w:rPr>
          <w:rFonts w:ascii="Times New Roman" w:hAnsi="Times New Roman"/>
          <w:vertAlign w:val="subscript"/>
          <w:lang w:val="pt-BR"/>
        </w:rPr>
        <w:t>2</w:t>
      </w:r>
      <w:r>
        <w:rPr>
          <w:rFonts w:ascii="Times New Roman" w:hAnsi="Times New Roman"/>
          <w:lang w:val="pt-BR"/>
        </w:rPr>
        <w:t xml:space="preserve">. </w:t>
      </w:r>
      <w:r w:rsidR="008750F9">
        <w:rPr>
          <w:rFonts w:ascii="Times New Roman" w:hAnsi="Times New Roman"/>
          <w:lang w:val="pt-BR"/>
        </w:rPr>
        <w:t>Antes de cada teste, os catalisadores impregnados foram reduzidos sob 30 bar de H</w:t>
      </w:r>
      <w:r w:rsidR="008750F9" w:rsidRPr="008750F9">
        <w:rPr>
          <w:rFonts w:ascii="Times New Roman" w:hAnsi="Times New Roman"/>
          <w:vertAlign w:val="subscript"/>
          <w:lang w:val="pt-BR"/>
        </w:rPr>
        <w:t>2</w:t>
      </w:r>
      <w:r w:rsidR="008750F9">
        <w:rPr>
          <w:rFonts w:ascii="Times New Roman" w:hAnsi="Times New Roman"/>
          <w:lang w:val="pt-BR"/>
        </w:rPr>
        <w:t>, (50 mL.min</w:t>
      </w:r>
      <w:r w:rsidR="008750F9" w:rsidRPr="008750F9">
        <w:rPr>
          <w:rFonts w:ascii="Times New Roman" w:hAnsi="Times New Roman"/>
          <w:vertAlign w:val="superscript"/>
          <w:lang w:val="pt-BR"/>
        </w:rPr>
        <w:t>-1</w:t>
      </w:r>
      <w:r w:rsidR="008750F9">
        <w:rPr>
          <w:rFonts w:ascii="Times New Roman" w:hAnsi="Times New Roman"/>
          <w:lang w:val="pt-BR"/>
        </w:rPr>
        <w:t xml:space="preserve">) a 400 °C. </w:t>
      </w:r>
      <w:r>
        <w:rPr>
          <w:rFonts w:ascii="Times New Roman" w:hAnsi="Times New Roman"/>
          <w:lang w:val="pt-BR"/>
        </w:rPr>
        <w:t>Para cada teste, 15 mL da mistura reacional</w:t>
      </w:r>
      <w:r w:rsidR="008750F9">
        <w:rPr>
          <w:rFonts w:ascii="Times New Roman" w:hAnsi="Times New Roman"/>
          <w:lang w:val="pt-BR"/>
        </w:rPr>
        <w:t xml:space="preserve"> contendo fenetoxibenzeno (62 mmol. </w:t>
      </w:r>
      <w:r w:rsidR="008750F9">
        <w:rPr>
          <w:rFonts w:ascii="Times New Roman" w:hAnsi="Times New Roman"/>
          <w:lang w:val="pt-BR"/>
        </w:rPr>
        <w:t>L</w:t>
      </w:r>
      <w:r w:rsidR="008750F9" w:rsidRPr="008750F9">
        <w:rPr>
          <w:rFonts w:ascii="Times New Roman" w:hAnsi="Times New Roman"/>
          <w:vertAlign w:val="superscript"/>
          <w:lang w:val="pt-BR"/>
        </w:rPr>
        <w:t>-1</w:t>
      </w:r>
      <w:r w:rsidR="008750F9">
        <w:rPr>
          <w:rFonts w:ascii="Times New Roman" w:hAnsi="Times New Roman"/>
          <w:lang w:val="pt-BR"/>
        </w:rPr>
        <w:t>)em decalina (15 mL) foram adicionados ao reator com a quantidade desejada de catalisador. Após reação, os produtos foram analisados em cromatógrafo gasoso</w:t>
      </w:r>
      <w:r w:rsidR="00B06829">
        <w:rPr>
          <w:rFonts w:ascii="Times New Roman" w:hAnsi="Times New Roman"/>
          <w:lang w:val="pt-BR"/>
        </w:rPr>
        <w:t xml:space="preserve"> </w:t>
      </w:r>
      <w:r w:rsidR="005102D4">
        <w:rPr>
          <w:rFonts w:ascii="Times New Roman" w:hAnsi="Times New Roman"/>
          <w:lang w:val="pt-BR"/>
        </w:rPr>
        <w:t>equipado com coluna CP-WA</w:t>
      </w:r>
      <w:r w:rsidR="00421ECF">
        <w:rPr>
          <w:rFonts w:ascii="Times New Roman" w:hAnsi="Times New Roman"/>
          <w:lang w:val="pt-BR"/>
        </w:rPr>
        <w:t>X</w:t>
      </w:r>
      <w:r w:rsidR="005102D4">
        <w:rPr>
          <w:rFonts w:ascii="Times New Roman" w:hAnsi="Times New Roman"/>
          <w:lang w:val="pt-BR"/>
        </w:rPr>
        <w:t xml:space="preserve"> 52 CB e identificados por espectrometria de massas.</w:t>
      </w:r>
    </w:p>
    <w:p w14:paraId="07978747" w14:textId="77777777" w:rsidR="003A565E" w:rsidRPr="001F25B2" w:rsidRDefault="003A565E" w:rsidP="00F11B1E">
      <w:pPr>
        <w:pStyle w:val="TAMainText"/>
        <w:ind w:firstLine="0"/>
        <w:rPr>
          <w:rFonts w:ascii="Times New Roman" w:hAnsi="Times New Roman"/>
          <w:lang w:val="pt-BR"/>
        </w:rPr>
      </w:pPr>
    </w:p>
    <w:p w14:paraId="5B2D51C8" w14:textId="77777777" w:rsidR="00EA4E1B" w:rsidRPr="00E31BB4" w:rsidRDefault="0019443C" w:rsidP="00EA4E1B">
      <w:pPr>
        <w:pStyle w:val="Ttulo2"/>
        <w:rPr>
          <w:rFonts w:ascii="Helvetica" w:hAnsi="Helvetica" w:cs="Helvetica"/>
          <w:sz w:val="24"/>
          <w:szCs w:val="24"/>
        </w:rPr>
      </w:pPr>
      <w:r w:rsidRPr="00E31BB4">
        <w:rPr>
          <w:rFonts w:ascii="Helvetica" w:hAnsi="Helvetica" w:cs="Helvetica"/>
          <w:sz w:val="24"/>
          <w:szCs w:val="24"/>
        </w:rPr>
        <w:t>Resultados e discussão</w:t>
      </w:r>
    </w:p>
    <w:p w14:paraId="7EAE0917" w14:textId="66EB9EAA" w:rsidR="00E97C02" w:rsidRPr="00E31BB4" w:rsidRDefault="00B06829" w:rsidP="001104FA">
      <w:pPr>
        <w:pStyle w:val="TAMainText"/>
        <w:ind w:firstLine="187"/>
        <w:rPr>
          <w:rFonts w:ascii="Times New Roman" w:hAnsi="Times New Roman"/>
          <w:lang w:val="pt-BR"/>
        </w:rPr>
      </w:pPr>
      <w:r w:rsidRPr="00E31BB4">
        <w:rPr>
          <w:rFonts w:ascii="Times New Roman" w:hAnsi="Times New Roman"/>
          <w:lang w:val="pt-BR"/>
        </w:rPr>
        <w:t xml:space="preserve">A Tabela 1 apresenta os principais </w:t>
      </w:r>
      <w:r w:rsidR="00651A40" w:rsidRPr="00E31BB4">
        <w:rPr>
          <w:rFonts w:ascii="Times New Roman" w:hAnsi="Times New Roman"/>
          <w:lang w:val="pt-BR"/>
        </w:rPr>
        <w:t>resultados</w:t>
      </w:r>
      <w:r w:rsidRPr="00E31BB4">
        <w:rPr>
          <w:rFonts w:ascii="Times New Roman" w:hAnsi="Times New Roman"/>
          <w:lang w:val="pt-BR"/>
        </w:rPr>
        <w:t xml:space="preserve"> de caracterização realizados para os </w:t>
      </w:r>
      <w:r w:rsidR="00EA5A99" w:rsidRPr="00E31BB4">
        <w:rPr>
          <w:rFonts w:ascii="Times New Roman" w:hAnsi="Times New Roman"/>
          <w:lang w:val="pt-BR"/>
        </w:rPr>
        <w:t>materiais</w:t>
      </w:r>
      <w:r w:rsidRPr="00E31BB4">
        <w:rPr>
          <w:rFonts w:ascii="Times New Roman" w:hAnsi="Times New Roman"/>
          <w:lang w:val="pt-BR"/>
        </w:rPr>
        <w:t xml:space="preserve"> </w:t>
      </w:r>
      <w:r w:rsidR="00651A40" w:rsidRPr="00E31BB4">
        <w:rPr>
          <w:rFonts w:ascii="Times New Roman" w:hAnsi="Times New Roman"/>
          <w:lang w:val="pt-BR"/>
        </w:rPr>
        <w:t>sintetizados</w:t>
      </w:r>
      <w:r w:rsidRPr="00E31BB4">
        <w:rPr>
          <w:rFonts w:ascii="Times New Roman" w:hAnsi="Times New Roman"/>
          <w:lang w:val="pt-BR"/>
        </w:rPr>
        <w:t xml:space="preserve">. </w:t>
      </w:r>
      <w:r w:rsidR="00651A40" w:rsidRPr="00E31BB4">
        <w:rPr>
          <w:rFonts w:ascii="Times New Roman" w:hAnsi="Times New Roman"/>
          <w:lang w:val="pt-BR"/>
        </w:rPr>
        <w:t>Para todos os catalisadores, o</w:t>
      </w:r>
      <w:r w:rsidRPr="00E31BB4">
        <w:rPr>
          <w:rFonts w:ascii="Times New Roman" w:hAnsi="Times New Roman"/>
          <w:lang w:val="pt-BR"/>
        </w:rPr>
        <w:t xml:space="preserve">s teores de paládio </w:t>
      </w:r>
      <w:r w:rsidR="00EA5A99" w:rsidRPr="00E31BB4">
        <w:rPr>
          <w:rFonts w:ascii="Times New Roman" w:hAnsi="Times New Roman"/>
          <w:lang w:val="pt-BR"/>
        </w:rPr>
        <w:t xml:space="preserve">encontrados </w:t>
      </w:r>
      <w:r w:rsidRPr="00E31BB4">
        <w:rPr>
          <w:rFonts w:ascii="Times New Roman" w:hAnsi="Times New Roman"/>
          <w:lang w:val="pt-BR"/>
        </w:rPr>
        <w:t xml:space="preserve">estão próximos </w:t>
      </w:r>
      <w:r w:rsidR="00651A40" w:rsidRPr="00E31BB4">
        <w:rPr>
          <w:rFonts w:ascii="Times New Roman" w:hAnsi="Times New Roman"/>
          <w:lang w:val="pt-BR"/>
        </w:rPr>
        <w:t>aos</w:t>
      </w:r>
      <w:r w:rsidRPr="00E31BB4">
        <w:rPr>
          <w:rFonts w:ascii="Times New Roman" w:hAnsi="Times New Roman"/>
          <w:lang w:val="pt-BR"/>
        </w:rPr>
        <w:t xml:space="preserve"> valores nominais, 2 wt.% para os catalisadores impregnados e 1 wt.% para os catalisadores preparados via imobilização. </w:t>
      </w:r>
      <w:r w:rsidR="00A53886" w:rsidRPr="00E31BB4">
        <w:rPr>
          <w:rFonts w:ascii="Times New Roman" w:hAnsi="Times New Roman"/>
          <w:lang w:val="pt-BR"/>
        </w:rPr>
        <w:t xml:space="preserve">Com relação ao tamanho de partícula, os catalisadores impregnados apresentaram maior tamanho de partícula (&gt; 6 nm) que os catalisadores imobilizados (&lt; 3 nm). </w:t>
      </w:r>
      <w:r w:rsidR="00651A40" w:rsidRPr="00E31BB4">
        <w:rPr>
          <w:rFonts w:ascii="Times New Roman" w:hAnsi="Times New Roman"/>
          <w:lang w:val="pt-BR"/>
        </w:rPr>
        <w:t>A concentração dos sítios ácidos de Lewis e Brönsted foi medida por espectroscopia na região do infravermelho através da adsorção de piridina. Os catalisadores suportados em titânia apresentaram apenas sítios ácidos de Lewis enquanto os catalisadores suportados em niobia apresentaram sítios ácidos de Lewis e Brönsted.</w:t>
      </w:r>
    </w:p>
    <w:p w14:paraId="11108AAA" w14:textId="77777777" w:rsidR="000B5624" w:rsidRPr="00E31BB4" w:rsidRDefault="000B5624" w:rsidP="001104FA">
      <w:pPr>
        <w:pStyle w:val="TAMainText"/>
        <w:ind w:firstLine="187"/>
        <w:rPr>
          <w:rFonts w:ascii="Times New Roman" w:hAnsi="Times New Roman"/>
          <w:lang w:val="pt-BR"/>
        </w:rPr>
      </w:pPr>
    </w:p>
    <w:p w14:paraId="4FFB1AB4" w14:textId="5DD5FDE9" w:rsidR="00E97C02" w:rsidRPr="00E31BB4" w:rsidRDefault="00E97C02" w:rsidP="00E97C02">
      <w:pPr>
        <w:pStyle w:val="VDTableTitle"/>
        <w:spacing w:after="120"/>
        <w:jc w:val="both"/>
        <w:rPr>
          <w:rFonts w:ascii="Times New Roman" w:hAnsi="Times New Roman"/>
          <w:lang w:val="pt-BR"/>
        </w:rPr>
      </w:pPr>
      <w:r w:rsidRPr="00E31BB4">
        <w:rPr>
          <w:rFonts w:ascii="Times New Roman" w:hAnsi="Times New Roman"/>
          <w:b/>
          <w:lang w:val="pt-BR"/>
        </w:rPr>
        <w:t>Tabela 1.</w:t>
      </w:r>
      <w:r w:rsidRPr="00E31BB4">
        <w:rPr>
          <w:rFonts w:ascii="Times New Roman" w:hAnsi="Times New Roman"/>
          <w:lang w:val="pt-BR"/>
        </w:rPr>
        <w:t xml:space="preserve"> </w:t>
      </w:r>
      <w:r w:rsidR="006F4600" w:rsidRPr="00E31BB4">
        <w:rPr>
          <w:rFonts w:ascii="Times New Roman" w:hAnsi="Times New Roman"/>
          <w:lang w:val="pt-BR"/>
        </w:rPr>
        <w:t xml:space="preserve">Teores de Pd, área específica, tamanho de partícula e acidez dos catalisadores à base de paládio. </w:t>
      </w:r>
    </w:p>
    <w:tbl>
      <w:tblPr>
        <w:tblStyle w:val="Tabelacomgrade"/>
        <w:tblW w:w="51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3"/>
        <w:gridCol w:w="823"/>
        <w:gridCol w:w="698"/>
        <w:gridCol w:w="656"/>
        <w:gridCol w:w="1012"/>
      </w:tblGrid>
      <w:tr w:rsidR="006F4600" w:rsidRPr="00374DF9" w14:paraId="78C9DD0E" w14:textId="77777777" w:rsidTr="006F4600">
        <w:tc>
          <w:tcPr>
            <w:tcW w:w="1101" w:type="dxa"/>
          </w:tcPr>
          <w:p w14:paraId="7957D93E" w14:textId="77777777" w:rsidR="00000BEA" w:rsidRPr="00E31BB4" w:rsidRDefault="00000BEA" w:rsidP="00374DF9">
            <w:pPr>
              <w:pStyle w:val="TAMainText"/>
              <w:ind w:firstLine="0"/>
              <w:jc w:val="center"/>
              <w:rPr>
                <w:rFonts w:ascii="Times New Roman" w:hAnsi="Times New Roman"/>
                <w:sz w:val="18"/>
                <w:szCs w:val="18"/>
                <w:lang w:val="pt-BR"/>
              </w:rPr>
            </w:pPr>
          </w:p>
        </w:tc>
        <w:tc>
          <w:tcPr>
            <w:tcW w:w="813" w:type="dxa"/>
          </w:tcPr>
          <w:p w14:paraId="5AB0F3B5" w14:textId="77777777" w:rsidR="00000BEA" w:rsidRPr="00E31BB4" w:rsidRDefault="00000BEA" w:rsidP="00374DF9">
            <w:pPr>
              <w:pStyle w:val="TAMainText"/>
              <w:ind w:firstLine="0"/>
              <w:jc w:val="center"/>
              <w:rPr>
                <w:rFonts w:ascii="Times New Roman" w:hAnsi="Times New Roman"/>
                <w:sz w:val="18"/>
                <w:szCs w:val="18"/>
                <w:lang w:val="pt-BR"/>
              </w:rPr>
            </w:pPr>
          </w:p>
        </w:tc>
        <w:tc>
          <w:tcPr>
            <w:tcW w:w="823" w:type="dxa"/>
          </w:tcPr>
          <w:p w14:paraId="3A36263F" w14:textId="70FDFBC7" w:rsidR="00000BEA" w:rsidRPr="00E31BB4" w:rsidRDefault="00000BEA" w:rsidP="00374DF9">
            <w:pPr>
              <w:pStyle w:val="TAMainText"/>
              <w:ind w:firstLine="0"/>
              <w:jc w:val="center"/>
              <w:rPr>
                <w:rFonts w:ascii="Times New Roman" w:hAnsi="Times New Roman"/>
                <w:sz w:val="18"/>
                <w:szCs w:val="18"/>
                <w:lang w:val="pt-BR"/>
              </w:rPr>
            </w:pPr>
          </w:p>
        </w:tc>
        <w:tc>
          <w:tcPr>
            <w:tcW w:w="698" w:type="dxa"/>
          </w:tcPr>
          <w:p w14:paraId="4A660924" w14:textId="77777777" w:rsidR="00000BEA" w:rsidRPr="00E31BB4" w:rsidRDefault="00000BEA" w:rsidP="00374DF9">
            <w:pPr>
              <w:pStyle w:val="TAMainText"/>
              <w:ind w:firstLine="0"/>
              <w:jc w:val="center"/>
              <w:rPr>
                <w:rFonts w:ascii="Times New Roman" w:hAnsi="Times New Roman"/>
                <w:sz w:val="18"/>
                <w:szCs w:val="18"/>
                <w:lang w:val="pt-BR"/>
              </w:rPr>
            </w:pPr>
          </w:p>
        </w:tc>
        <w:tc>
          <w:tcPr>
            <w:tcW w:w="1668" w:type="dxa"/>
            <w:gridSpan w:val="2"/>
            <w:tcBorders>
              <w:top w:val="single" w:sz="4" w:space="0" w:color="auto"/>
              <w:bottom w:val="single" w:sz="4" w:space="0" w:color="auto"/>
            </w:tcBorders>
          </w:tcPr>
          <w:p w14:paraId="1BCF3FA8" w14:textId="2948D733" w:rsidR="00000BEA" w:rsidRPr="00374DF9" w:rsidRDefault="00000BEA" w:rsidP="00000BEA">
            <w:pPr>
              <w:pStyle w:val="TAMainText"/>
              <w:spacing w:before="40" w:after="40"/>
              <w:ind w:firstLine="0"/>
              <w:jc w:val="center"/>
              <w:rPr>
                <w:rFonts w:ascii="Times New Roman" w:hAnsi="Times New Roman"/>
                <w:sz w:val="18"/>
                <w:szCs w:val="18"/>
                <w:lang w:val="pt-BR"/>
              </w:rPr>
            </w:pPr>
            <w:r w:rsidRPr="00E31BB4">
              <w:rPr>
                <w:rFonts w:ascii="Times New Roman" w:hAnsi="Times New Roman"/>
                <w:sz w:val="18"/>
                <w:szCs w:val="18"/>
                <w:lang w:val="pt-BR"/>
              </w:rPr>
              <w:t>Acidez (</w:t>
            </w:r>
            <w:r w:rsidRPr="00E31BB4">
              <w:rPr>
                <w:rFonts w:ascii="Symbol" w:hAnsi="Symbol"/>
                <w:sz w:val="18"/>
                <w:szCs w:val="18"/>
                <w:lang w:val="pt-BR"/>
              </w:rPr>
              <w:t>m</w:t>
            </w:r>
            <w:r w:rsidRPr="00E31BB4">
              <w:rPr>
                <w:rFonts w:ascii="Times New Roman" w:hAnsi="Times New Roman"/>
                <w:sz w:val="18"/>
                <w:szCs w:val="18"/>
                <w:lang w:val="pt-BR"/>
              </w:rPr>
              <w:t>mol.g</w:t>
            </w:r>
            <w:r w:rsidRPr="00E31BB4">
              <w:rPr>
                <w:rFonts w:ascii="Times New Roman" w:hAnsi="Times New Roman"/>
                <w:sz w:val="18"/>
                <w:szCs w:val="18"/>
                <w:vertAlign w:val="superscript"/>
                <w:lang w:val="pt-BR"/>
              </w:rPr>
              <w:t>-1</w:t>
            </w:r>
            <w:r w:rsidRPr="00E31BB4">
              <w:rPr>
                <w:rFonts w:ascii="Times New Roman" w:hAnsi="Times New Roman"/>
                <w:sz w:val="18"/>
                <w:szCs w:val="18"/>
                <w:lang w:val="pt-BR"/>
              </w:rPr>
              <w:t>)</w:t>
            </w:r>
            <w:r w:rsidR="006F4600" w:rsidRPr="00E31BB4">
              <w:rPr>
                <w:rFonts w:ascii="Times New Roman" w:hAnsi="Times New Roman"/>
                <w:sz w:val="18"/>
                <w:szCs w:val="18"/>
                <w:vertAlign w:val="superscript"/>
                <w:lang w:val="pt-BR"/>
              </w:rPr>
              <w:t>[c]</w:t>
            </w:r>
          </w:p>
        </w:tc>
      </w:tr>
      <w:tr w:rsidR="006F4600" w:rsidRPr="00374DF9" w14:paraId="497D6252" w14:textId="77777777" w:rsidTr="006F4600">
        <w:tc>
          <w:tcPr>
            <w:tcW w:w="1101" w:type="dxa"/>
            <w:tcBorders>
              <w:bottom w:val="single" w:sz="4" w:space="0" w:color="auto"/>
            </w:tcBorders>
          </w:tcPr>
          <w:p w14:paraId="630852DB" w14:textId="77777777" w:rsidR="00000BEA" w:rsidRPr="00374DF9" w:rsidRDefault="00000BEA" w:rsidP="00374DF9">
            <w:pPr>
              <w:pStyle w:val="TAMainText"/>
              <w:ind w:firstLine="0"/>
              <w:jc w:val="center"/>
              <w:rPr>
                <w:rFonts w:ascii="Times New Roman" w:hAnsi="Times New Roman"/>
                <w:sz w:val="18"/>
                <w:szCs w:val="18"/>
                <w:lang w:val="pt-BR"/>
              </w:rPr>
            </w:pPr>
          </w:p>
        </w:tc>
        <w:tc>
          <w:tcPr>
            <w:tcW w:w="813" w:type="dxa"/>
            <w:tcBorders>
              <w:bottom w:val="single" w:sz="4" w:space="0" w:color="auto"/>
            </w:tcBorders>
          </w:tcPr>
          <w:p w14:paraId="3D104E1E" w14:textId="1D9287B0" w:rsidR="00000BEA" w:rsidRDefault="00000BEA" w:rsidP="00000BEA">
            <w:pPr>
              <w:pStyle w:val="TAMainText"/>
              <w:spacing w:before="40" w:after="40"/>
              <w:ind w:firstLine="0"/>
              <w:jc w:val="center"/>
              <w:rPr>
                <w:rFonts w:ascii="Times New Roman" w:hAnsi="Times New Roman"/>
                <w:sz w:val="18"/>
                <w:szCs w:val="18"/>
                <w:lang w:val="pt-BR"/>
              </w:rPr>
            </w:pPr>
            <w:r>
              <w:rPr>
                <w:rFonts w:ascii="Times New Roman" w:hAnsi="Times New Roman"/>
                <w:sz w:val="18"/>
                <w:szCs w:val="18"/>
                <w:lang w:val="pt-BR"/>
              </w:rPr>
              <w:t xml:space="preserve">Pd </w:t>
            </w:r>
            <w:r w:rsidR="006F4600" w:rsidRPr="006F4600">
              <w:rPr>
                <w:rFonts w:ascii="Times New Roman" w:hAnsi="Times New Roman"/>
                <w:sz w:val="18"/>
                <w:szCs w:val="18"/>
                <w:vertAlign w:val="superscript"/>
                <w:lang w:val="pt-BR"/>
              </w:rPr>
              <w:t>[a]</w:t>
            </w:r>
          </w:p>
          <w:p w14:paraId="0F114095" w14:textId="3168D3CF" w:rsidR="00000BEA" w:rsidRPr="00374DF9" w:rsidRDefault="00000BEA" w:rsidP="00000BEA">
            <w:pPr>
              <w:pStyle w:val="TAMainText"/>
              <w:spacing w:before="40" w:after="40"/>
              <w:ind w:firstLine="0"/>
              <w:jc w:val="center"/>
              <w:rPr>
                <w:rFonts w:ascii="Times New Roman" w:hAnsi="Times New Roman"/>
                <w:sz w:val="18"/>
                <w:szCs w:val="18"/>
                <w:lang w:val="pt-BR"/>
              </w:rPr>
            </w:pPr>
            <w:r>
              <w:rPr>
                <w:rFonts w:ascii="Times New Roman" w:hAnsi="Times New Roman"/>
                <w:sz w:val="18"/>
                <w:szCs w:val="18"/>
                <w:lang w:val="pt-BR"/>
              </w:rPr>
              <w:t>(wt. %)</w:t>
            </w:r>
          </w:p>
        </w:tc>
        <w:tc>
          <w:tcPr>
            <w:tcW w:w="823" w:type="dxa"/>
            <w:tcBorders>
              <w:bottom w:val="single" w:sz="4" w:space="0" w:color="auto"/>
            </w:tcBorders>
          </w:tcPr>
          <w:p w14:paraId="515F80A3" w14:textId="51824EAE" w:rsidR="00000BEA" w:rsidRPr="00374DF9" w:rsidRDefault="00000BEA" w:rsidP="00000BEA">
            <w:pPr>
              <w:pStyle w:val="TAMainText"/>
              <w:spacing w:before="40" w:after="40"/>
              <w:ind w:firstLine="0"/>
              <w:jc w:val="center"/>
              <w:rPr>
                <w:rFonts w:ascii="Times New Roman" w:hAnsi="Times New Roman"/>
                <w:sz w:val="18"/>
                <w:szCs w:val="18"/>
                <w:lang w:val="pt-BR"/>
              </w:rPr>
            </w:pPr>
            <w:r w:rsidRPr="00374DF9">
              <w:rPr>
                <w:rFonts w:ascii="Times New Roman" w:hAnsi="Times New Roman"/>
                <w:sz w:val="18"/>
                <w:szCs w:val="18"/>
                <w:lang w:val="pt-BR"/>
              </w:rPr>
              <w:t>BET (m</w:t>
            </w:r>
            <w:r w:rsidRPr="00374DF9">
              <w:rPr>
                <w:rFonts w:ascii="Times New Roman" w:hAnsi="Times New Roman"/>
                <w:sz w:val="18"/>
                <w:szCs w:val="18"/>
                <w:vertAlign w:val="superscript"/>
                <w:lang w:val="pt-BR"/>
              </w:rPr>
              <w:t>2</w:t>
            </w:r>
            <w:r w:rsidRPr="00374DF9">
              <w:rPr>
                <w:rFonts w:ascii="Times New Roman" w:hAnsi="Times New Roman"/>
                <w:sz w:val="18"/>
                <w:szCs w:val="18"/>
                <w:lang w:val="pt-BR"/>
              </w:rPr>
              <w:t>g</w:t>
            </w:r>
            <w:r w:rsidRPr="00374DF9">
              <w:rPr>
                <w:rFonts w:ascii="Times New Roman" w:hAnsi="Times New Roman"/>
                <w:sz w:val="18"/>
                <w:szCs w:val="18"/>
                <w:vertAlign w:val="superscript"/>
                <w:lang w:val="pt-BR"/>
              </w:rPr>
              <w:t>-1</w:t>
            </w:r>
            <w:r w:rsidRPr="00374DF9">
              <w:rPr>
                <w:rFonts w:ascii="Times New Roman" w:hAnsi="Times New Roman"/>
                <w:sz w:val="18"/>
                <w:szCs w:val="18"/>
                <w:lang w:val="pt-BR"/>
              </w:rPr>
              <w:t>)</w:t>
            </w:r>
          </w:p>
        </w:tc>
        <w:tc>
          <w:tcPr>
            <w:tcW w:w="698" w:type="dxa"/>
            <w:tcBorders>
              <w:bottom w:val="single" w:sz="4" w:space="0" w:color="auto"/>
            </w:tcBorders>
          </w:tcPr>
          <w:p w14:paraId="57D6C854" w14:textId="00F444FC" w:rsidR="00000BEA" w:rsidRPr="00374DF9" w:rsidRDefault="00000BEA" w:rsidP="00000BEA">
            <w:pPr>
              <w:pStyle w:val="TAMainText"/>
              <w:spacing w:before="40" w:after="40"/>
              <w:ind w:firstLine="0"/>
              <w:jc w:val="center"/>
              <w:rPr>
                <w:rFonts w:ascii="Times New Roman" w:hAnsi="Times New Roman"/>
                <w:sz w:val="18"/>
                <w:szCs w:val="18"/>
                <w:lang w:val="pt-BR"/>
              </w:rPr>
            </w:pPr>
            <w:r w:rsidRPr="00374DF9">
              <w:rPr>
                <w:rFonts w:ascii="Times New Roman" w:hAnsi="Times New Roman"/>
                <w:sz w:val="18"/>
                <w:szCs w:val="18"/>
                <w:lang w:val="pt-BR"/>
              </w:rPr>
              <w:t>Dp</w:t>
            </w:r>
            <w:r w:rsidR="006F4600">
              <w:rPr>
                <w:rFonts w:ascii="Times New Roman" w:hAnsi="Times New Roman"/>
                <w:sz w:val="18"/>
                <w:szCs w:val="18"/>
                <w:lang w:val="pt-BR"/>
              </w:rPr>
              <w:t xml:space="preserve"> </w:t>
            </w:r>
            <w:r w:rsidR="006F4600" w:rsidRPr="006F4600">
              <w:rPr>
                <w:rFonts w:ascii="Times New Roman" w:hAnsi="Times New Roman"/>
                <w:sz w:val="18"/>
                <w:szCs w:val="18"/>
                <w:vertAlign w:val="superscript"/>
                <w:lang w:val="pt-BR"/>
              </w:rPr>
              <w:t>[</w:t>
            </w:r>
            <w:r w:rsidR="006F4600">
              <w:rPr>
                <w:rFonts w:ascii="Times New Roman" w:hAnsi="Times New Roman"/>
                <w:sz w:val="18"/>
                <w:szCs w:val="18"/>
                <w:vertAlign w:val="superscript"/>
                <w:lang w:val="pt-BR"/>
              </w:rPr>
              <w:t>b</w:t>
            </w:r>
            <w:r w:rsidR="006F4600" w:rsidRPr="006F4600">
              <w:rPr>
                <w:rFonts w:ascii="Times New Roman" w:hAnsi="Times New Roman"/>
                <w:sz w:val="18"/>
                <w:szCs w:val="18"/>
                <w:vertAlign w:val="superscript"/>
                <w:lang w:val="pt-BR"/>
              </w:rPr>
              <w:t>]</w:t>
            </w:r>
            <w:r w:rsidRPr="00374DF9">
              <w:rPr>
                <w:rFonts w:ascii="Times New Roman" w:hAnsi="Times New Roman"/>
                <w:sz w:val="18"/>
                <w:szCs w:val="18"/>
                <w:lang w:val="pt-BR"/>
              </w:rPr>
              <w:t xml:space="preserve"> (nm)</w:t>
            </w:r>
          </w:p>
        </w:tc>
        <w:tc>
          <w:tcPr>
            <w:tcW w:w="656" w:type="dxa"/>
            <w:tcBorders>
              <w:top w:val="single" w:sz="4" w:space="0" w:color="auto"/>
              <w:bottom w:val="single" w:sz="4" w:space="0" w:color="auto"/>
            </w:tcBorders>
            <w:vAlign w:val="center"/>
          </w:tcPr>
          <w:p w14:paraId="65D0138F" w14:textId="30CF050A" w:rsidR="00000BEA" w:rsidRPr="00374DF9" w:rsidRDefault="00000BEA" w:rsidP="00000BEA">
            <w:pPr>
              <w:pStyle w:val="TAMainText"/>
              <w:spacing w:before="40" w:after="40"/>
              <w:ind w:firstLine="0"/>
              <w:jc w:val="center"/>
              <w:rPr>
                <w:rFonts w:ascii="Times New Roman" w:hAnsi="Times New Roman"/>
                <w:sz w:val="18"/>
                <w:szCs w:val="18"/>
                <w:lang w:val="pt-BR"/>
              </w:rPr>
            </w:pPr>
            <w:r>
              <w:rPr>
                <w:rFonts w:ascii="Times New Roman" w:hAnsi="Times New Roman"/>
                <w:sz w:val="18"/>
                <w:szCs w:val="18"/>
                <w:lang w:val="pt-BR"/>
              </w:rPr>
              <w:t>Lewis</w:t>
            </w:r>
          </w:p>
        </w:tc>
        <w:tc>
          <w:tcPr>
            <w:tcW w:w="1012" w:type="dxa"/>
            <w:tcBorders>
              <w:top w:val="single" w:sz="4" w:space="0" w:color="auto"/>
              <w:bottom w:val="single" w:sz="4" w:space="0" w:color="auto"/>
            </w:tcBorders>
            <w:vAlign w:val="center"/>
          </w:tcPr>
          <w:p w14:paraId="7A8B3501" w14:textId="2AB4A10A" w:rsidR="00000BEA" w:rsidRPr="00374DF9" w:rsidRDefault="00000BEA" w:rsidP="00000BEA">
            <w:pPr>
              <w:pStyle w:val="TAMainText"/>
              <w:spacing w:before="40" w:after="40"/>
              <w:ind w:firstLine="0"/>
              <w:jc w:val="center"/>
              <w:rPr>
                <w:rFonts w:ascii="Times New Roman" w:hAnsi="Times New Roman"/>
                <w:sz w:val="18"/>
                <w:szCs w:val="18"/>
                <w:lang w:val="pt-BR"/>
              </w:rPr>
            </w:pPr>
            <w:bookmarkStart w:id="2" w:name="_Hlk137458227"/>
            <w:r w:rsidRPr="00374DF9">
              <w:rPr>
                <w:rFonts w:ascii="Times New Roman" w:hAnsi="Times New Roman"/>
                <w:sz w:val="18"/>
                <w:szCs w:val="18"/>
                <w:lang w:val="pt-BR"/>
              </w:rPr>
              <w:t>Brönsted</w:t>
            </w:r>
            <w:bookmarkEnd w:id="2"/>
          </w:p>
        </w:tc>
      </w:tr>
      <w:tr w:rsidR="006F4600" w:rsidRPr="00374DF9" w14:paraId="384C6D3E" w14:textId="77777777" w:rsidTr="006F4600">
        <w:tc>
          <w:tcPr>
            <w:tcW w:w="1101" w:type="dxa"/>
            <w:tcBorders>
              <w:top w:val="single" w:sz="4" w:space="0" w:color="auto"/>
              <w:bottom w:val="nil"/>
            </w:tcBorders>
          </w:tcPr>
          <w:p w14:paraId="6A31C079" w14:textId="6F4F24D2" w:rsidR="00000BEA" w:rsidRPr="00374DF9" w:rsidRDefault="00000BEA" w:rsidP="00374DF9">
            <w:pPr>
              <w:pStyle w:val="TAMainText"/>
              <w:ind w:left="-113" w:firstLine="0"/>
              <w:jc w:val="center"/>
              <w:rPr>
                <w:rFonts w:ascii="Times New Roman" w:hAnsi="Times New Roman"/>
                <w:sz w:val="18"/>
                <w:szCs w:val="18"/>
                <w:lang w:val="pt-BR"/>
              </w:rPr>
            </w:pPr>
            <w:r w:rsidRPr="00374DF9">
              <w:rPr>
                <w:rFonts w:ascii="Times New Roman" w:hAnsi="Times New Roman"/>
                <w:sz w:val="18"/>
                <w:szCs w:val="18"/>
                <w:lang w:val="pt-BR"/>
              </w:rPr>
              <w:t>Pd/TiO</w:t>
            </w:r>
            <w:r w:rsidRPr="00374DF9">
              <w:rPr>
                <w:rFonts w:ascii="Times New Roman" w:hAnsi="Times New Roman"/>
                <w:sz w:val="18"/>
                <w:szCs w:val="18"/>
                <w:vertAlign w:val="subscript"/>
                <w:lang w:val="pt-BR"/>
              </w:rPr>
              <w:t>2</w:t>
            </w:r>
            <w:r w:rsidRPr="00374DF9">
              <w:rPr>
                <w:rFonts w:ascii="Times New Roman" w:hAnsi="Times New Roman"/>
                <w:sz w:val="18"/>
                <w:szCs w:val="18"/>
                <w:lang w:val="pt-BR"/>
              </w:rPr>
              <w:t>-</w:t>
            </w:r>
            <w:r w:rsidRPr="00374DF9">
              <w:rPr>
                <w:rFonts w:ascii="Times New Roman" w:hAnsi="Times New Roman"/>
                <w:sz w:val="18"/>
                <w:szCs w:val="18"/>
                <w:vertAlign w:val="subscript"/>
                <w:lang w:val="pt-BR"/>
              </w:rPr>
              <w:t>imp</w:t>
            </w:r>
          </w:p>
        </w:tc>
        <w:tc>
          <w:tcPr>
            <w:tcW w:w="813" w:type="dxa"/>
            <w:tcBorders>
              <w:top w:val="single" w:sz="4" w:space="0" w:color="auto"/>
              <w:bottom w:val="nil"/>
            </w:tcBorders>
          </w:tcPr>
          <w:p w14:paraId="798224B0" w14:textId="2118E568" w:rsidR="00000BEA"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2,0</w:t>
            </w:r>
          </w:p>
        </w:tc>
        <w:tc>
          <w:tcPr>
            <w:tcW w:w="823" w:type="dxa"/>
            <w:tcBorders>
              <w:top w:val="single" w:sz="4" w:space="0" w:color="auto"/>
              <w:bottom w:val="nil"/>
            </w:tcBorders>
          </w:tcPr>
          <w:p w14:paraId="11B1D640" w14:textId="23E73FAA"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45</w:t>
            </w:r>
          </w:p>
        </w:tc>
        <w:tc>
          <w:tcPr>
            <w:tcW w:w="698" w:type="dxa"/>
            <w:tcBorders>
              <w:top w:val="single" w:sz="4" w:space="0" w:color="auto"/>
              <w:bottom w:val="nil"/>
            </w:tcBorders>
          </w:tcPr>
          <w:p w14:paraId="6E750520" w14:textId="3696058A"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9,0</w:t>
            </w:r>
          </w:p>
        </w:tc>
        <w:tc>
          <w:tcPr>
            <w:tcW w:w="656" w:type="dxa"/>
            <w:tcBorders>
              <w:top w:val="single" w:sz="4" w:space="0" w:color="auto"/>
              <w:bottom w:val="nil"/>
            </w:tcBorders>
          </w:tcPr>
          <w:p w14:paraId="1A529F74" w14:textId="33CE6CB0"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0</w:t>
            </w:r>
          </w:p>
        </w:tc>
        <w:tc>
          <w:tcPr>
            <w:tcW w:w="1012" w:type="dxa"/>
            <w:tcBorders>
              <w:top w:val="single" w:sz="4" w:space="0" w:color="auto"/>
              <w:bottom w:val="nil"/>
            </w:tcBorders>
          </w:tcPr>
          <w:p w14:paraId="6EBBDE4F" w14:textId="6E7BE9D2"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71</w:t>
            </w:r>
          </w:p>
        </w:tc>
      </w:tr>
      <w:tr w:rsidR="006F4600" w:rsidRPr="00374DF9" w14:paraId="5DA59056" w14:textId="77777777" w:rsidTr="006F4600">
        <w:tc>
          <w:tcPr>
            <w:tcW w:w="1101" w:type="dxa"/>
            <w:tcBorders>
              <w:top w:val="nil"/>
            </w:tcBorders>
          </w:tcPr>
          <w:p w14:paraId="6707B6C4" w14:textId="009C6B0A" w:rsidR="00000BEA" w:rsidRPr="00374DF9" w:rsidRDefault="00000BEA" w:rsidP="00374DF9">
            <w:pPr>
              <w:pStyle w:val="TAMainText"/>
              <w:ind w:left="-113" w:firstLine="0"/>
              <w:jc w:val="center"/>
              <w:rPr>
                <w:rFonts w:ascii="Times New Roman" w:hAnsi="Times New Roman"/>
                <w:sz w:val="18"/>
                <w:szCs w:val="18"/>
                <w:lang w:val="pt-BR"/>
              </w:rPr>
            </w:pPr>
            <w:r w:rsidRPr="00374DF9">
              <w:rPr>
                <w:rFonts w:ascii="Times New Roman" w:hAnsi="Times New Roman"/>
                <w:sz w:val="18"/>
                <w:szCs w:val="18"/>
                <w:lang w:val="pt-BR"/>
              </w:rPr>
              <w:t>Pd/Nb</w:t>
            </w:r>
            <w:r w:rsidRPr="00374DF9">
              <w:rPr>
                <w:rFonts w:ascii="Times New Roman" w:hAnsi="Times New Roman"/>
                <w:sz w:val="18"/>
                <w:szCs w:val="18"/>
                <w:vertAlign w:val="subscript"/>
                <w:lang w:val="pt-BR"/>
              </w:rPr>
              <w:t>2</w:t>
            </w:r>
            <w:r w:rsidRPr="00374DF9">
              <w:rPr>
                <w:rFonts w:ascii="Times New Roman" w:hAnsi="Times New Roman"/>
                <w:sz w:val="18"/>
                <w:szCs w:val="18"/>
                <w:lang w:val="pt-BR"/>
              </w:rPr>
              <w:t>O</w:t>
            </w:r>
            <w:r w:rsidRPr="00374DF9">
              <w:rPr>
                <w:rFonts w:ascii="Times New Roman" w:hAnsi="Times New Roman"/>
                <w:sz w:val="18"/>
                <w:szCs w:val="18"/>
                <w:vertAlign w:val="subscript"/>
                <w:lang w:val="pt-BR"/>
              </w:rPr>
              <w:t>5</w:t>
            </w:r>
            <w:r w:rsidRPr="00374DF9">
              <w:rPr>
                <w:rFonts w:ascii="Times New Roman" w:hAnsi="Times New Roman"/>
                <w:sz w:val="18"/>
                <w:szCs w:val="18"/>
                <w:lang w:val="pt-BR"/>
              </w:rPr>
              <w:t>-</w:t>
            </w:r>
            <w:r w:rsidRPr="00374DF9">
              <w:rPr>
                <w:rFonts w:ascii="Times New Roman" w:hAnsi="Times New Roman"/>
                <w:sz w:val="18"/>
                <w:szCs w:val="18"/>
                <w:vertAlign w:val="subscript"/>
                <w:lang w:val="pt-BR"/>
              </w:rPr>
              <w:t>imp</w:t>
            </w:r>
          </w:p>
        </w:tc>
        <w:tc>
          <w:tcPr>
            <w:tcW w:w="813" w:type="dxa"/>
            <w:tcBorders>
              <w:top w:val="nil"/>
            </w:tcBorders>
          </w:tcPr>
          <w:p w14:paraId="24CA8436" w14:textId="351BC95A" w:rsidR="00000BEA"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1,9</w:t>
            </w:r>
          </w:p>
        </w:tc>
        <w:tc>
          <w:tcPr>
            <w:tcW w:w="823" w:type="dxa"/>
            <w:tcBorders>
              <w:top w:val="nil"/>
            </w:tcBorders>
          </w:tcPr>
          <w:p w14:paraId="2DFB75D7" w14:textId="10C65C2A"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66</w:t>
            </w:r>
          </w:p>
        </w:tc>
        <w:tc>
          <w:tcPr>
            <w:tcW w:w="698" w:type="dxa"/>
            <w:tcBorders>
              <w:top w:val="nil"/>
            </w:tcBorders>
          </w:tcPr>
          <w:p w14:paraId="22E47D84" w14:textId="459DBFE4"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6,8</w:t>
            </w:r>
          </w:p>
        </w:tc>
        <w:tc>
          <w:tcPr>
            <w:tcW w:w="656" w:type="dxa"/>
            <w:tcBorders>
              <w:top w:val="nil"/>
            </w:tcBorders>
          </w:tcPr>
          <w:p w14:paraId="32B00493" w14:textId="186A5417"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13</w:t>
            </w:r>
          </w:p>
        </w:tc>
        <w:tc>
          <w:tcPr>
            <w:tcW w:w="1012" w:type="dxa"/>
            <w:tcBorders>
              <w:top w:val="nil"/>
            </w:tcBorders>
          </w:tcPr>
          <w:p w14:paraId="25AC4A27" w14:textId="2D4A3F14"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60</w:t>
            </w:r>
          </w:p>
        </w:tc>
      </w:tr>
      <w:tr w:rsidR="006F4600" w:rsidRPr="00374DF9" w14:paraId="359A9EA3" w14:textId="77777777" w:rsidTr="006F4600">
        <w:tc>
          <w:tcPr>
            <w:tcW w:w="1101" w:type="dxa"/>
          </w:tcPr>
          <w:p w14:paraId="339F08BD" w14:textId="5E1FEDE4" w:rsidR="00000BEA" w:rsidRPr="00374DF9" w:rsidRDefault="00000BEA" w:rsidP="00374DF9">
            <w:pPr>
              <w:pStyle w:val="TAMainText"/>
              <w:ind w:left="-113" w:firstLine="0"/>
              <w:jc w:val="center"/>
              <w:rPr>
                <w:rFonts w:ascii="Times New Roman" w:hAnsi="Times New Roman"/>
                <w:sz w:val="18"/>
                <w:szCs w:val="18"/>
                <w:lang w:val="pt-BR"/>
              </w:rPr>
            </w:pPr>
            <w:r w:rsidRPr="00374DF9">
              <w:rPr>
                <w:rFonts w:ascii="Times New Roman" w:hAnsi="Times New Roman"/>
                <w:sz w:val="18"/>
                <w:szCs w:val="18"/>
                <w:lang w:val="pt-BR"/>
              </w:rPr>
              <w:t>Pd/TiO</w:t>
            </w:r>
            <w:r w:rsidRPr="00374DF9">
              <w:rPr>
                <w:rFonts w:ascii="Times New Roman" w:hAnsi="Times New Roman"/>
                <w:sz w:val="18"/>
                <w:szCs w:val="18"/>
                <w:vertAlign w:val="subscript"/>
                <w:lang w:val="pt-BR"/>
              </w:rPr>
              <w:t>2</w:t>
            </w:r>
            <w:r w:rsidRPr="00374DF9">
              <w:rPr>
                <w:rFonts w:ascii="Times New Roman" w:hAnsi="Times New Roman"/>
                <w:sz w:val="18"/>
                <w:szCs w:val="18"/>
                <w:lang w:val="pt-BR"/>
              </w:rPr>
              <w:t>-</w:t>
            </w:r>
            <w:r w:rsidRPr="00374DF9">
              <w:rPr>
                <w:rFonts w:ascii="Times New Roman" w:hAnsi="Times New Roman"/>
                <w:sz w:val="18"/>
                <w:szCs w:val="18"/>
                <w:vertAlign w:val="subscript"/>
                <w:lang w:val="pt-BR"/>
              </w:rPr>
              <w:t>sol</w:t>
            </w:r>
          </w:p>
        </w:tc>
        <w:tc>
          <w:tcPr>
            <w:tcW w:w="813" w:type="dxa"/>
          </w:tcPr>
          <w:p w14:paraId="6D57C94E" w14:textId="054D0AAC" w:rsidR="00000BEA"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0,9</w:t>
            </w:r>
          </w:p>
        </w:tc>
        <w:tc>
          <w:tcPr>
            <w:tcW w:w="823" w:type="dxa"/>
          </w:tcPr>
          <w:p w14:paraId="771EF7CC" w14:textId="083ED400"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56</w:t>
            </w:r>
          </w:p>
        </w:tc>
        <w:tc>
          <w:tcPr>
            <w:tcW w:w="698" w:type="dxa"/>
          </w:tcPr>
          <w:p w14:paraId="7A1555B3" w14:textId="17BC0542"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3,4</w:t>
            </w:r>
          </w:p>
        </w:tc>
        <w:tc>
          <w:tcPr>
            <w:tcW w:w="656" w:type="dxa"/>
          </w:tcPr>
          <w:p w14:paraId="1F85B954" w14:textId="1462A99A"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0</w:t>
            </w:r>
          </w:p>
        </w:tc>
        <w:tc>
          <w:tcPr>
            <w:tcW w:w="1012" w:type="dxa"/>
          </w:tcPr>
          <w:p w14:paraId="68238462" w14:textId="356F0215"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76</w:t>
            </w:r>
          </w:p>
        </w:tc>
      </w:tr>
      <w:tr w:rsidR="006F4600" w:rsidRPr="00374DF9" w14:paraId="22785C73" w14:textId="77777777" w:rsidTr="006F4600">
        <w:tc>
          <w:tcPr>
            <w:tcW w:w="1101" w:type="dxa"/>
          </w:tcPr>
          <w:p w14:paraId="07C4906F" w14:textId="1499E50D" w:rsidR="00000BEA" w:rsidRPr="00374DF9" w:rsidRDefault="00000BEA" w:rsidP="00374DF9">
            <w:pPr>
              <w:pStyle w:val="TAMainText"/>
              <w:ind w:left="-113" w:firstLine="0"/>
              <w:jc w:val="center"/>
              <w:rPr>
                <w:rFonts w:ascii="Times New Roman" w:hAnsi="Times New Roman"/>
                <w:sz w:val="18"/>
                <w:szCs w:val="18"/>
                <w:lang w:val="pt-BR"/>
              </w:rPr>
            </w:pPr>
            <w:r w:rsidRPr="00374DF9">
              <w:rPr>
                <w:rFonts w:ascii="Times New Roman" w:hAnsi="Times New Roman"/>
                <w:sz w:val="18"/>
                <w:szCs w:val="18"/>
                <w:lang w:val="pt-BR"/>
              </w:rPr>
              <w:t>Pd/Nb</w:t>
            </w:r>
            <w:r w:rsidRPr="00374DF9">
              <w:rPr>
                <w:rFonts w:ascii="Times New Roman" w:hAnsi="Times New Roman"/>
                <w:sz w:val="18"/>
                <w:szCs w:val="18"/>
                <w:vertAlign w:val="subscript"/>
                <w:lang w:val="pt-BR"/>
              </w:rPr>
              <w:t>2</w:t>
            </w:r>
            <w:r w:rsidRPr="00374DF9">
              <w:rPr>
                <w:rFonts w:ascii="Times New Roman" w:hAnsi="Times New Roman"/>
                <w:sz w:val="18"/>
                <w:szCs w:val="18"/>
                <w:lang w:val="pt-BR"/>
              </w:rPr>
              <w:t>O</w:t>
            </w:r>
            <w:r w:rsidRPr="00374DF9">
              <w:rPr>
                <w:rFonts w:ascii="Times New Roman" w:hAnsi="Times New Roman"/>
                <w:sz w:val="18"/>
                <w:szCs w:val="18"/>
                <w:vertAlign w:val="subscript"/>
                <w:lang w:val="pt-BR"/>
              </w:rPr>
              <w:t>5</w:t>
            </w:r>
            <w:r w:rsidRPr="00374DF9">
              <w:rPr>
                <w:rFonts w:ascii="Times New Roman" w:hAnsi="Times New Roman"/>
                <w:sz w:val="18"/>
                <w:szCs w:val="18"/>
                <w:lang w:val="pt-BR"/>
              </w:rPr>
              <w:t>-</w:t>
            </w:r>
            <w:r w:rsidRPr="00374DF9">
              <w:rPr>
                <w:rFonts w:ascii="Times New Roman" w:hAnsi="Times New Roman"/>
                <w:sz w:val="18"/>
                <w:szCs w:val="18"/>
                <w:vertAlign w:val="subscript"/>
                <w:lang w:val="pt-BR"/>
              </w:rPr>
              <w:t>sol</w:t>
            </w:r>
          </w:p>
        </w:tc>
        <w:tc>
          <w:tcPr>
            <w:tcW w:w="813" w:type="dxa"/>
          </w:tcPr>
          <w:p w14:paraId="3DA51FA4" w14:textId="4488F54C" w:rsidR="00000BEA"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0,9</w:t>
            </w:r>
          </w:p>
        </w:tc>
        <w:tc>
          <w:tcPr>
            <w:tcW w:w="823" w:type="dxa"/>
          </w:tcPr>
          <w:p w14:paraId="1AE5B52A" w14:textId="5BD2B636"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99</w:t>
            </w:r>
          </w:p>
        </w:tc>
        <w:tc>
          <w:tcPr>
            <w:tcW w:w="698" w:type="dxa"/>
          </w:tcPr>
          <w:p w14:paraId="7963C0A1" w14:textId="031EDB77"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2,0</w:t>
            </w:r>
          </w:p>
        </w:tc>
        <w:tc>
          <w:tcPr>
            <w:tcW w:w="656" w:type="dxa"/>
          </w:tcPr>
          <w:p w14:paraId="02E1DF6C" w14:textId="324EF19A"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82</w:t>
            </w:r>
          </w:p>
        </w:tc>
        <w:tc>
          <w:tcPr>
            <w:tcW w:w="1012" w:type="dxa"/>
          </w:tcPr>
          <w:p w14:paraId="2E44DA53" w14:textId="5F4EF0BB" w:rsidR="00000BEA" w:rsidRPr="00374DF9" w:rsidRDefault="00000BEA" w:rsidP="00374DF9">
            <w:pPr>
              <w:pStyle w:val="TAMainText"/>
              <w:ind w:firstLine="0"/>
              <w:jc w:val="center"/>
              <w:rPr>
                <w:rFonts w:ascii="Times New Roman" w:hAnsi="Times New Roman"/>
                <w:sz w:val="18"/>
                <w:szCs w:val="18"/>
                <w:lang w:val="pt-BR"/>
              </w:rPr>
            </w:pPr>
            <w:r>
              <w:rPr>
                <w:rFonts w:ascii="Times New Roman" w:hAnsi="Times New Roman"/>
                <w:sz w:val="18"/>
                <w:szCs w:val="18"/>
                <w:lang w:val="pt-BR"/>
              </w:rPr>
              <w:t>22</w:t>
            </w:r>
          </w:p>
        </w:tc>
      </w:tr>
    </w:tbl>
    <w:p w14:paraId="0857FD0C" w14:textId="17F245B9" w:rsidR="00E97C02" w:rsidRPr="006F4600" w:rsidRDefault="006F4600" w:rsidP="001104FA">
      <w:pPr>
        <w:pStyle w:val="TAMainText"/>
        <w:ind w:firstLine="187"/>
        <w:rPr>
          <w:rFonts w:ascii="Times New Roman" w:hAnsi="Times New Roman"/>
          <w:sz w:val="18"/>
          <w:szCs w:val="18"/>
          <w:lang w:val="pt-BR"/>
        </w:rPr>
      </w:pPr>
      <w:r w:rsidRPr="006F4600">
        <w:rPr>
          <w:rFonts w:ascii="Times New Roman" w:hAnsi="Times New Roman"/>
          <w:sz w:val="18"/>
          <w:szCs w:val="18"/>
          <w:lang w:val="pt-BR"/>
        </w:rPr>
        <w:t>[a]</w:t>
      </w:r>
      <w:r>
        <w:rPr>
          <w:rFonts w:ascii="Times New Roman" w:hAnsi="Times New Roman"/>
          <w:sz w:val="18"/>
          <w:szCs w:val="18"/>
          <w:lang w:val="pt-BR"/>
        </w:rPr>
        <w:t xml:space="preserve"> Medida realizada por ICP</w:t>
      </w:r>
    </w:p>
    <w:p w14:paraId="6052A712" w14:textId="1C97440C" w:rsidR="006F4600" w:rsidRPr="006F4600" w:rsidRDefault="006F4600" w:rsidP="001104FA">
      <w:pPr>
        <w:pStyle w:val="TAMainText"/>
        <w:ind w:firstLine="187"/>
        <w:rPr>
          <w:rFonts w:ascii="Times New Roman" w:hAnsi="Times New Roman"/>
          <w:sz w:val="18"/>
          <w:szCs w:val="18"/>
          <w:lang w:val="pt-BR"/>
        </w:rPr>
      </w:pPr>
      <w:r w:rsidRPr="006F4600">
        <w:rPr>
          <w:rFonts w:ascii="Times New Roman" w:hAnsi="Times New Roman"/>
          <w:sz w:val="18"/>
          <w:szCs w:val="18"/>
          <w:lang w:val="pt-BR"/>
        </w:rPr>
        <w:t>[b]</w:t>
      </w:r>
      <w:r>
        <w:rPr>
          <w:rFonts w:ascii="Times New Roman" w:hAnsi="Times New Roman"/>
          <w:sz w:val="18"/>
          <w:szCs w:val="18"/>
          <w:lang w:val="pt-BR"/>
        </w:rPr>
        <w:t xml:space="preserve"> Valor </w:t>
      </w:r>
      <w:r w:rsidR="000B5624">
        <w:rPr>
          <w:rFonts w:ascii="Times New Roman" w:hAnsi="Times New Roman"/>
          <w:sz w:val="18"/>
          <w:szCs w:val="18"/>
          <w:lang w:val="pt-BR"/>
        </w:rPr>
        <w:t>estimado</w:t>
      </w:r>
      <w:r>
        <w:rPr>
          <w:rFonts w:ascii="Times New Roman" w:hAnsi="Times New Roman"/>
          <w:sz w:val="18"/>
          <w:szCs w:val="18"/>
          <w:lang w:val="pt-BR"/>
        </w:rPr>
        <w:t xml:space="preserve"> por TEM</w:t>
      </w:r>
    </w:p>
    <w:p w14:paraId="6C450976" w14:textId="3CD5C307" w:rsidR="006F4600" w:rsidRPr="006F4600" w:rsidRDefault="006F4600" w:rsidP="001104FA">
      <w:pPr>
        <w:pStyle w:val="TAMainText"/>
        <w:ind w:firstLine="187"/>
        <w:rPr>
          <w:rFonts w:ascii="Times New Roman" w:hAnsi="Times New Roman"/>
          <w:sz w:val="18"/>
          <w:szCs w:val="18"/>
          <w:lang w:val="pt-BR"/>
        </w:rPr>
      </w:pPr>
      <w:r w:rsidRPr="006F4600">
        <w:rPr>
          <w:rFonts w:ascii="Times New Roman" w:hAnsi="Times New Roman"/>
          <w:sz w:val="18"/>
          <w:szCs w:val="18"/>
          <w:lang w:val="pt-BR"/>
        </w:rPr>
        <w:t>[c]</w:t>
      </w:r>
      <w:r>
        <w:rPr>
          <w:rFonts w:ascii="Times New Roman" w:hAnsi="Times New Roman"/>
          <w:sz w:val="18"/>
          <w:szCs w:val="18"/>
          <w:lang w:val="pt-BR"/>
        </w:rPr>
        <w:t xml:space="preserve"> </w:t>
      </w:r>
      <w:r w:rsidR="000B5624">
        <w:rPr>
          <w:rFonts w:ascii="Times New Roman" w:hAnsi="Times New Roman"/>
          <w:sz w:val="18"/>
          <w:szCs w:val="18"/>
          <w:lang w:val="pt-BR"/>
        </w:rPr>
        <w:t>Determinado por adsorção de piridina (FTIR)</w:t>
      </w:r>
    </w:p>
    <w:p w14:paraId="6534BD83" w14:textId="77777777" w:rsidR="006F4600" w:rsidRPr="00374DF9" w:rsidRDefault="006F4600" w:rsidP="001104FA">
      <w:pPr>
        <w:pStyle w:val="TAMainText"/>
        <w:ind w:firstLine="187"/>
        <w:rPr>
          <w:rFonts w:ascii="Times New Roman" w:hAnsi="Times New Roman"/>
          <w:sz w:val="18"/>
          <w:szCs w:val="18"/>
          <w:lang w:val="pt-BR"/>
        </w:rPr>
      </w:pPr>
    </w:p>
    <w:p w14:paraId="74A75F30" w14:textId="2C9F8495" w:rsidR="00EA4E1B" w:rsidRPr="004B57DF" w:rsidRDefault="00421ECF" w:rsidP="001104FA">
      <w:pPr>
        <w:pStyle w:val="TAMainText"/>
        <w:ind w:firstLine="187"/>
        <w:rPr>
          <w:rFonts w:ascii="Times New Roman" w:hAnsi="Times New Roman"/>
          <w:lang w:val="pt-BR"/>
        </w:rPr>
      </w:pPr>
      <w:r>
        <w:rPr>
          <w:rFonts w:ascii="Times New Roman" w:hAnsi="Times New Roman"/>
          <w:lang w:val="pt-BR"/>
        </w:rPr>
        <w:t>Não foi observada reação no teste em branco sem catalisador e nem em presença de TiO</w:t>
      </w:r>
      <w:r w:rsidRPr="00421ECF">
        <w:rPr>
          <w:rFonts w:ascii="Times New Roman" w:hAnsi="Times New Roman"/>
          <w:vertAlign w:val="subscript"/>
          <w:lang w:val="pt-BR"/>
        </w:rPr>
        <w:t>2</w:t>
      </w:r>
      <w:r w:rsidR="00A92178" w:rsidRPr="00A92178">
        <w:rPr>
          <w:rFonts w:ascii="Times New Roman" w:hAnsi="Times New Roman"/>
          <w:lang w:val="pt-BR"/>
        </w:rPr>
        <w:t>.</w:t>
      </w:r>
      <w:r w:rsidR="008561B2">
        <w:rPr>
          <w:rFonts w:ascii="Times New Roman" w:hAnsi="Times New Roman"/>
          <w:lang w:val="pt-BR"/>
        </w:rPr>
        <w:t xml:space="preserve"> </w:t>
      </w:r>
      <w:r>
        <w:rPr>
          <w:rFonts w:ascii="Times New Roman" w:hAnsi="Times New Roman"/>
          <w:lang w:val="pt-BR"/>
        </w:rPr>
        <w:t>Quando Nb</w:t>
      </w:r>
      <w:r w:rsidRPr="00421ECF">
        <w:rPr>
          <w:rFonts w:ascii="Times New Roman" w:hAnsi="Times New Roman"/>
          <w:vertAlign w:val="subscript"/>
          <w:lang w:val="pt-BR"/>
        </w:rPr>
        <w:t>2</w:t>
      </w:r>
      <w:r>
        <w:rPr>
          <w:rFonts w:ascii="Times New Roman" w:hAnsi="Times New Roman"/>
          <w:lang w:val="pt-BR"/>
        </w:rPr>
        <w:t>O</w:t>
      </w:r>
      <w:r w:rsidRPr="00421ECF">
        <w:rPr>
          <w:rFonts w:ascii="Times New Roman" w:hAnsi="Times New Roman"/>
          <w:vertAlign w:val="subscript"/>
          <w:lang w:val="pt-BR"/>
        </w:rPr>
        <w:t>5</w:t>
      </w:r>
      <w:r>
        <w:rPr>
          <w:rFonts w:ascii="Times New Roman" w:hAnsi="Times New Roman"/>
          <w:lang w:val="pt-BR"/>
        </w:rPr>
        <w:t xml:space="preserve"> foi usado, 16 % do FEB foi convertido em etilbenzeno, phenol, ciclohexiletanol e produtos alquilados oxigenados (2 </w:t>
      </w:r>
      <w:r w:rsidR="003171F9">
        <w:rPr>
          <w:rFonts w:ascii="Times New Roman" w:hAnsi="Times New Roman"/>
          <w:lang w:val="pt-BR"/>
        </w:rPr>
        <w:t xml:space="preserve">e </w:t>
      </w:r>
      <w:r>
        <w:rPr>
          <w:rFonts w:ascii="Times New Roman" w:hAnsi="Times New Roman"/>
          <w:lang w:val="pt-BR"/>
        </w:rPr>
        <w:t>4-fenetilfenol</w:t>
      </w:r>
      <w:r w:rsidR="003B071B">
        <w:rPr>
          <w:rFonts w:ascii="Times New Roman" w:hAnsi="Times New Roman"/>
          <w:lang w:val="pt-BR"/>
        </w:rPr>
        <w:t xml:space="preserve"> - </w:t>
      </w:r>
      <w:r w:rsidR="00537F17">
        <w:rPr>
          <w:rFonts w:ascii="Times New Roman" w:hAnsi="Times New Roman"/>
          <w:lang w:val="pt-BR"/>
        </w:rPr>
        <w:t>FEB</w:t>
      </w:r>
      <w:r>
        <w:rPr>
          <w:rFonts w:ascii="Times New Roman" w:hAnsi="Times New Roman"/>
          <w:lang w:val="pt-BR"/>
        </w:rPr>
        <w:t xml:space="preserve">). Esses resultados revelam que somente o suporte </w:t>
      </w:r>
      <w:r w:rsidRPr="004B57DF">
        <w:rPr>
          <w:rFonts w:ascii="Times New Roman" w:hAnsi="Times New Roman"/>
          <w:lang w:val="pt-BR"/>
        </w:rPr>
        <w:t>com sítios ácidos de Br</w:t>
      </w:r>
      <w:r w:rsidR="00E14A88" w:rsidRPr="004B57DF">
        <w:rPr>
          <w:rFonts w:ascii="Times New Roman" w:hAnsi="Times New Roman"/>
          <w:lang w:val="pt-BR"/>
        </w:rPr>
        <w:t>ö</w:t>
      </w:r>
      <w:r w:rsidRPr="004B57DF">
        <w:rPr>
          <w:rFonts w:ascii="Times New Roman" w:hAnsi="Times New Roman"/>
          <w:lang w:val="pt-BR"/>
        </w:rPr>
        <w:t>n</w:t>
      </w:r>
      <w:r w:rsidR="00E14A88" w:rsidRPr="004B57DF">
        <w:rPr>
          <w:rFonts w:ascii="Times New Roman" w:hAnsi="Times New Roman"/>
          <w:lang w:val="pt-BR"/>
        </w:rPr>
        <w:t>s</w:t>
      </w:r>
      <w:r w:rsidRPr="004B57DF">
        <w:rPr>
          <w:rFonts w:ascii="Times New Roman" w:hAnsi="Times New Roman"/>
          <w:lang w:val="pt-BR"/>
        </w:rPr>
        <w:t>ted foram ativos para a conversão de FEB nas condições de reação u</w:t>
      </w:r>
      <w:r w:rsidR="008D1E9E" w:rsidRPr="004B57DF">
        <w:rPr>
          <w:rFonts w:ascii="Times New Roman" w:hAnsi="Times New Roman"/>
          <w:lang w:val="pt-BR"/>
        </w:rPr>
        <w:t>tilizadas</w:t>
      </w:r>
      <w:r w:rsidRPr="004B57DF">
        <w:rPr>
          <w:rFonts w:ascii="Times New Roman" w:hAnsi="Times New Roman"/>
          <w:lang w:val="pt-BR"/>
        </w:rPr>
        <w:t>.</w:t>
      </w:r>
    </w:p>
    <w:p w14:paraId="53FBA61A" w14:textId="77777777" w:rsidR="007B32D8" w:rsidRDefault="00BA7F9A" w:rsidP="001104FA">
      <w:pPr>
        <w:pStyle w:val="TAMainText"/>
        <w:ind w:firstLine="187"/>
        <w:rPr>
          <w:rFonts w:ascii="Times New Roman" w:hAnsi="Times New Roman"/>
          <w:lang w:val="pt-BR"/>
        </w:rPr>
      </w:pPr>
      <w:r w:rsidRPr="004B57DF">
        <w:rPr>
          <w:rFonts w:ascii="Times New Roman" w:hAnsi="Times New Roman"/>
          <w:lang w:val="pt-BR"/>
        </w:rPr>
        <w:t xml:space="preserve">A conversão do FEB em fenol e etilbenzeno foi reportada </w:t>
      </w:r>
      <w:r w:rsidR="00B92D0A" w:rsidRPr="004B57DF">
        <w:rPr>
          <w:rFonts w:ascii="Times New Roman" w:hAnsi="Times New Roman"/>
          <w:lang w:val="pt-BR"/>
        </w:rPr>
        <w:t>por Guan et al. (</w:t>
      </w:r>
      <w:r w:rsidR="006D7020" w:rsidRPr="004B57DF">
        <w:rPr>
          <w:rFonts w:ascii="Times New Roman" w:hAnsi="Times New Roman"/>
          <w:lang w:val="pt-BR"/>
        </w:rPr>
        <w:t>10</w:t>
      </w:r>
      <w:r w:rsidR="00B92D0A" w:rsidRPr="004B57DF">
        <w:rPr>
          <w:rFonts w:ascii="Times New Roman" w:hAnsi="Times New Roman"/>
          <w:lang w:val="pt-BR"/>
        </w:rPr>
        <w:t>)</w:t>
      </w:r>
      <w:r w:rsidRPr="004B57DF">
        <w:rPr>
          <w:rFonts w:ascii="Times New Roman" w:hAnsi="Times New Roman"/>
          <w:lang w:val="pt-BR"/>
        </w:rPr>
        <w:t xml:space="preserve"> em presença de </w:t>
      </w:r>
      <w:r w:rsidRPr="004B57DF">
        <w:rPr>
          <w:rFonts w:ascii="Times New Roman" w:hAnsi="Times New Roman"/>
          <w:i/>
          <w:iCs/>
          <w:lang w:val="pt-BR"/>
        </w:rPr>
        <w:t>n</w:t>
      </w:r>
      <w:r w:rsidRPr="004B57DF">
        <w:rPr>
          <w:rFonts w:ascii="Times New Roman" w:hAnsi="Times New Roman"/>
          <w:lang w:val="pt-BR"/>
        </w:rPr>
        <w:t xml:space="preserve">-decano </w:t>
      </w:r>
      <w:r w:rsidR="00B92D0A" w:rsidRPr="004B57DF">
        <w:rPr>
          <w:rFonts w:ascii="Times New Roman" w:hAnsi="Times New Roman"/>
          <w:lang w:val="pt-BR"/>
        </w:rPr>
        <w:t>e</w:t>
      </w:r>
      <w:r w:rsidRPr="004B57DF">
        <w:rPr>
          <w:rFonts w:ascii="Times New Roman" w:hAnsi="Times New Roman"/>
          <w:lang w:val="pt-BR"/>
        </w:rPr>
        <w:t xml:space="preserve"> Nb</w:t>
      </w:r>
      <w:r w:rsidRPr="004B57DF">
        <w:rPr>
          <w:rFonts w:ascii="Times New Roman" w:hAnsi="Times New Roman"/>
          <w:vertAlign w:val="subscript"/>
          <w:lang w:val="pt-BR"/>
        </w:rPr>
        <w:t>2</w:t>
      </w:r>
      <w:r w:rsidRPr="004B57DF">
        <w:rPr>
          <w:rFonts w:ascii="Times New Roman" w:hAnsi="Times New Roman"/>
          <w:lang w:val="pt-BR"/>
        </w:rPr>
        <w:t>O</w:t>
      </w:r>
      <w:r w:rsidRPr="004B57DF">
        <w:rPr>
          <w:rFonts w:ascii="Times New Roman" w:hAnsi="Times New Roman"/>
          <w:vertAlign w:val="subscript"/>
          <w:lang w:val="pt-BR"/>
        </w:rPr>
        <w:t>5</w:t>
      </w:r>
      <w:r w:rsidR="00B92D0A" w:rsidRPr="004B57DF">
        <w:rPr>
          <w:rFonts w:ascii="Times New Roman" w:hAnsi="Times New Roman"/>
          <w:lang w:val="pt-BR"/>
        </w:rPr>
        <w:t xml:space="preserve"> como suporte</w:t>
      </w:r>
      <w:r w:rsidRPr="004B57DF">
        <w:rPr>
          <w:rFonts w:ascii="Times New Roman" w:hAnsi="Times New Roman"/>
          <w:lang w:val="pt-BR"/>
        </w:rPr>
        <w:t xml:space="preserve"> (260 °C, 10 bar H</w:t>
      </w:r>
      <w:r w:rsidRPr="004B57DF">
        <w:rPr>
          <w:rFonts w:ascii="Times New Roman" w:hAnsi="Times New Roman"/>
          <w:vertAlign w:val="subscript"/>
          <w:lang w:val="pt-BR"/>
        </w:rPr>
        <w:t>2</w:t>
      </w:r>
      <w:r w:rsidRPr="004B57DF">
        <w:rPr>
          <w:rFonts w:ascii="Times New Roman" w:hAnsi="Times New Roman"/>
          <w:lang w:val="pt-BR"/>
        </w:rPr>
        <w:t>). Porém, a formação de outros produtos não foi observada</w:t>
      </w:r>
      <w:r w:rsidR="00B92D0A" w:rsidRPr="004B57DF">
        <w:rPr>
          <w:rFonts w:ascii="Times New Roman" w:hAnsi="Times New Roman"/>
          <w:lang w:val="pt-BR"/>
        </w:rPr>
        <w:t xml:space="preserve"> pelos autores</w:t>
      </w:r>
      <w:r w:rsidRPr="004B57DF">
        <w:rPr>
          <w:rFonts w:ascii="Times New Roman" w:hAnsi="Times New Roman"/>
          <w:lang w:val="pt-BR"/>
        </w:rPr>
        <w:t xml:space="preserve">. </w:t>
      </w:r>
      <w:r w:rsidR="00B92D0A" w:rsidRPr="004B57DF">
        <w:rPr>
          <w:rFonts w:ascii="Times New Roman" w:hAnsi="Times New Roman"/>
          <w:lang w:val="pt-BR"/>
        </w:rPr>
        <w:t>Ainda de acordo com a literatura (</w:t>
      </w:r>
      <w:r w:rsidR="006D7020" w:rsidRPr="004B57DF">
        <w:rPr>
          <w:rFonts w:ascii="Times New Roman" w:hAnsi="Times New Roman"/>
          <w:lang w:val="pt-BR"/>
        </w:rPr>
        <w:t>7,11</w:t>
      </w:r>
      <w:r w:rsidR="00B92D0A" w:rsidRPr="004B57DF">
        <w:rPr>
          <w:rFonts w:ascii="Times New Roman" w:hAnsi="Times New Roman"/>
          <w:lang w:val="pt-BR"/>
        </w:rPr>
        <w:t>), a formação dos compostos 2 e 4-</w:t>
      </w:r>
      <w:r w:rsidR="00537F17" w:rsidRPr="004B57DF">
        <w:rPr>
          <w:rFonts w:ascii="Times New Roman" w:hAnsi="Times New Roman"/>
          <w:lang w:val="pt-BR"/>
        </w:rPr>
        <w:t>FEB</w:t>
      </w:r>
      <w:r w:rsidR="00B92D0A" w:rsidRPr="004B57DF">
        <w:rPr>
          <w:rFonts w:ascii="Times New Roman" w:hAnsi="Times New Roman"/>
          <w:lang w:val="pt-BR"/>
        </w:rPr>
        <w:t>ocorre através de reações de transalquilação catalisada por sítios ácidos. A quebra da ligação C-O acontece quando prótons H</w:t>
      </w:r>
      <w:r w:rsidR="00B92D0A" w:rsidRPr="004B57DF">
        <w:rPr>
          <w:rFonts w:ascii="Times New Roman" w:hAnsi="Times New Roman"/>
          <w:vertAlign w:val="superscript"/>
          <w:lang w:val="pt-BR"/>
        </w:rPr>
        <w:t>+</w:t>
      </w:r>
      <w:r w:rsidR="00B92D0A" w:rsidRPr="004B57DF">
        <w:rPr>
          <w:rFonts w:ascii="Times New Roman" w:hAnsi="Times New Roman"/>
          <w:lang w:val="pt-BR"/>
        </w:rPr>
        <w:t xml:space="preserve"> estão presentes no meio, produzindo fen</w:t>
      </w:r>
      <w:r w:rsidR="00CF7F94" w:rsidRPr="004B57DF">
        <w:rPr>
          <w:rFonts w:ascii="Times New Roman" w:hAnsi="Times New Roman"/>
          <w:lang w:val="pt-BR"/>
        </w:rPr>
        <w:t>ol</w:t>
      </w:r>
      <w:r w:rsidR="00B92D0A" w:rsidRPr="004B57DF">
        <w:rPr>
          <w:rFonts w:ascii="Times New Roman" w:hAnsi="Times New Roman"/>
          <w:lang w:val="pt-BR"/>
        </w:rPr>
        <w:t xml:space="preserve"> e 2-fenilet</w:t>
      </w:r>
      <w:r w:rsidR="00CF7F94" w:rsidRPr="004B57DF">
        <w:rPr>
          <w:rFonts w:ascii="Times New Roman" w:hAnsi="Times New Roman"/>
          <w:lang w:val="pt-BR"/>
        </w:rPr>
        <w:t xml:space="preserve">ila </w:t>
      </w:r>
      <w:r w:rsidR="00B92D0A" w:rsidRPr="004B57DF">
        <w:rPr>
          <w:rFonts w:ascii="Times New Roman" w:hAnsi="Times New Roman"/>
          <w:lang w:val="pt-BR"/>
        </w:rPr>
        <w:t xml:space="preserve">como intermediários. Então, fenol pode ser </w:t>
      </w:r>
      <w:r w:rsidR="00B92D0A" w:rsidRPr="004B57DF">
        <w:rPr>
          <w:rFonts w:ascii="Times New Roman" w:hAnsi="Times New Roman"/>
          <w:lang w:val="pt-BR"/>
        </w:rPr>
        <w:lastRenderedPageBreak/>
        <w:t xml:space="preserve">atacado pelo </w:t>
      </w:r>
      <w:r w:rsidR="00CF7F94" w:rsidRPr="004B57DF">
        <w:rPr>
          <w:rFonts w:ascii="Times New Roman" w:hAnsi="Times New Roman"/>
          <w:lang w:val="pt-BR"/>
        </w:rPr>
        <w:t xml:space="preserve">2-feniletila </w:t>
      </w:r>
      <w:r w:rsidR="00B92D0A" w:rsidRPr="004B57DF">
        <w:rPr>
          <w:rFonts w:ascii="Times New Roman" w:hAnsi="Times New Roman"/>
          <w:lang w:val="pt-BR"/>
        </w:rPr>
        <w:t>in</w:t>
      </w:r>
      <w:r w:rsidR="00B92D0A">
        <w:rPr>
          <w:rFonts w:ascii="Times New Roman" w:hAnsi="Times New Roman"/>
          <w:lang w:val="pt-BR"/>
        </w:rPr>
        <w:t xml:space="preserve"> orto, meta ou para originando 2, 3 e 4-fenetilfenol</w:t>
      </w:r>
      <w:r w:rsidR="00C27608">
        <w:rPr>
          <w:rFonts w:ascii="Times New Roman" w:hAnsi="Times New Roman"/>
          <w:lang w:val="pt-BR"/>
        </w:rPr>
        <w:t>.</w:t>
      </w:r>
    </w:p>
    <w:p w14:paraId="78202269" w14:textId="59FE948E" w:rsidR="007B32D8" w:rsidRDefault="000E3608" w:rsidP="007B32D8">
      <w:pPr>
        <w:pStyle w:val="TAMainText"/>
        <w:ind w:firstLine="187"/>
        <w:rPr>
          <w:rFonts w:ascii="Times New Roman" w:hAnsi="Times New Roman"/>
          <w:lang w:val="pt-BR"/>
        </w:rPr>
      </w:pPr>
      <w:r>
        <w:rPr>
          <w:rFonts w:ascii="Times New Roman" w:hAnsi="Times New Roman"/>
          <w:lang w:val="pt-BR"/>
        </w:rPr>
        <w:t xml:space="preserve">Em presença de paládio, </w:t>
      </w:r>
      <w:r w:rsidR="007B32D8">
        <w:rPr>
          <w:rFonts w:ascii="Times New Roman" w:hAnsi="Times New Roman"/>
          <w:lang w:val="pt-BR"/>
        </w:rPr>
        <w:t xml:space="preserve">etilbenzeno e fenol foram produzidos </w:t>
      </w:r>
      <w:r w:rsidR="00CF7F94">
        <w:rPr>
          <w:rFonts w:ascii="Times New Roman" w:hAnsi="Times New Roman"/>
          <w:lang w:val="pt-BR"/>
        </w:rPr>
        <w:t xml:space="preserve">majoritariamente </w:t>
      </w:r>
      <w:r w:rsidR="007B32D8">
        <w:rPr>
          <w:rFonts w:ascii="Times New Roman" w:hAnsi="Times New Roman"/>
          <w:lang w:val="pt-BR"/>
        </w:rPr>
        <w:t xml:space="preserve">sobre todos os catalisadores impregnados, indicando que as partículas de metal também são ativas </w:t>
      </w:r>
      <w:r w:rsidR="00DE2562">
        <w:rPr>
          <w:rFonts w:ascii="Times New Roman" w:hAnsi="Times New Roman"/>
          <w:lang w:val="pt-BR"/>
        </w:rPr>
        <w:t xml:space="preserve">para a </w:t>
      </w:r>
      <w:r w:rsidR="007B32D8">
        <w:rPr>
          <w:rFonts w:ascii="Times New Roman" w:hAnsi="Times New Roman"/>
          <w:lang w:val="pt-BR"/>
        </w:rPr>
        <w:t xml:space="preserve">quebra da ligação </w:t>
      </w:r>
      <w:r w:rsidR="007B32D8" w:rsidRPr="007B32D8">
        <w:rPr>
          <w:rFonts w:ascii="Symbol" w:hAnsi="Symbol"/>
          <w:lang w:val="pt-BR"/>
        </w:rPr>
        <w:t></w:t>
      </w:r>
      <w:r w:rsidR="007B32D8">
        <w:rPr>
          <w:rFonts w:ascii="Times New Roman" w:hAnsi="Times New Roman"/>
          <w:lang w:val="pt-BR"/>
        </w:rPr>
        <w:t>-O-4 por hidrogenólise</w:t>
      </w:r>
      <w:r w:rsidR="007F48A9">
        <w:rPr>
          <w:rFonts w:ascii="Times New Roman" w:hAnsi="Times New Roman"/>
          <w:lang w:val="pt-BR"/>
        </w:rPr>
        <w:t>. Depois da quebra, etilbenzeno foi hidrogenado a etil cicloexano sob Pd/TiO</w:t>
      </w:r>
      <w:r w:rsidR="007F48A9" w:rsidRPr="007F48A9">
        <w:rPr>
          <w:rFonts w:ascii="Times New Roman" w:hAnsi="Times New Roman"/>
          <w:vertAlign w:val="subscript"/>
          <w:lang w:val="pt-BR"/>
        </w:rPr>
        <w:t>2</w:t>
      </w:r>
      <w:r w:rsidR="007F48A9">
        <w:rPr>
          <w:rFonts w:ascii="Times New Roman" w:hAnsi="Times New Roman"/>
          <w:lang w:val="pt-BR"/>
        </w:rPr>
        <w:t>-imp, enquanto fenol foi hidrogenado a cicloexanona/</w:t>
      </w:r>
      <w:r w:rsidR="003B071B">
        <w:rPr>
          <w:rFonts w:ascii="Times New Roman" w:hAnsi="Times New Roman"/>
          <w:lang w:val="pt-BR"/>
        </w:rPr>
        <w:t>cicloexanol</w:t>
      </w:r>
      <w:r w:rsidR="007F48A9">
        <w:rPr>
          <w:rFonts w:ascii="Times New Roman" w:hAnsi="Times New Roman"/>
          <w:lang w:val="pt-BR"/>
        </w:rPr>
        <w:t xml:space="preserve">. Cicloexanol foi então desidratado a cicloexano </w:t>
      </w:r>
      <w:r w:rsidR="00B92D0A">
        <w:rPr>
          <w:rFonts w:ascii="Times New Roman" w:hAnsi="Times New Roman"/>
          <w:lang w:val="pt-BR"/>
        </w:rPr>
        <w:t>em presença dos catalisadores:</w:t>
      </w:r>
      <w:r w:rsidR="003B071B">
        <w:rPr>
          <w:rFonts w:ascii="Times New Roman" w:hAnsi="Times New Roman"/>
          <w:lang w:val="pt-BR"/>
        </w:rPr>
        <w:t xml:space="preserve"> Pd/TiO</w:t>
      </w:r>
      <w:r w:rsidR="003B071B" w:rsidRPr="007F48A9">
        <w:rPr>
          <w:rFonts w:ascii="Times New Roman" w:hAnsi="Times New Roman"/>
          <w:vertAlign w:val="subscript"/>
          <w:lang w:val="pt-BR"/>
        </w:rPr>
        <w:t>2</w:t>
      </w:r>
      <w:r w:rsidR="003B071B">
        <w:rPr>
          <w:rFonts w:ascii="Times New Roman" w:hAnsi="Times New Roman"/>
          <w:lang w:val="pt-BR"/>
        </w:rPr>
        <w:t>-imp e Pd/Nb</w:t>
      </w:r>
      <w:r w:rsidR="003B071B" w:rsidRPr="003B071B">
        <w:rPr>
          <w:rFonts w:ascii="Times New Roman" w:hAnsi="Times New Roman"/>
          <w:vertAlign w:val="subscript"/>
          <w:lang w:val="pt-BR"/>
        </w:rPr>
        <w:t>2</w:t>
      </w:r>
      <w:r w:rsidR="003B071B">
        <w:rPr>
          <w:rFonts w:ascii="Times New Roman" w:hAnsi="Times New Roman"/>
          <w:lang w:val="pt-BR"/>
        </w:rPr>
        <w:t>O</w:t>
      </w:r>
      <w:r w:rsidR="003B071B" w:rsidRPr="003B071B">
        <w:rPr>
          <w:rFonts w:ascii="Times New Roman" w:hAnsi="Times New Roman"/>
          <w:vertAlign w:val="subscript"/>
          <w:lang w:val="pt-BR"/>
        </w:rPr>
        <w:t>5</w:t>
      </w:r>
      <w:r w:rsidR="003B071B">
        <w:rPr>
          <w:rFonts w:ascii="Times New Roman" w:hAnsi="Times New Roman"/>
          <w:lang w:val="pt-BR"/>
        </w:rPr>
        <w:t>-imp. Além disso, 2 and 4-</w:t>
      </w:r>
      <w:r w:rsidR="00537F17">
        <w:rPr>
          <w:rFonts w:ascii="Times New Roman" w:hAnsi="Times New Roman"/>
          <w:lang w:val="pt-BR"/>
        </w:rPr>
        <w:t>FEB</w:t>
      </w:r>
      <w:r w:rsidR="003B071B">
        <w:rPr>
          <w:rFonts w:ascii="Times New Roman" w:hAnsi="Times New Roman"/>
          <w:lang w:val="pt-BR"/>
        </w:rPr>
        <w:t xml:space="preserve"> também foram observados em ambos os </w:t>
      </w:r>
      <w:r w:rsidR="00B92D0A">
        <w:rPr>
          <w:rFonts w:ascii="Times New Roman" w:hAnsi="Times New Roman"/>
          <w:lang w:val="pt-BR"/>
        </w:rPr>
        <w:t>materiais</w:t>
      </w:r>
      <w:r w:rsidR="003B071B">
        <w:rPr>
          <w:rFonts w:ascii="Times New Roman" w:hAnsi="Times New Roman"/>
          <w:lang w:val="pt-BR"/>
        </w:rPr>
        <w:t xml:space="preserve"> em pequenas quantidades.</w:t>
      </w:r>
    </w:p>
    <w:p w14:paraId="03D516BA" w14:textId="4D7E5FD2" w:rsidR="0031362B" w:rsidRDefault="003B071B" w:rsidP="007B32D8">
      <w:pPr>
        <w:pStyle w:val="TAMainText"/>
        <w:ind w:firstLine="187"/>
        <w:rPr>
          <w:rFonts w:ascii="Times New Roman" w:hAnsi="Times New Roman"/>
          <w:lang w:val="pt-BR"/>
        </w:rPr>
      </w:pPr>
      <w:r>
        <w:rPr>
          <w:rFonts w:ascii="Times New Roman" w:hAnsi="Times New Roman"/>
          <w:lang w:val="pt-BR"/>
        </w:rPr>
        <w:t>Com relação aos catalisadores imobilizados</w:t>
      </w:r>
      <w:r w:rsidR="00B92D0A">
        <w:rPr>
          <w:rFonts w:ascii="Times New Roman" w:hAnsi="Times New Roman"/>
          <w:lang w:val="pt-BR"/>
        </w:rPr>
        <w:t xml:space="preserve">, </w:t>
      </w:r>
      <w:r>
        <w:rPr>
          <w:rFonts w:ascii="Times New Roman" w:hAnsi="Times New Roman"/>
          <w:lang w:val="pt-BR"/>
        </w:rPr>
        <w:t>em baixa</w:t>
      </w:r>
      <w:r w:rsidR="0031362B">
        <w:rPr>
          <w:rFonts w:ascii="Times New Roman" w:hAnsi="Times New Roman"/>
          <w:lang w:val="pt-BR"/>
        </w:rPr>
        <w:t>s</w:t>
      </w:r>
      <w:r>
        <w:rPr>
          <w:rFonts w:ascii="Times New Roman" w:hAnsi="Times New Roman"/>
          <w:lang w:val="pt-BR"/>
        </w:rPr>
        <w:t xml:space="preserve"> convers</w:t>
      </w:r>
      <w:r w:rsidR="0031362B">
        <w:rPr>
          <w:rFonts w:ascii="Times New Roman" w:hAnsi="Times New Roman"/>
          <w:lang w:val="pt-BR"/>
        </w:rPr>
        <w:t>ões</w:t>
      </w:r>
      <w:r>
        <w:rPr>
          <w:rFonts w:ascii="Times New Roman" w:hAnsi="Times New Roman"/>
          <w:lang w:val="pt-BR"/>
        </w:rPr>
        <w:t>, os principais produtos formados</w:t>
      </w:r>
      <w:r w:rsidR="00FB04C5">
        <w:rPr>
          <w:rFonts w:ascii="Times New Roman" w:hAnsi="Times New Roman"/>
          <w:lang w:val="pt-BR"/>
        </w:rPr>
        <w:t>, em ambos os casos</w:t>
      </w:r>
      <w:r>
        <w:rPr>
          <w:rFonts w:ascii="Times New Roman" w:hAnsi="Times New Roman"/>
          <w:lang w:val="pt-BR"/>
        </w:rPr>
        <w:t xml:space="preserve"> foram </w:t>
      </w:r>
      <w:bookmarkStart w:id="3" w:name="_Hlk137453337"/>
      <w:r w:rsidR="00FB04C5">
        <w:rPr>
          <w:rFonts w:ascii="Times New Roman" w:hAnsi="Times New Roman"/>
          <w:lang w:val="pt-BR"/>
        </w:rPr>
        <w:t>2-</w:t>
      </w:r>
      <w:r w:rsidRPr="003B071B">
        <w:rPr>
          <w:rFonts w:ascii="Times New Roman" w:hAnsi="Times New Roman"/>
          <w:lang w:val="pt-BR"/>
        </w:rPr>
        <w:t>ciclohexiloxietil</w:t>
      </w:r>
      <w:r w:rsidR="00FB04C5">
        <w:rPr>
          <w:rFonts w:ascii="Times New Roman" w:hAnsi="Times New Roman"/>
          <w:lang w:val="pt-BR"/>
        </w:rPr>
        <w:t>benzeno (2COEB) e 2-ciclohexiletoxi</w:t>
      </w:r>
      <w:r w:rsidRPr="003B071B">
        <w:rPr>
          <w:rFonts w:ascii="Times New Roman" w:hAnsi="Times New Roman"/>
          <w:lang w:val="pt-BR"/>
        </w:rPr>
        <w:t>benzeno</w:t>
      </w:r>
      <w:r w:rsidR="00DA0D35">
        <w:rPr>
          <w:rFonts w:ascii="Times New Roman" w:hAnsi="Times New Roman"/>
          <w:lang w:val="pt-BR"/>
        </w:rPr>
        <w:t xml:space="preserve"> </w:t>
      </w:r>
      <w:r w:rsidRPr="003B071B">
        <w:rPr>
          <w:rFonts w:ascii="Times New Roman" w:hAnsi="Times New Roman"/>
          <w:lang w:val="pt-BR"/>
        </w:rPr>
        <w:t>(2CEB)</w:t>
      </w:r>
      <w:bookmarkEnd w:id="3"/>
      <w:r w:rsidR="00FB04C5">
        <w:rPr>
          <w:rFonts w:ascii="Times New Roman" w:hAnsi="Times New Roman"/>
          <w:lang w:val="pt-BR"/>
        </w:rPr>
        <w:t xml:space="preserve"> produzidos </w:t>
      </w:r>
      <w:r>
        <w:rPr>
          <w:rFonts w:ascii="Times New Roman" w:hAnsi="Times New Roman"/>
          <w:lang w:val="pt-BR"/>
        </w:rPr>
        <w:t>pela hidrogenação parcial dos anéis aromáticos do FEB</w:t>
      </w:r>
      <w:r w:rsidR="0031362B">
        <w:rPr>
          <w:rFonts w:ascii="Times New Roman" w:hAnsi="Times New Roman"/>
          <w:lang w:val="pt-BR"/>
        </w:rPr>
        <w:t>.</w:t>
      </w:r>
    </w:p>
    <w:p w14:paraId="20D5855C" w14:textId="5E810488" w:rsidR="009C00A4" w:rsidRDefault="0031362B" w:rsidP="007B32D8">
      <w:pPr>
        <w:pStyle w:val="TAMainText"/>
        <w:ind w:firstLine="187"/>
        <w:rPr>
          <w:rFonts w:ascii="Times New Roman" w:hAnsi="Times New Roman"/>
          <w:lang w:val="pt-BR"/>
        </w:rPr>
      </w:pPr>
      <w:r>
        <w:rPr>
          <w:rFonts w:ascii="Times New Roman" w:hAnsi="Times New Roman"/>
          <w:lang w:val="pt-BR"/>
        </w:rPr>
        <w:t>Diferente dos catalisadores impregnados Pd/TiO</w:t>
      </w:r>
      <w:r w:rsidRPr="007F48A9">
        <w:rPr>
          <w:rFonts w:ascii="Times New Roman" w:hAnsi="Times New Roman"/>
          <w:vertAlign w:val="subscript"/>
          <w:lang w:val="pt-BR"/>
        </w:rPr>
        <w:t>2</w:t>
      </w:r>
      <w:r>
        <w:rPr>
          <w:rFonts w:ascii="Times New Roman" w:hAnsi="Times New Roman"/>
          <w:lang w:val="pt-BR"/>
        </w:rPr>
        <w:t>-imp e Pd/Nb</w:t>
      </w:r>
      <w:r w:rsidRPr="003B071B">
        <w:rPr>
          <w:rFonts w:ascii="Times New Roman" w:hAnsi="Times New Roman"/>
          <w:vertAlign w:val="subscript"/>
          <w:lang w:val="pt-BR"/>
        </w:rPr>
        <w:t>2</w:t>
      </w:r>
      <w:r>
        <w:rPr>
          <w:rFonts w:ascii="Times New Roman" w:hAnsi="Times New Roman"/>
          <w:lang w:val="pt-BR"/>
        </w:rPr>
        <w:t>O</w:t>
      </w:r>
      <w:r w:rsidRPr="003B071B">
        <w:rPr>
          <w:rFonts w:ascii="Times New Roman" w:hAnsi="Times New Roman"/>
          <w:vertAlign w:val="subscript"/>
          <w:lang w:val="pt-BR"/>
        </w:rPr>
        <w:t>5</w:t>
      </w:r>
      <w:r>
        <w:rPr>
          <w:rFonts w:ascii="Times New Roman" w:hAnsi="Times New Roman"/>
          <w:lang w:val="pt-BR"/>
        </w:rPr>
        <w:t>-imp</w:t>
      </w:r>
      <w:r w:rsidR="00661BF7">
        <w:rPr>
          <w:rFonts w:ascii="Times New Roman" w:hAnsi="Times New Roman"/>
          <w:lang w:val="pt-BR"/>
        </w:rPr>
        <w:t>,</w:t>
      </w:r>
      <w:r>
        <w:rPr>
          <w:rFonts w:ascii="Times New Roman" w:hAnsi="Times New Roman"/>
          <w:lang w:val="pt-BR"/>
        </w:rPr>
        <w:t xml:space="preserve"> que apresentaram um tamanho de partícula de 9,0 e 6,8 nm, respectivamente, o menor tamanho de partícula observado para os catalisadores imobilizados Pd/TiO</w:t>
      </w:r>
      <w:r w:rsidRPr="007F48A9">
        <w:rPr>
          <w:rFonts w:ascii="Times New Roman" w:hAnsi="Times New Roman"/>
          <w:vertAlign w:val="subscript"/>
          <w:lang w:val="pt-BR"/>
        </w:rPr>
        <w:t>2</w:t>
      </w:r>
      <w:r>
        <w:rPr>
          <w:rFonts w:ascii="Times New Roman" w:hAnsi="Times New Roman"/>
          <w:lang w:val="pt-BR"/>
        </w:rPr>
        <w:t>-sol (3.4 nm) e Pd/Nb</w:t>
      </w:r>
      <w:r w:rsidRPr="003B071B">
        <w:rPr>
          <w:rFonts w:ascii="Times New Roman" w:hAnsi="Times New Roman"/>
          <w:vertAlign w:val="subscript"/>
          <w:lang w:val="pt-BR"/>
        </w:rPr>
        <w:t>2</w:t>
      </w:r>
      <w:r>
        <w:rPr>
          <w:rFonts w:ascii="Times New Roman" w:hAnsi="Times New Roman"/>
          <w:lang w:val="pt-BR"/>
        </w:rPr>
        <w:t>O</w:t>
      </w:r>
      <w:r w:rsidRPr="003B071B">
        <w:rPr>
          <w:rFonts w:ascii="Times New Roman" w:hAnsi="Times New Roman"/>
          <w:vertAlign w:val="subscript"/>
          <w:lang w:val="pt-BR"/>
        </w:rPr>
        <w:t>5</w:t>
      </w:r>
      <w:r>
        <w:rPr>
          <w:rFonts w:ascii="Times New Roman" w:hAnsi="Times New Roman"/>
          <w:lang w:val="pt-BR"/>
        </w:rPr>
        <w:t>-sol (2.0 nm) favoreceu a hidrogenação dos anéis aromáticos do FEB ao invés da hidrogenólise da ligação C-O</w:t>
      </w:r>
      <w:r w:rsidR="00730231">
        <w:rPr>
          <w:rFonts w:ascii="Times New Roman" w:hAnsi="Times New Roman"/>
          <w:lang w:val="pt-BR"/>
        </w:rPr>
        <w:t xml:space="preserve"> </w:t>
      </w:r>
      <w:r w:rsidR="00730231" w:rsidRPr="00BC556C">
        <w:rPr>
          <w:rFonts w:ascii="Times New Roman" w:hAnsi="Times New Roman"/>
          <w:lang w:val="pt-BR"/>
        </w:rPr>
        <w:t>(Figura 1)</w:t>
      </w:r>
      <w:r>
        <w:rPr>
          <w:rFonts w:ascii="Times New Roman" w:hAnsi="Times New Roman"/>
          <w:lang w:val="pt-BR"/>
        </w:rPr>
        <w:t>.</w:t>
      </w:r>
    </w:p>
    <w:p w14:paraId="19884FEF" w14:textId="31AF02BB" w:rsidR="003527E0" w:rsidRDefault="003527E0" w:rsidP="003527E0">
      <w:pPr>
        <w:pStyle w:val="TAMainText"/>
        <w:ind w:firstLine="187"/>
        <w:rPr>
          <w:rFonts w:ascii="Times New Roman" w:hAnsi="Times New Roman"/>
          <w:lang w:val="pt-BR"/>
        </w:rPr>
      </w:pPr>
    </w:p>
    <w:p w14:paraId="6397661B" w14:textId="77777777" w:rsidR="00BC556C" w:rsidRDefault="00BC556C" w:rsidP="00BC556C">
      <w:pPr>
        <w:spacing w:after="0"/>
      </w:pPr>
      <w:r>
        <w:object w:dxaOrig="7752" w:dyaOrig="4013" w14:anchorId="771B0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23.75pt" o:ole="">
            <v:imagedata r:id="rId9" o:title=""/>
          </v:shape>
          <o:OLEObject Type="Embed" ProgID="ChemDraw.Document.6.0" ShapeID="_x0000_i1025" DrawAspect="Content" ObjectID="_1748858969" r:id="rId10"/>
        </w:object>
      </w:r>
    </w:p>
    <w:p w14:paraId="42350F12" w14:textId="616BBA6B" w:rsidR="00BC556C" w:rsidRPr="00E31BB4" w:rsidRDefault="00BC556C" w:rsidP="00BC556C">
      <w:pPr>
        <w:spacing w:after="80"/>
        <w:jc w:val="both"/>
        <w:rPr>
          <w:rFonts w:ascii="Times New Roman" w:hAnsi="Times New Roman"/>
        </w:rPr>
      </w:pPr>
      <w:r w:rsidRPr="00E31BB4">
        <w:rPr>
          <w:rFonts w:ascii="Times New Roman" w:hAnsi="Times New Roman"/>
          <w:b/>
          <w:sz w:val="20"/>
          <w:szCs w:val="20"/>
        </w:rPr>
        <w:t xml:space="preserve">Figura 1. </w:t>
      </w:r>
      <w:r w:rsidRPr="00E31BB4">
        <w:rPr>
          <w:rFonts w:ascii="Times New Roman" w:hAnsi="Times New Roman"/>
          <w:bCs/>
          <w:sz w:val="20"/>
          <w:szCs w:val="20"/>
        </w:rPr>
        <w:t>Esquema reacional representando os principais produtos formados em presença de paládio, em baixa conversão.</w:t>
      </w:r>
    </w:p>
    <w:p w14:paraId="3E1CFCD2" w14:textId="77777777" w:rsidR="00BC556C" w:rsidRPr="00E31BB4" w:rsidRDefault="00BC556C" w:rsidP="003527E0">
      <w:pPr>
        <w:pStyle w:val="TAMainText"/>
        <w:ind w:firstLine="187"/>
        <w:rPr>
          <w:rFonts w:ascii="Times New Roman" w:hAnsi="Times New Roman"/>
          <w:lang w:val="pt-BR"/>
        </w:rPr>
      </w:pPr>
    </w:p>
    <w:p w14:paraId="627299FA" w14:textId="0C04C5AE" w:rsidR="00BC556C" w:rsidRPr="00E31BB4" w:rsidRDefault="00BC556C" w:rsidP="00BC556C">
      <w:pPr>
        <w:pStyle w:val="TAMainText"/>
        <w:ind w:firstLine="187"/>
        <w:rPr>
          <w:rFonts w:ascii="Times New Roman" w:hAnsi="Times New Roman"/>
          <w:lang w:val="pt-BR"/>
        </w:rPr>
      </w:pPr>
      <w:r w:rsidRPr="00E31BB4">
        <w:rPr>
          <w:rFonts w:ascii="Times New Roman" w:hAnsi="Times New Roman"/>
          <w:lang w:val="pt-BR"/>
        </w:rPr>
        <w:t>Para Pd/TiO</w:t>
      </w:r>
      <w:r w:rsidRPr="00E31BB4">
        <w:rPr>
          <w:rFonts w:ascii="Times New Roman" w:hAnsi="Times New Roman"/>
          <w:vertAlign w:val="subscript"/>
          <w:lang w:val="pt-BR"/>
        </w:rPr>
        <w:t>2</w:t>
      </w:r>
      <w:r w:rsidRPr="00E31BB4">
        <w:rPr>
          <w:rFonts w:ascii="Times New Roman" w:hAnsi="Times New Roman"/>
          <w:lang w:val="pt-BR"/>
        </w:rPr>
        <w:t>-sol (Figura 2A), conforme a conversão de FEB aumenta, o rendimento de 2COEB e 2CEB aumenta progressivamente. Quando FEB é completamente convertido, 2-ciclohexiletoxicicloexano - 2CEC, formado pela hidrogenação completa dos anéis aromáticos do FEB se torna o principal produto da reação.</w:t>
      </w:r>
    </w:p>
    <w:p w14:paraId="6189F278" w14:textId="27A325B3" w:rsidR="00BC556C" w:rsidRPr="00E31BB4" w:rsidRDefault="00BC556C" w:rsidP="00BC556C">
      <w:pPr>
        <w:pStyle w:val="TAMainText"/>
        <w:ind w:firstLine="187"/>
        <w:rPr>
          <w:rFonts w:ascii="Times New Roman" w:hAnsi="Times New Roman"/>
          <w:lang w:val="pt-BR"/>
        </w:rPr>
      </w:pPr>
      <w:r w:rsidRPr="00E31BB4">
        <w:rPr>
          <w:rFonts w:ascii="Times New Roman" w:hAnsi="Times New Roman"/>
          <w:lang w:val="pt-BR"/>
        </w:rPr>
        <w:t>Em presença de Pd/Nb</w:t>
      </w:r>
      <w:r w:rsidRPr="00E31BB4">
        <w:rPr>
          <w:rFonts w:ascii="Times New Roman" w:hAnsi="Times New Roman"/>
          <w:vertAlign w:val="subscript"/>
          <w:lang w:val="pt-BR"/>
        </w:rPr>
        <w:t>2</w:t>
      </w:r>
      <w:r w:rsidRPr="00E31BB4">
        <w:rPr>
          <w:rFonts w:ascii="Times New Roman" w:hAnsi="Times New Roman"/>
          <w:lang w:val="pt-BR"/>
        </w:rPr>
        <w:t>O</w:t>
      </w:r>
      <w:r w:rsidRPr="00E31BB4">
        <w:rPr>
          <w:rFonts w:ascii="Times New Roman" w:hAnsi="Times New Roman"/>
          <w:vertAlign w:val="subscript"/>
          <w:lang w:val="pt-BR"/>
        </w:rPr>
        <w:t>5</w:t>
      </w:r>
      <w:r w:rsidRPr="00E31BB4">
        <w:rPr>
          <w:rFonts w:ascii="Times New Roman" w:hAnsi="Times New Roman"/>
          <w:lang w:val="pt-BR"/>
        </w:rPr>
        <w:t>-sol (Figura 2B), à medida que a conversão de FEB aumenta de 33 para 66 %, o rendimento para etilbenzeno, ciclohexanona, 2</w:t>
      </w:r>
      <w:r w:rsidRPr="00E31BB4">
        <w:rPr>
          <w:lang w:val="pt-BR"/>
        </w:rPr>
        <w:t xml:space="preserve">COEB e 2CEB aumenta, indicando que a hidrogenólise da ligação </w:t>
      </w:r>
      <w:r w:rsidRPr="00E31BB4">
        <w:rPr>
          <w:rFonts w:ascii="Symbol" w:hAnsi="Symbol"/>
          <w:lang w:val="pt-BR"/>
        </w:rPr>
        <w:t></w:t>
      </w:r>
      <w:r w:rsidRPr="00E31BB4">
        <w:rPr>
          <w:lang w:val="pt-BR"/>
        </w:rPr>
        <w:t xml:space="preserve">-O-5 e a hidrogenação dos anéis aromáticos de FEB acontecem ao mesmo tempo, de forma mais balanceada comparado ao </w:t>
      </w:r>
      <w:r w:rsidRPr="00E31BB4">
        <w:rPr>
          <w:rFonts w:ascii="Times New Roman" w:hAnsi="Times New Roman"/>
          <w:lang w:val="pt-BR"/>
        </w:rPr>
        <w:t>Pd/TiO</w:t>
      </w:r>
      <w:r w:rsidRPr="00E31BB4">
        <w:rPr>
          <w:rFonts w:ascii="Times New Roman" w:hAnsi="Times New Roman"/>
          <w:vertAlign w:val="subscript"/>
          <w:lang w:val="pt-BR"/>
        </w:rPr>
        <w:t>2</w:t>
      </w:r>
      <w:r w:rsidRPr="00E31BB4">
        <w:rPr>
          <w:rFonts w:ascii="Times New Roman" w:hAnsi="Times New Roman"/>
          <w:lang w:val="pt-BR"/>
        </w:rPr>
        <w:t>-sol.Acima de 66 %, o rendimento dos produtos gerados através da hidrogenação do anel diminui, enquanto o rendimento dos produtos formados por hidrogenólise (etilciclohexano/cicloexano) aumentam consideravelmente.</w:t>
      </w:r>
    </w:p>
    <w:p w14:paraId="0427DFF5" w14:textId="77777777" w:rsidR="00BC556C" w:rsidRPr="00E31BB4" w:rsidRDefault="00BC556C" w:rsidP="00BC556C">
      <w:pPr>
        <w:pStyle w:val="TAMainText"/>
        <w:ind w:firstLine="187"/>
        <w:rPr>
          <w:lang w:val="pt-BR"/>
        </w:rPr>
      </w:pPr>
      <w:r w:rsidRPr="00E31BB4">
        <w:rPr>
          <w:lang w:val="pt-BR"/>
        </w:rPr>
        <w:t>Portanto, os resultados indicam que a presença de sítios ácidos de Brönsted afetam significantemente a conversão de FEB e a formação de cicloexano.</w:t>
      </w:r>
    </w:p>
    <w:p w14:paraId="58E19DE1" w14:textId="77777777" w:rsidR="00BC556C" w:rsidRPr="00E31BB4" w:rsidRDefault="00BC556C" w:rsidP="003527E0">
      <w:pPr>
        <w:pStyle w:val="TAMainText"/>
        <w:ind w:firstLine="187"/>
        <w:rPr>
          <w:rFonts w:ascii="Times New Roman" w:hAnsi="Times New Roman"/>
          <w:lang w:val="pt-BR"/>
        </w:rPr>
      </w:pPr>
    </w:p>
    <w:p w14:paraId="1D6F47C9" w14:textId="77777777" w:rsidR="003B071B" w:rsidRPr="00E31BB4" w:rsidRDefault="00B90C57" w:rsidP="00E87192">
      <w:pPr>
        <w:jc w:val="center"/>
        <w:rPr>
          <w:rFonts w:ascii="Times New Roman" w:hAnsi="Times New Roman"/>
          <w:b/>
          <w:sz w:val="20"/>
          <w:szCs w:val="20"/>
        </w:rPr>
      </w:pPr>
      <w:r w:rsidRPr="00E31BB4">
        <w:rPr>
          <w:rFonts w:ascii="Times New Roman" w:hAnsi="Times New Roman" w:cs="Times New Roman"/>
          <w:noProof/>
          <w:lang w:eastAsia="pt-BR"/>
        </w:rPr>
        <w:drawing>
          <wp:inline distT="0" distB="0" distL="0" distR="0" wp14:anchorId="15A49658" wp14:editId="338F5572">
            <wp:extent cx="2879387" cy="2536374"/>
            <wp:effectExtent l="0" t="0" r="0" b="0"/>
            <wp:docPr id="17450912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91255" name=""/>
                    <pic:cNvPicPr/>
                  </pic:nvPicPr>
                  <pic:blipFill>
                    <a:blip r:embed="rId11"/>
                    <a:stretch>
                      <a:fillRect/>
                    </a:stretch>
                  </pic:blipFill>
                  <pic:spPr>
                    <a:xfrm>
                      <a:off x="0" y="0"/>
                      <a:ext cx="2881697" cy="2538409"/>
                    </a:xfrm>
                    <a:prstGeom prst="rect">
                      <a:avLst/>
                    </a:prstGeom>
                  </pic:spPr>
                </pic:pic>
              </a:graphicData>
            </a:graphic>
          </wp:inline>
        </w:drawing>
      </w:r>
      <w:r w:rsidRPr="00E31BB4">
        <w:rPr>
          <w:rFonts w:ascii="Times New Roman" w:hAnsi="Times New Roman" w:cs="Times New Roman"/>
          <w:noProof/>
          <w:lang w:eastAsia="pt-BR"/>
        </w:rPr>
        <w:drawing>
          <wp:inline distT="0" distB="0" distL="0" distR="0" wp14:anchorId="37F82F86" wp14:editId="681D237D">
            <wp:extent cx="2880000" cy="2582215"/>
            <wp:effectExtent l="0" t="0" r="0" b="8890"/>
            <wp:docPr id="4602366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6662" name=""/>
                    <pic:cNvPicPr/>
                  </pic:nvPicPr>
                  <pic:blipFill>
                    <a:blip r:embed="rId12"/>
                    <a:stretch>
                      <a:fillRect/>
                    </a:stretch>
                  </pic:blipFill>
                  <pic:spPr>
                    <a:xfrm>
                      <a:off x="0" y="0"/>
                      <a:ext cx="2880000" cy="2582215"/>
                    </a:xfrm>
                    <a:prstGeom prst="rect">
                      <a:avLst/>
                    </a:prstGeom>
                  </pic:spPr>
                </pic:pic>
              </a:graphicData>
            </a:graphic>
          </wp:inline>
        </w:drawing>
      </w:r>
    </w:p>
    <w:p w14:paraId="5121BA31" w14:textId="078BAAB4" w:rsidR="00EA4E1B" w:rsidRDefault="00EA4E1B" w:rsidP="003A565E">
      <w:pPr>
        <w:spacing w:after="80"/>
        <w:jc w:val="both"/>
        <w:rPr>
          <w:rFonts w:ascii="Times New Roman" w:hAnsi="Times New Roman"/>
          <w:sz w:val="20"/>
          <w:szCs w:val="20"/>
        </w:rPr>
      </w:pPr>
      <w:r w:rsidRPr="00E31BB4">
        <w:rPr>
          <w:rFonts w:ascii="Times New Roman" w:hAnsi="Times New Roman"/>
          <w:b/>
          <w:sz w:val="20"/>
          <w:szCs w:val="20"/>
        </w:rPr>
        <w:t xml:space="preserve">Figura </w:t>
      </w:r>
      <w:r w:rsidR="00BC556C" w:rsidRPr="00E31BB4">
        <w:rPr>
          <w:rFonts w:ascii="Times New Roman" w:hAnsi="Times New Roman"/>
          <w:b/>
          <w:sz w:val="20"/>
          <w:szCs w:val="20"/>
        </w:rPr>
        <w:t>2</w:t>
      </w:r>
      <w:r w:rsidRPr="00E31BB4">
        <w:rPr>
          <w:rFonts w:ascii="Times New Roman" w:hAnsi="Times New Roman"/>
          <w:b/>
          <w:sz w:val="20"/>
          <w:szCs w:val="20"/>
        </w:rPr>
        <w:t>.</w:t>
      </w:r>
      <w:r w:rsidR="00DA0D35" w:rsidRPr="00E31BB4">
        <w:rPr>
          <w:rFonts w:ascii="Times New Roman" w:hAnsi="Times New Roman"/>
          <w:b/>
          <w:sz w:val="20"/>
          <w:szCs w:val="20"/>
        </w:rPr>
        <w:t xml:space="preserve"> </w:t>
      </w:r>
      <w:r w:rsidR="00F93A91" w:rsidRPr="00E31BB4">
        <w:rPr>
          <w:rFonts w:ascii="Times New Roman" w:hAnsi="Times New Roman"/>
          <w:sz w:val="20"/>
          <w:szCs w:val="20"/>
        </w:rPr>
        <w:t xml:space="preserve">Distribuição de produto em função da conversão de </w:t>
      </w:r>
      <w:r w:rsidR="003B071B" w:rsidRPr="00E31BB4">
        <w:rPr>
          <w:rFonts w:ascii="Times New Roman" w:hAnsi="Times New Roman"/>
          <w:sz w:val="20"/>
          <w:szCs w:val="20"/>
        </w:rPr>
        <w:t>FEB</w:t>
      </w:r>
      <w:r w:rsidR="00F93A91" w:rsidRPr="00E31BB4">
        <w:rPr>
          <w:rFonts w:ascii="Times New Roman" w:hAnsi="Times New Roman"/>
          <w:sz w:val="20"/>
          <w:szCs w:val="20"/>
        </w:rPr>
        <w:t>. (a) Pd/TiO</w:t>
      </w:r>
      <w:r w:rsidR="00F93A91" w:rsidRPr="00E31BB4">
        <w:rPr>
          <w:rFonts w:ascii="Times New Roman" w:hAnsi="Times New Roman"/>
          <w:sz w:val="20"/>
          <w:szCs w:val="20"/>
          <w:vertAlign w:val="subscript"/>
        </w:rPr>
        <w:t>2</w:t>
      </w:r>
      <w:r w:rsidR="00F93A91" w:rsidRPr="00E31BB4">
        <w:rPr>
          <w:rFonts w:ascii="Times New Roman" w:hAnsi="Times New Roman"/>
          <w:sz w:val="20"/>
          <w:szCs w:val="20"/>
        </w:rPr>
        <w:t>-sol, (b) Pd/Nb</w:t>
      </w:r>
      <w:r w:rsidR="00F93A91" w:rsidRPr="00E31BB4">
        <w:rPr>
          <w:rFonts w:ascii="Times New Roman" w:hAnsi="Times New Roman"/>
          <w:sz w:val="20"/>
          <w:szCs w:val="20"/>
          <w:vertAlign w:val="subscript"/>
        </w:rPr>
        <w:t>2</w:t>
      </w:r>
      <w:r w:rsidR="00F93A91" w:rsidRPr="00E31BB4">
        <w:rPr>
          <w:rFonts w:ascii="Times New Roman" w:hAnsi="Times New Roman"/>
          <w:sz w:val="20"/>
          <w:szCs w:val="20"/>
        </w:rPr>
        <w:t>O</w:t>
      </w:r>
      <w:r w:rsidR="00F93A91" w:rsidRPr="00E31BB4">
        <w:rPr>
          <w:rFonts w:ascii="Times New Roman" w:hAnsi="Times New Roman"/>
          <w:sz w:val="20"/>
          <w:szCs w:val="20"/>
          <w:vertAlign w:val="subscript"/>
        </w:rPr>
        <w:t>5</w:t>
      </w:r>
      <w:r w:rsidR="00F93A91" w:rsidRPr="00E31BB4">
        <w:rPr>
          <w:rFonts w:ascii="Times New Roman" w:hAnsi="Times New Roman"/>
          <w:sz w:val="20"/>
          <w:szCs w:val="20"/>
        </w:rPr>
        <w:t>-sol.</w:t>
      </w:r>
      <w:r w:rsidR="00DA0D35" w:rsidRPr="00E31BB4">
        <w:rPr>
          <w:rFonts w:ascii="Times New Roman" w:hAnsi="Times New Roman"/>
          <w:sz w:val="20"/>
          <w:szCs w:val="20"/>
        </w:rPr>
        <w:t xml:space="preserve"> Produtos</w:t>
      </w:r>
      <w:r w:rsidR="00730231" w:rsidRPr="00E31BB4">
        <w:rPr>
          <w:rFonts w:ascii="Times New Roman" w:hAnsi="Times New Roman"/>
          <w:sz w:val="20"/>
          <w:szCs w:val="20"/>
        </w:rPr>
        <w:t>:</w:t>
      </w:r>
      <w:r w:rsidR="00DA0D35" w:rsidRPr="00E31BB4">
        <w:rPr>
          <w:rFonts w:ascii="Times New Roman" w:hAnsi="Times New Roman"/>
          <w:sz w:val="20"/>
          <w:szCs w:val="20"/>
        </w:rPr>
        <w:t xml:space="preserve"> 2COEB - 2-ciclohexiloxietilbenzeno; 2CEB - 2-ciclohexiletoxibenzeno; </w:t>
      </w:r>
      <w:r w:rsidR="00730231" w:rsidRPr="00E31BB4">
        <w:rPr>
          <w:rFonts w:ascii="Times New Roman" w:hAnsi="Times New Roman"/>
          <w:sz w:val="20"/>
          <w:szCs w:val="20"/>
        </w:rPr>
        <w:t>2CEC - 2-(cyclohexylethoxy) cyclohexane</w:t>
      </w:r>
      <w:r w:rsidR="00DA0D35" w:rsidRPr="00E31BB4">
        <w:rPr>
          <w:rFonts w:ascii="Times New Roman" w:hAnsi="Times New Roman"/>
          <w:sz w:val="20"/>
          <w:szCs w:val="20"/>
        </w:rPr>
        <w:t xml:space="preserve">. </w:t>
      </w:r>
      <w:r w:rsidR="00F93A91" w:rsidRPr="00E31BB4">
        <w:rPr>
          <w:rFonts w:ascii="Times New Roman" w:hAnsi="Times New Roman"/>
          <w:sz w:val="20"/>
          <w:szCs w:val="20"/>
        </w:rPr>
        <w:t>Condição reacional: 230 °C, 18 bar H</w:t>
      </w:r>
      <w:r w:rsidR="00F93A91" w:rsidRPr="00E31BB4">
        <w:rPr>
          <w:rFonts w:ascii="Times New Roman" w:hAnsi="Times New Roman"/>
          <w:sz w:val="20"/>
          <w:szCs w:val="20"/>
          <w:vertAlign w:val="subscript"/>
        </w:rPr>
        <w:t>2</w:t>
      </w:r>
      <w:r w:rsidR="00F93A91" w:rsidRPr="00E31BB4">
        <w:rPr>
          <w:rFonts w:ascii="Times New Roman" w:hAnsi="Times New Roman"/>
          <w:sz w:val="20"/>
          <w:szCs w:val="20"/>
        </w:rPr>
        <w:t>,</w:t>
      </w:r>
      <w:r w:rsidR="00F93A91" w:rsidRPr="006F2280">
        <w:rPr>
          <w:rFonts w:ascii="Times New Roman" w:hAnsi="Times New Roman"/>
          <w:sz w:val="20"/>
          <w:szCs w:val="20"/>
        </w:rPr>
        <w:t xml:space="preserve"> 3h</w:t>
      </w:r>
      <w:r w:rsidR="00BC556C">
        <w:rPr>
          <w:rFonts w:ascii="Times New Roman" w:hAnsi="Times New Roman"/>
          <w:sz w:val="20"/>
          <w:szCs w:val="20"/>
        </w:rPr>
        <w:t>.</w:t>
      </w:r>
    </w:p>
    <w:p w14:paraId="125BB86A" w14:textId="77777777" w:rsidR="00EA5A99" w:rsidRPr="00E038AF" w:rsidRDefault="00EA5A99" w:rsidP="003A565E">
      <w:pPr>
        <w:spacing w:after="80"/>
        <w:jc w:val="both"/>
        <w:rPr>
          <w:rFonts w:ascii="Times New Roman" w:hAnsi="Times New Roman"/>
        </w:rPr>
      </w:pPr>
    </w:p>
    <w:p w14:paraId="529964B6"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w:t>
      </w:r>
      <w:r w:rsidR="0019443C">
        <w:rPr>
          <w:rFonts w:ascii="Helvetica" w:hAnsi="Helvetica" w:cs="Helvetica"/>
          <w:sz w:val="24"/>
          <w:szCs w:val="24"/>
        </w:rPr>
        <w:t>ão</w:t>
      </w:r>
    </w:p>
    <w:p w14:paraId="61B984BD" w14:textId="6BBC94A5" w:rsidR="00EA4E1B" w:rsidRDefault="0031362B" w:rsidP="00EA4E1B">
      <w:pPr>
        <w:pStyle w:val="TAMainText"/>
        <w:ind w:firstLine="187"/>
        <w:rPr>
          <w:rFonts w:ascii="Times New Roman" w:hAnsi="Times New Roman"/>
          <w:lang w:val="pt-BR"/>
        </w:rPr>
      </w:pPr>
      <w:r>
        <w:rPr>
          <w:rFonts w:ascii="Times New Roman" w:hAnsi="Times New Roman"/>
          <w:lang w:val="pt-BR"/>
        </w:rPr>
        <w:t xml:space="preserve">Com base nos resultados obtidos foi possível observar que a conversão do FEB foi fortemente afetada pelo suporte </w:t>
      </w:r>
      <w:r>
        <w:rPr>
          <w:rFonts w:ascii="Times New Roman" w:hAnsi="Times New Roman"/>
          <w:lang w:val="pt-BR"/>
        </w:rPr>
        <w:lastRenderedPageBreak/>
        <w:t>assim como pelo tamanho de partícula de Pd. A conversão d</w:t>
      </w:r>
      <w:r w:rsidR="00014ECA">
        <w:rPr>
          <w:rFonts w:ascii="Times New Roman" w:hAnsi="Times New Roman"/>
          <w:lang w:val="pt-BR"/>
        </w:rPr>
        <w:t>o</w:t>
      </w:r>
      <w:r>
        <w:rPr>
          <w:rFonts w:ascii="Times New Roman" w:hAnsi="Times New Roman"/>
          <w:lang w:val="pt-BR"/>
        </w:rPr>
        <w:t xml:space="preserve"> FEB se deu apenas em presença de sítios ácidos de Brönsted. </w:t>
      </w:r>
      <w:r w:rsidR="00014ECA">
        <w:rPr>
          <w:rFonts w:ascii="Times New Roman" w:hAnsi="Times New Roman"/>
          <w:lang w:val="pt-BR"/>
        </w:rPr>
        <w:t xml:space="preserve">A presença de pequenas partículas de Pd não favoreceu a hidrogenólise da ligação C-O, e assim, a </w:t>
      </w:r>
      <w:r>
        <w:rPr>
          <w:rFonts w:ascii="Times New Roman" w:hAnsi="Times New Roman"/>
          <w:lang w:val="pt-BR"/>
        </w:rPr>
        <w:t>formação d</w:t>
      </w:r>
      <w:r w:rsidR="00014ECA">
        <w:rPr>
          <w:rFonts w:ascii="Times New Roman" w:hAnsi="Times New Roman"/>
          <w:lang w:val="pt-BR"/>
        </w:rPr>
        <w:t>os</w:t>
      </w:r>
      <w:r>
        <w:rPr>
          <w:rFonts w:ascii="Times New Roman" w:hAnsi="Times New Roman"/>
          <w:lang w:val="pt-BR"/>
        </w:rPr>
        <w:t xml:space="preserve"> produtos</w:t>
      </w:r>
      <w:r w:rsidR="00730231">
        <w:rPr>
          <w:rFonts w:ascii="Times New Roman" w:hAnsi="Times New Roman"/>
          <w:lang w:val="pt-BR"/>
        </w:rPr>
        <w:t xml:space="preserve"> </w:t>
      </w:r>
      <w:r>
        <w:rPr>
          <w:rFonts w:ascii="Times New Roman" w:hAnsi="Times New Roman"/>
          <w:lang w:val="pt-BR"/>
        </w:rPr>
        <w:t xml:space="preserve">alquilados oxigenados </w:t>
      </w:r>
      <w:r w:rsidR="00014ECA">
        <w:rPr>
          <w:rFonts w:ascii="Times New Roman" w:hAnsi="Times New Roman"/>
          <w:lang w:val="pt-BR"/>
        </w:rPr>
        <w:t>não ocorreu em ambos os suportes (TiO</w:t>
      </w:r>
      <w:r w:rsidR="00014ECA" w:rsidRPr="00014ECA">
        <w:rPr>
          <w:rFonts w:ascii="Times New Roman" w:hAnsi="Times New Roman"/>
          <w:vertAlign w:val="subscript"/>
          <w:lang w:val="pt-BR"/>
        </w:rPr>
        <w:t>2</w:t>
      </w:r>
      <w:r w:rsidR="00014ECA">
        <w:rPr>
          <w:rFonts w:ascii="Times New Roman" w:hAnsi="Times New Roman"/>
          <w:lang w:val="pt-BR"/>
        </w:rPr>
        <w:t xml:space="preserve"> e Nb</w:t>
      </w:r>
      <w:r w:rsidR="00014ECA" w:rsidRPr="00014ECA">
        <w:rPr>
          <w:rFonts w:ascii="Times New Roman" w:hAnsi="Times New Roman"/>
          <w:vertAlign w:val="subscript"/>
          <w:lang w:val="pt-BR"/>
        </w:rPr>
        <w:t>2</w:t>
      </w:r>
      <w:r w:rsidR="00014ECA">
        <w:rPr>
          <w:rFonts w:ascii="Times New Roman" w:hAnsi="Times New Roman"/>
          <w:lang w:val="pt-BR"/>
        </w:rPr>
        <w:t>O</w:t>
      </w:r>
      <w:r w:rsidR="00014ECA" w:rsidRPr="00014ECA">
        <w:rPr>
          <w:rFonts w:ascii="Times New Roman" w:hAnsi="Times New Roman"/>
          <w:vertAlign w:val="subscript"/>
          <w:lang w:val="pt-BR"/>
        </w:rPr>
        <w:t>5</w:t>
      </w:r>
      <w:r w:rsidR="00014ECA">
        <w:rPr>
          <w:rFonts w:ascii="Times New Roman" w:hAnsi="Times New Roman"/>
          <w:lang w:val="pt-BR"/>
        </w:rPr>
        <w:t xml:space="preserve">). Entretanto, em presença de sítios ácidos de Brönsted e pequenas partículas de Pd, a hidrogenólise se tornou mais </w:t>
      </w:r>
      <w:r w:rsidR="002D23B0">
        <w:rPr>
          <w:rFonts w:ascii="Times New Roman" w:hAnsi="Times New Roman"/>
          <w:lang w:val="pt-BR"/>
        </w:rPr>
        <w:t xml:space="preserve">preponderante </w:t>
      </w:r>
      <w:r w:rsidR="00014ECA">
        <w:rPr>
          <w:rFonts w:ascii="Times New Roman" w:hAnsi="Times New Roman"/>
          <w:lang w:val="pt-BR"/>
        </w:rPr>
        <w:t>e cicloexano foi formado em maior quantidade.</w:t>
      </w:r>
    </w:p>
    <w:p w14:paraId="252632B5" w14:textId="77777777" w:rsidR="0031362B" w:rsidRPr="001F25B2" w:rsidRDefault="0031362B" w:rsidP="00EA4E1B">
      <w:pPr>
        <w:pStyle w:val="TAMainText"/>
        <w:ind w:firstLine="187"/>
        <w:rPr>
          <w:rFonts w:ascii="Times New Roman" w:hAnsi="Times New Roman"/>
          <w:lang w:val="pt-BR"/>
        </w:rPr>
      </w:pPr>
    </w:p>
    <w:p w14:paraId="457420BF"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131914CF" w14:textId="77777777" w:rsidR="00EA4E1B" w:rsidRDefault="00BF30C9" w:rsidP="00EA4E1B">
      <w:pPr>
        <w:pStyle w:val="TAMainText"/>
        <w:rPr>
          <w:rFonts w:ascii="Times New Roman" w:hAnsi="Times New Roman"/>
          <w:lang w:val="pt-BR"/>
        </w:rPr>
      </w:pPr>
      <w:r>
        <w:rPr>
          <w:rFonts w:ascii="Times New Roman" w:hAnsi="Times New Roman"/>
          <w:lang w:val="pt-BR"/>
        </w:rPr>
        <w:t xml:space="preserve">Os autores gostariam de agradecer </w:t>
      </w:r>
      <w:r w:rsidR="001A0E91">
        <w:rPr>
          <w:rFonts w:ascii="Times New Roman" w:hAnsi="Times New Roman"/>
          <w:lang w:val="pt-BR"/>
        </w:rPr>
        <w:t>ao governo francês, que por meio do programa “</w:t>
      </w:r>
      <w:r w:rsidR="001A0E91" w:rsidRPr="001A0E91">
        <w:rPr>
          <w:lang w:val="pt-BR"/>
        </w:rPr>
        <w:t>Investissement d’Avenir</w:t>
      </w:r>
      <w:r w:rsidR="001A0E91">
        <w:rPr>
          <w:lang w:val="pt-BR"/>
        </w:rPr>
        <w:t xml:space="preserve">” gerenciado pela </w:t>
      </w:r>
      <w:r w:rsidR="001A0E91" w:rsidRPr="001A0E91">
        <w:rPr>
          <w:lang w:val="pt-BR"/>
        </w:rPr>
        <w:t xml:space="preserve">AgenceNationale de laRecherche, CNRS, MétropoleEuropéen de Lille (MEL) and RegionHauts-de-France </w:t>
      </w:r>
      <w:r w:rsidR="001A0E91">
        <w:rPr>
          <w:lang w:val="pt-BR"/>
        </w:rPr>
        <w:t>financiou o projeto “CatBioInnov”. Os autores também agradecem à</w:t>
      </w:r>
      <w:r>
        <w:rPr>
          <w:rFonts w:ascii="Times New Roman" w:hAnsi="Times New Roman"/>
          <w:lang w:val="pt-BR"/>
        </w:rPr>
        <w:t xml:space="preserve">JoelleThuriot pelas análises de ICP, </w:t>
      </w:r>
      <w:r w:rsidR="001A0E91">
        <w:rPr>
          <w:rFonts w:ascii="Times New Roman" w:hAnsi="Times New Roman"/>
          <w:lang w:val="pt-BR"/>
        </w:rPr>
        <w:t xml:space="preserve">Ahmed Addad pelas imagens de TEM e Jean-Charles Morin pela análise de FTIR. Fábio Bellot Noronha também gostaria de agradecer a Fundação de Amparo à Pesquisa do Estado do Rio de Janeiro (FAPERJ - </w:t>
      </w:r>
      <w:r w:rsidR="001A0E91" w:rsidRPr="001A0E91">
        <w:rPr>
          <w:rFonts w:ascii="Times New Roman" w:hAnsi="Times New Roman"/>
          <w:lang w:val="pt-BR"/>
        </w:rPr>
        <w:t xml:space="preserve">E-26/202.783/2017; 200.966/2021), Conselho Nacional de Desenvolvimento Científico e Tecnológico (CNPq—303667/2018-4; 305046/2015-2; 302469/2020-6; 310116/2019-82) </w:t>
      </w:r>
      <w:r w:rsidR="001A0E91">
        <w:rPr>
          <w:rFonts w:ascii="Times New Roman" w:hAnsi="Times New Roman"/>
          <w:lang w:val="pt-BR"/>
        </w:rPr>
        <w:t>pelo suporte financeiro.</w:t>
      </w:r>
    </w:p>
    <w:p w14:paraId="1AF5D513" w14:textId="77777777" w:rsidR="00EA5A99" w:rsidRPr="001F25B2" w:rsidRDefault="00EA5A99" w:rsidP="00EA4E1B">
      <w:pPr>
        <w:pStyle w:val="TAMainText"/>
        <w:rPr>
          <w:rFonts w:ascii="Times New Roman" w:hAnsi="Times New Roman"/>
          <w:lang w:val="pt-BR"/>
        </w:rPr>
      </w:pPr>
    </w:p>
    <w:p w14:paraId="443FFF5F"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6634C5DD" w14:textId="77777777" w:rsidR="00EA4E1B" w:rsidRDefault="00EA4E1B" w:rsidP="00EA4E1B">
      <w:pPr>
        <w:pStyle w:val="TAMainText"/>
        <w:ind w:firstLine="0"/>
        <w:rPr>
          <w:lang w:val="pt-BR"/>
        </w:rPr>
      </w:pPr>
    </w:p>
    <w:p w14:paraId="11978DC6" w14:textId="77777777" w:rsidR="002730B7" w:rsidRPr="006D7020" w:rsidRDefault="002730B7" w:rsidP="00EA4E1B">
      <w:pPr>
        <w:pStyle w:val="TAMainText"/>
        <w:numPr>
          <w:ilvl w:val="0"/>
          <w:numId w:val="1"/>
        </w:numPr>
        <w:rPr>
          <w:lang w:val="pt-BR"/>
        </w:rPr>
      </w:pPr>
      <w:r w:rsidRPr="006D7020">
        <w:t xml:space="preserve">M. Zaheer and R. Kempe. </w:t>
      </w:r>
      <w:r w:rsidRPr="00DA0D35">
        <w:t xml:space="preserve">ACS Catal. </w:t>
      </w:r>
      <w:r w:rsidRPr="006D7020">
        <w:rPr>
          <w:b/>
          <w:bCs/>
          <w:lang w:val="pt-BR"/>
        </w:rPr>
        <w:t>2015</w:t>
      </w:r>
      <w:r w:rsidRPr="006D7020">
        <w:rPr>
          <w:lang w:val="pt-BR"/>
        </w:rPr>
        <w:t>, 5 (3), 1675–1684.</w:t>
      </w:r>
    </w:p>
    <w:p w14:paraId="7E269A46" w14:textId="77777777" w:rsidR="004A37F2" w:rsidRPr="006D7020" w:rsidRDefault="004A37F2" w:rsidP="00EA4E1B">
      <w:pPr>
        <w:pStyle w:val="TAMainText"/>
        <w:numPr>
          <w:ilvl w:val="0"/>
          <w:numId w:val="1"/>
        </w:numPr>
      </w:pPr>
      <w:r w:rsidRPr="006D7020">
        <w:t xml:space="preserve">M. Patel and A. Kumar. Renew. Sust. Energ. Rev. </w:t>
      </w:r>
      <w:r w:rsidRPr="006D7020">
        <w:rPr>
          <w:b/>
          <w:bCs/>
        </w:rPr>
        <w:t>2016</w:t>
      </w:r>
      <w:r w:rsidRPr="006D7020">
        <w:t>, 58, 1293–1307.</w:t>
      </w:r>
    </w:p>
    <w:p w14:paraId="29F97C39" w14:textId="77777777" w:rsidR="00702EEE" w:rsidRDefault="00702EEE" w:rsidP="00EA4E1B">
      <w:pPr>
        <w:pStyle w:val="TAMainText"/>
        <w:numPr>
          <w:ilvl w:val="0"/>
          <w:numId w:val="1"/>
        </w:numPr>
      </w:pPr>
      <w:r w:rsidRPr="00DA0D35">
        <w:rPr>
          <w:lang w:val="pt-BR"/>
        </w:rPr>
        <w:t xml:space="preserve">S. De, B. Saha, and R. Luque. Bioresour. </w:t>
      </w:r>
      <w:r w:rsidRPr="006D7020">
        <w:t xml:space="preserve">Technol. </w:t>
      </w:r>
      <w:r w:rsidRPr="006D7020">
        <w:rPr>
          <w:b/>
          <w:bCs/>
        </w:rPr>
        <w:t>2015</w:t>
      </w:r>
      <w:r w:rsidRPr="006D7020">
        <w:t>, 178, 108–118.</w:t>
      </w:r>
    </w:p>
    <w:p w14:paraId="631F55DF" w14:textId="77777777" w:rsidR="006D7020" w:rsidRDefault="006D7020" w:rsidP="00EA4E1B">
      <w:pPr>
        <w:pStyle w:val="TAMainText"/>
        <w:numPr>
          <w:ilvl w:val="0"/>
          <w:numId w:val="1"/>
        </w:numPr>
      </w:pPr>
      <w:r w:rsidRPr="006D7020">
        <w:t xml:space="preserve">A.S. Ouedraogo and P.R. Bhoi. J. Clean. Prod. </w:t>
      </w:r>
      <w:r w:rsidRPr="006D7020">
        <w:rPr>
          <w:b/>
          <w:bCs/>
        </w:rPr>
        <w:t>2020</w:t>
      </w:r>
      <w:r w:rsidRPr="006D7020">
        <w:t>, 253, 119957.</w:t>
      </w:r>
    </w:p>
    <w:p w14:paraId="442E2A92" w14:textId="77777777" w:rsidR="006D7020" w:rsidRPr="006D7020" w:rsidRDefault="006D7020" w:rsidP="00EA4E1B">
      <w:pPr>
        <w:pStyle w:val="TAMainText"/>
        <w:numPr>
          <w:ilvl w:val="0"/>
          <w:numId w:val="1"/>
        </w:numPr>
      </w:pPr>
      <w:r w:rsidRPr="006D7020">
        <w:t xml:space="preserve">X. Han, Y. Guo, X. Liu, Q. Xia, and Y. Wang. Catal. Today </w:t>
      </w:r>
      <w:r w:rsidRPr="006D7020">
        <w:rPr>
          <w:b/>
          <w:bCs/>
        </w:rPr>
        <w:t>2019</w:t>
      </w:r>
      <w:r w:rsidRPr="006D7020">
        <w:t>, 319, 2–13.</w:t>
      </w:r>
    </w:p>
    <w:p w14:paraId="3A2405B8" w14:textId="77777777" w:rsidR="007149FB" w:rsidRPr="006D7020" w:rsidRDefault="007149FB" w:rsidP="00EA4E1B">
      <w:pPr>
        <w:pStyle w:val="TAMainText"/>
        <w:numPr>
          <w:ilvl w:val="0"/>
          <w:numId w:val="1"/>
        </w:numPr>
      </w:pPr>
      <w:r w:rsidRPr="006D7020">
        <w:t xml:space="preserve">J. He, C. Zhao and J.A. Lercher. J. Am. Chem. Soc. </w:t>
      </w:r>
      <w:r w:rsidRPr="006D7020">
        <w:rPr>
          <w:b/>
          <w:bCs/>
        </w:rPr>
        <w:t>2012</w:t>
      </w:r>
      <w:r w:rsidRPr="006D7020">
        <w:t>, 134 (51), 20768–20775.</w:t>
      </w:r>
    </w:p>
    <w:p w14:paraId="12FC4627" w14:textId="77777777" w:rsidR="007149FB" w:rsidRPr="006D7020" w:rsidRDefault="007149FB" w:rsidP="00EA4E1B">
      <w:pPr>
        <w:pStyle w:val="TAMainText"/>
        <w:numPr>
          <w:ilvl w:val="0"/>
          <w:numId w:val="1"/>
        </w:numPr>
      </w:pPr>
      <w:r w:rsidRPr="006D7020">
        <w:t xml:space="preserve">Z. Luo and C. Zhao. Catal. Sci. Technol. </w:t>
      </w:r>
      <w:r w:rsidRPr="006D7020">
        <w:rPr>
          <w:b/>
          <w:bCs/>
        </w:rPr>
        <w:t>2016</w:t>
      </w:r>
      <w:r w:rsidRPr="006D7020">
        <w:t>, 6 (10), 3476–3484.</w:t>
      </w:r>
    </w:p>
    <w:p w14:paraId="731C05A1" w14:textId="77777777" w:rsidR="007149FB" w:rsidRPr="006D7020" w:rsidRDefault="007149FB" w:rsidP="00EA4E1B">
      <w:pPr>
        <w:pStyle w:val="TAMainText"/>
        <w:numPr>
          <w:ilvl w:val="0"/>
          <w:numId w:val="1"/>
        </w:numPr>
      </w:pPr>
      <w:r w:rsidRPr="006D7020">
        <w:t xml:space="preserve">Q. Song, J. Cai, J. Zhang, W. Yu, F. Wang, and J. Xu. Chinese J. Catal. </w:t>
      </w:r>
      <w:r w:rsidRPr="006D7020">
        <w:rPr>
          <w:b/>
          <w:bCs/>
        </w:rPr>
        <w:t>2013</w:t>
      </w:r>
      <w:r w:rsidRPr="006D7020">
        <w:t>, 34 (4), 651–658.</w:t>
      </w:r>
    </w:p>
    <w:p w14:paraId="1510EBED" w14:textId="77777777" w:rsidR="006D7020" w:rsidRPr="006D7020" w:rsidRDefault="006D7020" w:rsidP="00EA4E1B">
      <w:pPr>
        <w:pStyle w:val="TAMainText"/>
        <w:numPr>
          <w:ilvl w:val="0"/>
          <w:numId w:val="1"/>
        </w:numPr>
      </w:pPr>
      <w:r w:rsidRPr="006D7020">
        <w:t xml:space="preserve">W. Song, W. Lai, Y. Lian, X. Jiang, and W. Yang. Fuel </w:t>
      </w:r>
      <w:r w:rsidRPr="006D7020">
        <w:rPr>
          <w:b/>
          <w:bCs/>
        </w:rPr>
        <w:t>2020</w:t>
      </w:r>
      <w:r w:rsidRPr="006D7020">
        <w:t>, 263, 116705.</w:t>
      </w:r>
    </w:p>
    <w:p w14:paraId="45378F15" w14:textId="77777777" w:rsidR="006253E2" w:rsidRPr="006D7020" w:rsidRDefault="006253E2" w:rsidP="00EA4E1B">
      <w:pPr>
        <w:pStyle w:val="TAMainText"/>
        <w:numPr>
          <w:ilvl w:val="0"/>
          <w:numId w:val="1"/>
        </w:numPr>
      </w:pPr>
      <w:r w:rsidRPr="006D7020">
        <w:rPr>
          <w:lang w:val="de-DE"/>
        </w:rPr>
        <w:t xml:space="preserve">W. Guan, X. Chen, H. Hu, C.-W Tsang, J. Zhang, C. S. K. Lin, and C. Liang. </w:t>
      </w:r>
      <w:r w:rsidRPr="006D7020">
        <w:t xml:space="preserve">Fuel Process. Technol. </w:t>
      </w:r>
      <w:r w:rsidRPr="006D7020">
        <w:rPr>
          <w:b/>
          <w:bCs/>
        </w:rPr>
        <w:t>2020</w:t>
      </w:r>
      <w:r w:rsidRPr="006D7020">
        <w:t>, 203, 106392.</w:t>
      </w:r>
    </w:p>
    <w:p w14:paraId="7F78E401" w14:textId="77777777" w:rsidR="006D7020" w:rsidRPr="006D7020" w:rsidRDefault="006D7020" w:rsidP="00EA4E1B">
      <w:pPr>
        <w:pStyle w:val="TAMainText"/>
        <w:numPr>
          <w:ilvl w:val="0"/>
          <w:numId w:val="1"/>
        </w:numPr>
      </w:pPr>
      <w:r w:rsidRPr="006D7020">
        <w:t xml:space="preserve">Z. Luo, Y. Wang, M. He, and C. Zhao. Green Chem. </w:t>
      </w:r>
      <w:r w:rsidRPr="006D7020">
        <w:rPr>
          <w:b/>
          <w:bCs/>
        </w:rPr>
        <w:t>2016</w:t>
      </w:r>
      <w:r w:rsidRPr="006D7020">
        <w:t>, 18 (2), 433–441.</w:t>
      </w:r>
    </w:p>
    <w:p w14:paraId="5BCFF039"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4D3D" w14:textId="77777777" w:rsidR="00691FC2" w:rsidRDefault="00691FC2" w:rsidP="00EA4E1B">
      <w:pPr>
        <w:spacing w:after="0" w:line="240" w:lineRule="auto"/>
      </w:pPr>
      <w:r>
        <w:separator/>
      </w:r>
    </w:p>
  </w:endnote>
  <w:endnote w:type="continuationSeparator" w:id="0">
    <w:p w14:paraId="11D0D018" w14:textId="77777777" w:rsidR="00691FC2" w:rsidRDefault="00691FC2"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869D" w14:textId="77777777" w:rsidR="00691FC2" w:rsidRDefault="00691FC2" w:rsidP="00EA4E1B">
      <w:pPr>
        <w:spacing w:after="0" w:line="240" w:lineRule="auto"/>
      </w:pPr>
      <w:r>
        <w:separator/>
      </w:r>
    </w:p>
  </w:footnote>
  <w:footnote w:type="continuationSeparator" w:id="0">
    <w:p w14:paraId="032CC8D4" w14:textId="77777777" w:rsidR="00691FC2" w:rsidRDefault="00691FC2"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82FE" w14:textId="77777777" w:rsidR="00EA4E1B" w:rsidRDefault="00AF0400" w:rsidP="00EA4E1B">
    <w:pPr>
      <w:pStyle w:val="Cabealho"/>
      <w:jc w:val="center"/>
    </w:pPr>
    <w:r>
      <w:rPr>
        <w:noProof/>
        <w:lang w:eastAsia="pt-BR"/>
      </w:rPr>
      <w:drawing>
        <wp:inline distT="0" distB="0" distL="0" distR="0" wp14:anchorId="44B1DD55" wp14:editId="7684E39C">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lang w:eastAsia="pt-BR"/>
      </w:rPr>
      <w:drawing>
        <wp:inline distT="0" distB="0" distL="0" distR="0" wp14:anchorId="631CE0CA" wp14:editId="65E88ECE">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42645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BEA"/>
    <w:rsid w:val="0001264A"/>
    <w:rsid w:val="00014ECA"/>
    <w:rsid w:val="00035456"/>
    <w:rsid w:val="000425AB"/>
    <w:rsid w:val="00047C5C"/>
    <w:rsid w:val="00061A72"/>
    <w:rsid w:val="000746C5"/>
    <w:rsid w:val="000A7087"/>
    <w:rsid w:val="000B5624"/>
    <w:rsid w:val="000E3608"/>
    <w:rsid w:val="000F1D24"/>
    <w:rsid w:val="001009AC"/>
    <w:rsid w:val="00101988"/>
    <w:rsid w:val="001104FA"/>
    <w:rsid w:val="001149E5"/>
    <w:rsid w:val="00135957"/>
    <w:rsid w:val="00177CB6"/>
    <w:rsid w:val="00180EF0"/>
    <w:rsid w:val="0019443C"/>
    <w:rsid w:val="001A0E91"/>
    <w:rsid w:val="001E4A50"/>
    <w:rsid w:val="001E58A9"/>
    <w:rsid w:val="001F25B2"/>
    <w:rsid w:val="002144DC"/>
    <w:rsid w:val="00222230"/>
    <w:rsid w:val="002730B7"/>
    <w:rsid w:val="00280BC2"/>
    <w:rsid w:val="00292AD0"/>
    <w:rsid w:val="002D23B0"/>
    <w:rsid w:val="002E04E3"/>
    <w:rsid w:val="00310B4D"/>
    <w:rsid w:val="00311C08"/>
    <w:rsid w:val="0031362B"/>
    <w:rsid w:val="003171F9"/>
    <w:rsid w:val="0032768B"/>
    <w:rsid w:val="003303EE"/>
    <w:rsid w:val="00340B1E"/>
    <w:rsid w:val="003527E0"/>
    <w:rsid w:val="0035476C"/>
    <w:rsid w:val="00354FB9"/>
    <w:rsid w:val="003622B8"/>
    <w:rsid w:val="00374DF9"/>
    <w:rsid w:val="003A565E"/>
    <w:rsid w:val="003B0010"/>
    <w:rsid w:val="003B071B"/>
    <w:rsid w:val="003F668E"/>
    <w:rsid w:val="00402F3E"/>
    <w:rsid w:val="0041184B"/>
    <w:rsid w:val="00421ECF"/>
    <w:rsid w:val="00472786"/>
    <w:rsid w:val="004831D0"/>
    <w:rsid w:val="004A37F2"/>
    <w:rsid w:val="004B07CA"/>
    <w:rsid w:val="004B57DF"/>
    <w:rsid w:val="004F3F42"/>
    <w:rsid w:val="005102D4"/>
    <w:rsid w:val="0052112E"/>
    <w:rsid w:val="00535C02"/>
    <w:rsid w:val="00537F17"/>
    <w:rsid w:val="005B3FFD"/>
    <w:rsid w:val="005C2775"/>
    <w:rsid w:val="005D65EB"/>
    <w:rsid w:val="005E4755"/>
    <w:rsid w:val="005F51EF"/>
    <w:rsid w:val="00604718"/>
    <w:rsid w:val="00612877"/>
    <w:rsid w:val="006253E2"/>
    <w:rsid w:val="00625463"/>
    <w:rsid w:val="00651A40"/>
    <w:rsid w:val="00652815"/>
    <w:rsid w:val="00661BF7"/>
    <w:rsid w:val="00683AB3"/>
    <w:rsid w:val="00691FC2"/>
    <w:rsid w:val="006B7B0A"/>
    <w:rsid w:val="006C58F1"/>
    <w:rsid w:val="006D7020"/>
    <w:rsid w:val="006F2280"/>
    <w:rsid w:val="006F4600"/>
    <w:rsid w:val="006F599B"/>
    <w:rsid w:val="00702EEE"/>
    <w:rsid w:val="007149FB"/>
    <w:rsid w:val="007250AB"/>
    <w:rsid w:val="00730231"/>
    <w:rsid w:val="007670A0"/>
    <w:rsid w:val="00781685"/>
    <w:rsid w:val="007B32D8"/>
    <w:rsid w:val="007B4B2B"/>
    <w:rsid w:val="007C4C6A"/>
    <w:rsid w:val="007F2D09"/>
    <w:rsid w:val="007F48A9"/>
    <w:rsid w:val="0084495D"/>
    <w:rsid w:val="008561B2"/>
    <w:rsid w:val="00866822"/>
    <w:rsid w:val="008750F9"/>
    <w:rsid w:val="008B1683"/>
    <w:rsid w:val="008C1B30"/>
    <w:rsid w:val="008D1E9E"/>
    <w:rsid w:val="008F5A1D"/>
    <w:rsid w:val="0090759A"/>
    <w:rsid w:val="009650B2"/>
    <w:rsid w:val="009656D9"/>
    <w:rsid w:val="009C00A4"/>
    <w:rsid w:val="009C7CB0"/>
    <w:rsid w:val="00A02D7F"/>
    <w:rsid w:val="00A17D85"/>
    <w:rsid w:val="00A266CF"/>
    <w:rsid w:val="00A30922"/>
    <w:rsid w:val="00A53886"/>
    <w:rsid w:val="00A87CE8"/>
    <w:rsid w:val="00A92178"/>
    <w:rsid w:val="00AA182E"/>
    <w:rsid w:val="00AF0400"/>
    <w:rsid w:val="00B056B0"/>
    <w:rsid w:val="00B06829"/>
    <w:rsid w:val="00B30AEB"/>
    <w:rsid w:val="00B463B5"/>
    <w:rsid w:val="00B544BE"/>
    <w:rsid w:val="00B7045E"/>
    <w:rsid w:val="00B7481B"/>
    <w:rsid w:val="00B76F9F"/>
    <w:rsid w:val="00B90012"/>
    <w:rsid w:val="00B90C57"/>
    <w:rsid w:val="00B92D0A"/>
    <w:rsid w:val="00BA6A6E"/>
    <w:rsid w:val="00BA7F9A"/>
    <w:rsid w:val="00BB3AE9"/>
    <w:rsid w:val="00BC556C"/>
    <w:rsid w:val="00BD4068"/>
    <w:rsid w:val="00BF30C9"/>
    <w:rsid w:val="00BF3127"/>
    <w:rsid w:val="00C07B8D"/>
    <w:rsid w:val="00C27608"/>
    <w:rsid w:val="00C34180"/>
    <w:rsid w:val="00C76E54"/>
    <w:rsid w:val="00CA1F31"/>
    <w:rsid w:val="00CF7F94"/>
    <w:rsid w:val="00D35F13"/>
    <w:rsid w:val="00D621B8"/>
    <w:rsid w:val="00D96135"/>
    <w:rsid w:val="00DA0D35"/>
    <w:rsid w:val="00DC3390"/>
    <w:rsid w:val="00DD1549"/>
    <w:rsid w:val="00DE2562"/>
    <w:rsid w:val="00E02A21"/>
    <w:rsid w:val="00E038AF"/>
    <w:rsid w:val="00E14A88"/>
    <w:rsid w:val="00E22A9A"/>
    <w:rsid w:val="00E31BB4"/>
    <w:rsid w:val="00E87192"/>
    <w:rsid w:val="00E97C02"/>
    <w:rsid w:val="00EA4E1B"/>
    <w:rsid w:val="00EA5A99"/>
    <w:rsid w:val="00EE0598"/>
    <w:rsid w:val="00F11B1E"/>
    <w:rsid w:val="00F30661"/>
    <w:rsid w:val="00F40851"/>
    <w:rsid w:val="00F76E0F"/>
    <w:rsid w:val="00F917DA"/>
    <w:rsid w:val="00F93A91"/>
    <w:rsid w:val="00FB04C5"/>
    <w:rsid w:val="00FF1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76E65"/>
  <w15:docId w15:val="{FC89A1D9-9235-4AF8-8995-C19383CB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Reviso">
    <w:name w:val="Revision"/>
    <w:hidden/>
    <w:uiPriority w:val="99"/>
    <w:semiHidden/>
    <w:rsid w:val="002E04E3"/>
    <w:pPr>
      <w:spacing w:after="0" w:line="240" w:lineRule="auto"/>
    </w:pPr>
  </w:style>
  <w:style w:type="character" w:styleId="Refdecomentrio">
    <w:name w:val="annotation reference"/>
    <w:basedOn w:val="Fontepargpadro"/>
    <w:uiPriority w:val="99"/>
    <w:semiHidden/>
    <w:unhideWhenUsed/>
    <w:rsid w:val="002E04E3"/>
    <w:rPr>
      <w:sz w:val="16"/>
      <w:szCs w:val="16"/>
    </w:rPr>
  </w:style>
  <w:style w:type="paragraph" w:styleId="Textodecomentrio">
    <w:name w:val="annotation text"/>
    <w:basedOn w:val="Normal"/>
    <w:link w:val="TextodecomentrioChar"/>
    <w:uiPriority w:val="99"/>
    <w:semiHidden/>
    <w:unhideWhenUsed/>
    <w:rsid w:val="002E04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04E3"/>
    <w:rPr>
      <w:sz w:val="20"/>
      <w:szCs w:val="20"/>
    </w:rPr>
  </w:style>
  <w:style w:type="paragraph" w:styleId="Assuntodocomentrio">
    <w:name w:val="annotation subject"/>
    <w:basedOn w:val="Textodecomentrio"/>
    <w:next w:val="Textodecomentrio"/>
    <w:link w:val="AssuntodocomentrioChar"/>
    <w:uiPriority w:val="99"/>
    <w:semiHidden/>
    <w:unhideWhenUsed/>
    <w:rsid w:val="002E04E3"/>
    <w:rPr>
      <w:b/>
      <w:bCs/>
    </w:rPr>
  </w:style>
  <w:style w:type="character" w:customStyle="1" w:styleId="AssuntodocomentrioChar">
    <w:name w:val="Assunto do comentário Char"/>
    <w:basedOn w:val="TextodecomentrioChar"/>
    <w:link w:val="Assuntodocomentrio"/>
    <w:uiPriority w:val="99"/>
    <w:semiHidden/>
    <w:rsid w:val="002E04E3"/>
    <w:rPr>
      <w:b/>
      <w:bCs/>
      <w:sz w:val="20"/>
      <w:szCs w:val="20"/>
    </w:rPr>
  </w:style>
  <w:style w:type="paragraph" w:styleId="Bibliografia">
    <w:name w:val="Bibliography"/>
    <w:basedOn w:val="Normal"/>
    <w:next w:val="Normal"/>
    <w:uiPriority w:val="37"/>
    <w:semiHidden/>
    <w:unhideWhenUsed/>
    <w:rsid w:val="006253E2"/>
  </w:style>
  <w:style w:type="table" w:styleId="Tabelacomgrade">
    <w:name w:val="Table Grid"/>
    <w:basedOn w:val="Tabelanormal"/>
    <w:uiPriority w:val="39"/>
    <w:rsid w:val="00E9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2173</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Raphaela</cp:lastModifiedBy>
  <cp:revision>10</cp:revision>
  <dcterms:created xsi:type="dcterms:W3CDTF">2023-06-12T12:03:00Z</dcterms:created>
  <dcterms:modified xsi:type="dcterms:W3CDTF">2023-06-21T16:23:00Z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d9e6370eb1f705a4fd7e238cb765c2f44b20c1d784286b2307c3d5e8aaac0a76</vt:lpwstr>
  </property>
  <property fmtid="{D5CDD505-2E9C-101B-9397-08002B2CF9AE}" pid="23" name="ZOTERO_PREF_1">
    <vt:lpwstr>&lt;data data-version="3" zotero-version="6.0.26"&gt;&lt;session id="OKqMUgT7"/&gt;&lt;style id="" hasBibliography="0" bibliographyStyleHasBeenSet="0"/&gt;&lt;prefs/&gt;&lt;/data&gt;</vt:lpwstr>
  </property>
</Properties>
</file>