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337FC" w14:textId="03E0F9A3" w:rsidR="003D5987" w:rsidRPr="003D5987" w:rsidRDefault="00400E50" w:rsidP="00057A92">
      <w:pPr>
        <w:pStyle w:val="BATitle"/>
        <w:spacing w:before="0" w:after="0" w:line="240" w:lineRule="auto"/>
        <w:ind w:right="0"/>
        <w:jc w:val="both"/>
        <w:rPr>
          <w:sz w:val="32"/>
          <w:lang w:val="pt-BR"/>
        </w:rPr>
      </w:pPr>
      <w:bookmarkStart w:id="0" w:name="_Hlk1324517"/>
      <w:bookmarkStart w:id="1" w:name="_Hlk1324670"/>
      <w:r>
        <w:rPr>
          <w:noProof/>
          <w:sz w:val="32"/>
          <w:lang w:val="pt-BR"/>
        </w:rPr>
        <mc:AlternateContent>
          <mc:Choice Requires="wps">
            <w:drawing>
              <wp:anchor distT="0" distB="0" distL="114300" distR="114300" simplePos="0" relativeHeight="251660287" behindDoc="0" locked="0" layoutInCell="1" allowOverlap="1" wp14:anchorId="0EF270BF" wp14:editId="3BBE0560">
                <wp:simplePos x="0" y="0"/>
                <wp:positionH relativeFrom="margin">
                  <wp:posOffset>0</wp:posOffset>
                </wp:positionH>
                <wp:positionV relativeFrom="paragraph">
                  <wp:posOffset>0</wp:posOffset>
                </wp:positionV>
                <wp:extent cx="6507480" cy="167640"/>
                <wp:effectExtent l="0" t="0" r="0" b="0"/>
                <wp:wrapNone/>
                <wp:docPr id="762716333"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61A78C" w14:textId="77777777" w:rsidR="00866822" w:rsidRPr="008C1B30" w:rsidRDefault="00866822" w:rsidP="00866822">
                            <w:pPr>
                              <w:pStyle w:val="BDAbstract"/>
                              <w:spacing w:before="0" w:after="0" w:line="240" w:lineRule="auto"/>
                              <w:rPr>
                                <w:rFonts w:cs="Helvetica"/>
                                <w:bCs/>
                                <w:sz w:val="20"/>
                                <w:lang w:val="pt-BR"/>
                              </w:rPr>
                            </w:pPr>
                          </w:p>
                          <w:p w14:paraId="0B656015"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F270BF" id="Retângulo 2"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" fillcolor="#9a0000" stroked="f" strokeweight="1pt">
                <v:textbox inset=",0,,0">
                  <w:txbxContent>
                    <w:p w14:paraId="2661A78C" w14:textId="77777777" w:rsidR="00866822" w:rsidRPr="008C1B30" w:rsidRDefault="00866822" w:rsidP="00866822">
                      <w:pPr>
                        <w:pStyle w:val="BDAbstract"/>
                        <w:spacing w:before="0" w:after="0" w:line="240" w:lineRule="auto"/>
                        <w:rPr>
                          <w:rFonts w:cs="Helvetica"/>
                          <w:bCs/>
                          <w:sz w:val="20"/>
                          <w:lang w:val="pt-BR"/>
                        </w:rPr>
                      </w:pPr>
                    </w:p>
                    <w:p w14:paraId="0B656015" w14:textId="77777777" w:rsidR="00866822" w:rsidRPr="008C1B30" w:rsidRDefault="00866822" w:rsidP="00866822">
                      <w:pPr>
                        <w:pStyle w:val="SemEspaamento"/>
                      </w:pPr>
                    </w:p>
                  </w:txbxContent>
                </v:textbox>
                <w10:wrap anchorx="margin"/>
              </v:rect>
            </w:pict>
          </mc:Fallback>
        </mc:AlternateContent>
      </w:r>
    </w:p>
    <w:p w14:paraId="02B7BEFA" w14:textId="77777777" w:rsidR="00057A92" w:rsidRPr="008046F7" w:rsidRDefault="003D5987" w:rsidP="008046F7">
      <w:pPr>
        <w:pStyle w:val="BATitle"/>
        <w:spacing w:before="0" w:after="0" w:line="240" w:lineRule="auto"/>
        <w:ind w:right="0"/>
        <w:jc w:val="both"/>
        <w:rPr>
          <w:rFonts w:cs="Helvetica"/>
          <w:b w:val="0"/>
          <w:bCs/>
          <w:sz w:val="32"/>
          <w:szCs w:val="32"/>
          <w:lang w:val="pt-BR"/>
        </w:rPr>
      </w:pPr>
      <w:r>
        <w:rPr>
          <w:sz w:val="32"/>
          <w:lang w:val="pt-BR"/>
        </w:rPr>
        <w:t xml:space="preserve">Modificação </w:t>
      </w:r>
      <w:r w:rsidR="00A472A9">
        <w:rPr>
          <w:sz w:val="32"/>
          <w:lang w:val="pt-BR"/>
        </w:rPr>
        <w:t>microestrutural</w:t>
      </w:r>
      <w:r>
        <w:rPr>
          <w:sz w:val="32"/>
          <w:lang w:val="pt-BR"/>
        </w:rPr>
        <w:t xml:space="preserve"> do catalisador </w:t>
      </w:r>
      <w:r w:rsidR="00CB2459" w:rsidRPr="003D5987">
        <w:rPr>
          <w:sz w:val="32"/>
          <w:lang w:val="pt-BR"/>
        </w:rPr>
        <w:t>Cu/</w:t>
      </w:r>
      <w:proofErr w:type="spellStart"/>
      <w:r w:rsidR="00CB2459" w:rsidRPr="003D5987">
        <w:rPr>
          <w:sz w:val="32"/>
          <w:lang w:val="pt-BR"/>
        </w:rPr>
        <w:t>ZnO</w:t>
      </w:r>
      <w:proofErr w:type="spellEnd"/>
      <w:r w:rsidR="00CB2459" w:rsidRPr="003D5987">
        <w:rPr>
          <w:sz w:val="32"/>
          <w:lang w:val="pt-BR"/>
        </w:rPr>
        <w:t>/Al</w:t>
      </w:r>
      <w:r w:rsidR="00CB2459" w:rsidRPr="003D5987">
        <w:rPr>
          <w:sz w:val="32"/>
          <w:vertAlign w:val="subscript"/>
          <w:lang w:val="pt-BR"/>
        </w:rPr>
        <w:t>2</w:t>
      </w:r>
      <w:r w:rsidR="00CB2459" w:rsidRPr="003D5987">
        <w:rPr>
          <w:sz w:val="32"/>
          <w:lang w:val="pt-BR"/>
        </w:rPr>
        <w:t>O</w:t>
      </w:r>
      <w:r w:rsidR="00CB2459" w:rsidRPr="003D5987">
        <w:rPr>
          <w:sz w:val="32"/>
          <w:vertAlign w:val="subscript"/>
          <w:lang w:val="pt-BR"/>
        </w:rPr>
        <w:t>3</w:t>
      </w:r>
      <w:r w:rsidR="00CB2459" w:rsidRPr="003D5987">
        <w:rPr>
          <w:sz w:val="32"/>
          <w:lang w:val="pt-BR"/>
        </w:rPr>
        <w:t xml:space="preserve"> durante a hidrogenação de CO</w:t>
      </w:r>
      <w:r w:rsidR="00CB2459" w:rsidRPr="003D5987">
        <w:rPr>
          <w:sz w:val="32"/>
          <w:vertAlign w:val="subscript"/>
          <w:lang w:val="pt-BR"/>
        </w:rPr>
        <w:t>2</w:t>
      </w:r>
      <w:r w:rsidR="00CB2459" w:rsidRPr="003D5987">
        <w:rPr>
          <w:sz w:val="32"/>
          <w:lang w:val="pt-BR"/>
        </w:rPr>
        <w:t xml:space="preserve"> </w:t>
      </w:r>
      <w:r>
        <w:rPr>
          <w:sz w:val="32"/>
          <w:lang w:val="pt-BR"/>
        </w:rPr>
        <w:t>em função da pressão</w:t>
      </w:r>
    </w:p>
    <w:p w14:paraId="5E263D2F" w14:textId="58BA6B91" w:rsidR="00EA4E1B" w:rsidRPr="00DC36DB" w:rsidRDefault="00DC36DB" w:rsidP="00EA4E1B">
      <w:pPr>
        <w:pStyle w:val="BBAuthorName"/>
        <w:spacing w:after="120"/>
        <w:ind w:right="0"/>
        <w:jc w:val="both"/>
        <w:rPr>
          <w:rFonts w:ascii="Times New Roman" w:hAnsi="Times New Roman"/>
          <w:sz w:val="20"/>
          <w:lang w:val="pt-BR"/>
        </w:rPr>
      </w:pPr>
      <w:r>
        <w:rPr>
          <w:rFonts w:ascii="Times New Roman" w:hAnsi="Times New Roman"/>
          <w:sz w:val="20"/>
          <w:lang w:val="pt-BR"/>
        </w:rPr>
        <w:t>João L</w:t>
      </w:r>
      <w:r w:rsidR="00057A92">
        <w:rPr>
          <w:rFonts w:ascii="Times New Roman" w:hAnsi="Times New Roman"/>
          <w:sz w:val="20"/>
          <w:lang w:val="pt-BR"/>
        </w:rPr>
        <w:t>ucas</w:t>
      </w:r>
      <w:r>
        <w:rPr>
          <w:rFonts w:ascii="Times New Roman" w:hAnsi="Times New Roman"/>
          <w:sz w:val="20"/>
          <w:lang w:val="pt-BR"/>
        </w:rPr>
        <w:t xml:space="preserve"> M</w:t>
      </w:r>
      <w:r w:rsidR="00057A92">
        <w:rPr>
          <w:rFonts w:ascii="Times New Roman" w:hAnsi="Times New Roman"/>
          <w:sz w:val="20"/>
          <w:lang w:val="pt-BR"/>
        </w:rPr>
        <w:t>arques</w:t>
      </w:r>
      <w:r>
        <w:rPr>
          <w:rFonts w:ascii="Times New Roman" w:hAnsi="Times New Roman"/>
          <w:sz w:val="20"/>
          <w:lang w:val="pt-BR"/>
        </w:rPr>
        <w:t xml:space="preserve"> Barros</w:t>
      </w:r>
      <w:r w:rsidR="00EA4E1B" w:rsidRPr="001F25B2">
        <w:rPr>
          <w:rFonts w:ascii="Times New Roman" w:hAnsi="Times New Roman"/>
          <w:sz w:val="20"/>
          <w:vertAlign w:val="superscript"/>
          <w:lang w:val="pt-BR"/>
        </w:rPr>
        <w:t>1</w:t>
      </w:r>
      <w:r w:rsidR="008C6BB8">
        <w:rPr>
          <w:rFonts w:ascii="Times New Roman" w:hAnsi="Times New Roman"/>
          <w:sz w:val="20"/>
          <w:lang w:val="pt-BR"/>
        </w:rPr>
        <w:t xml:space="preserve">, </w:t>
      </w:r>
      <w:proofErr w:type="spellStart"/>
      <w:r w:rsidR="00BC79F2">
        <w:rPr>
          <w:rFonts w:ascii="Times New Roman" w:hAnsi="Times New Roman"/>
          <w:sz w:val="20"/>
          <w:lang w:val="pt-BR"/>
        </w:rPr>
        <w:t>Oleksii</w:t>
      </w:r>
      <w:proofErr w:type="spellEnd"/>
      <w:r w:rsidR="00BC79F2">
        <w:rPr>
          <w:rFonts w:ascii="Times New Roman" w:hAnsi="Times New Roman"/>
          <w:sz w:val="20"/>
          <w:lang w:val="pt-BR"/>
        </w:rPr>
        <w:t xml:space="preserve"> Kusnetsov</w:t>
      </w:r>
      <w:r w:rsidR="00BC79F2">
        <w:rPr>
          <w:rFonts w:ascii="Times New Roman" w:hAnsi="Times New Roman"/>
          <w:sz w:val="20"/>
          <w:vertAlign w:val="superscript"/>
          <w:lang w:val="pt-BR"/>
        </w:rPr>
        <w:t>2</w:t>
      </w:r>
      <w:r w:rsidR="00BC79F2">
        <w:rPr>
          <w:rFonts w:ascii="Times New Roman" w:hAnsi="Times New Roman"/>
          <w:sz w:val="20"/>
          <w:lang w:val="pt-BR"/>
        </w:rPr>
        <w:t>,</w:t>
      </w:r>
      <w:r w:rsidR="007624D1">
        <w:rPr>
          <w:rFonts w:ascii="Times New Roman" w:hAnsi="Times New Roman"/>
          <w:sz w:val="20"/>
          <w:lang w:val="pt-BR"/>
        </w:rPr>
        <w:t xml:space="preserve"> Carlos Alberto Franchini</w:t>
      </w:r>
      <w:r w:rsidR="007624D1">
        <w:rPr>
          <w:rFonts w:ascii="Times New Roman" w:hAnsi="Times New Roman"/>
          <w:sz w:val="20"/>
          <w:vertAlign w:val="superscript"/>
          <w:lang w:val="pt-BR"/>
        </w:rPr>
        <w:t>2</w:t>
      </w:r>
      <w:r w:rsidR="007624D1">
        <w:rPr>
          <w:rFonts w:ascii="Times New Roman" w:hAnsi="Times New Roman"/>
          <w:sz w:val="20"/>
          <w:lang w:val="pt-BR"/>
        </w:rPr>
        <w:t>,</w:t>
      </w:r>
      <w:r w:rsidR="00BC79F2">
        <w:rPr>
          <w:rFonts w:ascii="Times New Roman" w:hAnsi="Times New Roman"/>
          <w:sz w:val="20"/>
          <w:lang w:val="pt-BR"/>
        </w:rPr>
        <w:t xml:space="preserve"> </w:t>
      </w:r>
      <w:r>
        <w:rPr>
          <w:rFonts w:ascii="Times New Roman" w:hAnsi="Times New Roman"/>
          <w:sz w:val="20"/>
          <w:lang w:val="pt-BR"/>
        </w:rPr>
        <w:t>Evaldo J</w:t>
      </w:r>
      <w:r w:rsidR="00057A92">
        <w:rPr>
          <w:rFonts w:ascii="Times New Roman" w:hAnsi="Times New Roman"/>
          <w:sz w:val="20"/>
          <w:lang w:val="pt-BR"/>
        </w:rPr>
        <w:t>osé</w:t>
      </w:r>
      <w:r>
        <w:rPr>
          <w:rFonts w:ascii="Times New Roman" w:hAnsi="Times New Roman"/>
          <w:sz w:val="20"/>
          <w:lang w:val="pt-BR"/>
        </w:rPr>
        <w:t xml:space="preserve"> Corat</w:t>
      </w:r>
      <w:r w:rsidR="00E6180F">
        <w:rPr>
          <w:rFonts w:ascii="Times New Roman" w:hAnsi="Times New Roman"/>
          <w:sz w:val="20"/>
          <w:vertAlign w:val="superscript"/>
          <w:lang w:val="pt-BR"/>
        </w:rPr>
        <w:t>3</w:t>
      </w:r>
      <w:r>
        <w:rPr>
          <w:rFonts w:ascii="Times New Roman" w:hAnsi="Times New Roman"/>
          <w:sz w:val="20"/>
          <w:lang w:val="pt-BR"/>
        </w:rPr>
        <w:t>, Adriana M</w:t>
      </w:r>
      <w:r w:rsidR="00057A92">
        <w:rPr>
          <w:rFonts w:ascii="Times New Roman" w:hAnsi="Times New Roman"/>
          <w:sz w:val="20"/>
          <w:lang w:val="pt-BR"/>
        </w:rPr>
        <w:t>aria</w:t>
      </w:r>
      <w:r>
        <w:rPr>
          <w:rFonts w:ascii="Times New Roman" w:hAnsi="Times New Roman"/>
          <w:sz w:val="20"/>
          <w:lang w:val="pt-BR"/>
        </w:rPr>
        <w:t xml:space="preserve"> da Silva</w:t>
      </w:r>
      <w:r w:rsidR="00BC79F2">
        <w:rPr>
          <w:rFonts w:ascii="Times New Roman" w:hAnsi="Times New Roman"/>
          <w:sz w:val="20"/>
          <w:vertAlign w:val="superscript"/>
          <w:lang w:val="pt-BR"/>
        </w:rPr>
        <w:t>2</w:t>
      </w:r>
      <w:r w:rsidR="00057A92">
        <w:rPr>
          <w:rFonts w:ascii="Times New Roman" w:hAnsi="Times New Roman"/>
          <w:sz w:val="20"/>
          <w:vertAlign w:val="superscript"/>
          <w:lang w:val="pt-BR"/>
        </w:rPr>
        <w:t>*</w:t>
      </w:r>
    </w:p>
    <w:p w14:paraId="7C060F09" w14:textId="77777777" w:rsidR="00E6180F" w:rsidRPr="00E83D3C" w:rsidRDefault="00EA4E1B" w:rsidP="00E6180F">
      <w:pPr>
        <w:pStyle w:val="BCAuthorAddress"/>
        <w:spacing w:after="0"/>
        <w:ind w:right="0"/>
        <w:jc w:val="both"/>
        <w:rPr>
          <w:lang w:val="pt-BR"/>
        </w:rPr>
      </w:pPr>
      <w:r w:rsidRPr="00E83D3C">
        <w:rPr>
          <w:vertAlign w:val="superscript"/>
          <w:lang w:val="pt-BR"/>
        </w:rPr>
        <w:t>1</w:t>
      </w:r>
      <w:r w:rsidR="009506D8" w:rsidRPr="00E83D3C">
        <w:rPr>
          <w:lang w:val="pt-BR"/>
        </w:rPr>
        <w:t>Universidade Federal de São Carlos (UFSCar) – Rod. Washington Luís</w:t>
      </w:r>
      <w:r w:rsidR="006710D3">
        <w:rPr>
          <w:lang w:val="pt-BR"/>
        </w:rPr>
        <w:t>, 235</w:t>
      </w:r>
      <w:r w:rsidR="00E83D3C" w:rsidRPr="00E83D3C">
        <w:rPr>
          <w:lang w:val="pt-BR"/>
        </w:rPr>
        <w:t xml:space="preserve"> – São Carlos (SP) Brasil</w:t>
      </w:r>
    </w:p>
    <w:p w14:paraId="0F7BD0BF" w14:textId="77777777" w:rsidR="00E6180F" w:rsidRDefault="00E6180F" w:rsidP="00972730">
      <w:pPr>
        <w:spacing w:after="0"/>
        <w:rPr>
          <w:rFonts w:ascii="Times" w:eastAsia="Times New Roman" w:hAnsi="Times" w:cs="Times New Roman"/>
          <w:i/>
          <w:sz w:val="20"/>
          <w:szCs w:val="20"/>
          <w:lang w:eastAsia="pt-BR"/>
        </w:rPr>
      </w:pPr>
      <w:r w:rsidRPr="00E6180F">
        <w:rPr>
          <w:rFonts w:ascii="Times" w:eastAsia="Times New Roman" w:hAnsi="Times" w:cs="Times New Roman"/>
          <w:i/>
          <w:sz w:val="20"/>
          <w:szCs w:val="20"/>
          <w:vertAlign w:val="superscript"/>
          <w:lang w:eastAsia="pt-BR"/>
        </w:rPr>
        <w:t>2</w:t>
      </w:r>
      <w:r w:rsidRPr="00E6180F">
        <w:rPr>
          <w:rFonts w:ascii="Times" w:eastAsia="Times New Roman" w:hAnsi="Times" w:cs="Times New Roman"/>
          <w:i/>
          <w:sz w:val="20"/>
          <w:szCs w:val="20"/>
          <w:lang w:eastAsia="pt-BR"/>
        </w:rPr>
        <w:t>Instituto Nacional de Metrologia, Qualidade e Tecnologia</w:t>
      </w:r>
      <w:r>
        <w:rPr>
          <w:rFonts w:ascii="Times" w:eastAsia="Times New Roman" w:hAnsi="Times" w:cs="Times New Roman"/>
          <w:i/>
          <w:sz w:val="20"/>
          <w:szCs w:val="20"/>
          <w:lang w:eastAsia="pt-BR"/>
        </w:rPr>
        <w:t xml:space="preserve"> (INMETRO)</w:t>
      </w:r>
      <w:r w:rsidRPr="00E6180F">
        <w:rPr>
          <w:rFonts w:ascii="Times" w:eastAsia="Times New Roman" w:hAnsi="Times" w:cs="Times New Roman"/>
          <w:i/>
          <w:sz w:val="20"/>
          <w:szCs w:val="20"/>
          <w:lang w:eastAsia="pt-BR"/>
        </w:rPr>
        <w:t xml:space="preserve"> – Av. Nossa Sra. Das Graças, 50 – Duque de Caxias (RJ) Brasil</w:t>
      </w:r>
    </w:p>
    <w:p w14:paraId="1C03E843" w14:textId="77777777" w:rsidR="00E6180F" w:rsidRPr="00E6180F" w:rsidRDefault="00E6180F" w:rsidP="00E6180F">
      <w:pPr>
        <w:rPr>
          <w:rFonts w:ascii="Times" w:eastAsia="Times New Roman" w:hAnsi="Times" w:cs="Times New Roman"/>
          <w:i/>
          <w:sz w:val="20"/>
          <w:szCs w:val="20"/>
          <w:lang w:eastAsia="pt-BR"/>
        </w:rPr>
      </w:pPr>
      <w:r>
        <w:rPr>
          <w:rFonts w:ascii="Times" w:eastAsia="Times New Roman" w:hAnsi="Times" w:cs="Times New Roman"/>
          <w:i/>
          <w:sz w:val="20"/>
          <w:szCs w:val="20"/>
          <w:vertAlign w:val="superscript"/>
          <w:lang w:eastAsia="pt-BR"/>
        </w:rPr>
        <w:t>3</w:t>
      </w:r>
      <w:r w:rsidRPr="00E6180F">
        <w:rPr>
          <w:rFonts w:ascii="Times" w:eastAsia="Times New Roman" w:hAnsi="Times" w:cs="Times New Roman"/>
          <w:i/>
          <w:sz w:val="20"/>
          <w:szCs w:val="20"/>
          <w:lang w:eastAsia="pt-BR"/>
        </w:rPr>
        <w:t xml:space="preserve">Instituto Nacional de </w:t>
      </w:r>
      <w:r>
        <w:rPr>
          <w:rFonts w:ascii="Times" w:eastAsia="Times New Roman" w:hAnsi="Times" w:cs="Times New Roman"/>
          <w:i/>
          <w:sz w:val="20"/>
          <w:szCs w:val="20"/>
          <w:lang w:eastAsia="pt-BR"/>
        </w:rPr>
        <w:t>Pesquisas Espaciais (INPE)</w:t>
      </w:r>
      <w:r w:rsidRPr="00E6180F">
        <w:rPr>
          <w:rFonts w:ascii="Times" w:eastAsia="Times New Roman" w:hAnsi="Times" w:cs="Times New Roman"/>
          <w:i/>
          <w:sz w:val="20"/>
          <w:szCs w:val="20"/>
          <w:lang w:eastAsia="pt-BR"/>
        </w:rPr>
        <w:t xml:space="preserve"> – Av. </w:t>
      </w:r>
      <w:r>
        <w:rPr>
          <w:rFonts w:ascii="Times" w:eastAsia="Times New Roman" w:hAnsi="Times" w:cs="Times New Roman"/>
          <w:i/>
          <w:sz w:val="20"/>
          <w:szCs w:val="20"/>
          <w:lang w:eastAsia="pt-BR"/>
        </w:rPr>
        <w:t>dos Astronautas</w:t>
      </w:r>
      <w:r w:rsidRPr="00E6180F">
        <w:rPr>
          <w:rFonts w:ascii="Times" w:eastAsia="Times New Roman" w:hAnsi="Times" w:cs="Times New Roman"/>
          <w:i/>
          <w:sz w:val="20"/>
          <w:szCs w:val="20"/>
          <w:lang w:eastAsia="pt-BR"/>
        </w:rPr>
        <w:t xml:space="preserve">, </w:t>
      </w:r>
      <w:r w:rsidR="00CE2AE5">
        <w:rPr>
          <w:rFonts w:ascii="Times" w:eastAsia="Times New Roman" w:hAnsi="Times" w:cs="Times New Roman"/>
          <w:i/>
          <w:sz w:val="20"/>
          <w:szCs w:val="20"/>
          <w:lang w:eastAsia="pt-BR"/>
        </w:rPr>
        <w:t>1758</w:t>
      </w:r>
      <w:r w:rsidRPr="00E6180F">
        <w:rPr>
          <w:rFonts w:ascii="Times" w:eastAsia="Times New Roman" w:hAnsi="Times" w:cs="Times New Roman"/>
          <w:i/>
          <w:sz w:val="20"/>
          <w:szCs w:val="20"/>
          <w:lang w:eastAsia="pt-BR"/>
        </w:rPr>
        <w:t xml:space="preserve"> – </w:t>
      </w:r>
      <w:r w:rsidR="00CE2AE5">
        <w:rPr>
          <w:rFonts w:ascii="Times" w:eastAsia="Times New Roman" w:hAnsi="Times" w:cs="Times New Roman"/>
          <w:i/>
          <w:sz w:val="20"/>
          <w:szCs w:val="20"/>
          <w:lang w:eastAsia="pt-BR"/>
        </w:rPr>
        <w:t>São José dos Campos</w:t>
      </w:r>
      <w:r w:rsidRPr="00E6180F">
        <w:rPr>
          <w:rFonts w:ascii="Times" w:eastAsia="Times New Roman" w:hAnsi="Times" w:cs="Times New Roman"/>
          <w:i/>
          <w:sz w:val="20"/>
          <w:szCs w:val="20"/>
          <w:lang w:eastAsia="pt-BR"/>
        </w:rPr>
        <w:t xml:space="preserve"> (</w:t>
      </w:r>
      <w:r w:rsidR="00CE2AE5">
        <w:rPr>
          <w:rFonts w:ascii="Times" w:eastAsia="Times New Roman" w:hAnsi="Times" w:cs="Times New Roman"/>
          <w:i/>
          <w:sz w:val="20"/>
          <w:szCs w:val="20"/>
          <w:lang w:eastAsia="pt-BR"/>
        </w:rPr>
        <w:t>SP</w:t>
      </w:r>
      <w:r w:rsidRPr="00E6180F">
        <w:rPr>
          <w:rFonts w:ascii="Times" w:eastAsia="Times New Roman" w:hAnsi="Times" w:cs="Times New Roman"/>
          <w:i/>
          <w:sz w:val="20"/>
          <w:szCs w:val="20"/>
          <w:lang w:eastAsia="pt-BR"/>
        </w:rPr>
        <w:t>) Brasil</w:t>
      </w:r>
    </w:p>
    <w:p w14:paraId="5CF200A5" w14:textId="77777777" w:rsidR="00EA4E1B" w:rsidRDefault="003D5987" w:rsidP="00EA4E1B">
      <w:pPr>
        <w:pStyle w:val="BCAuthorAddress"/>
        <w:spacing w:after="0"/>
        <w:ind w:right="0"/>
        <w:jc w:val="both"/>
        <w:rPr>
          <w:lang w:val="pt-BR"/>
        </w:rPr>
      </w:pPr>
      <w:r w:rsidRPr="003D5987">
        <w:rPr>
          <w:lang w:val="pt-BR"/>
        </w:rPr>
        <w:t>*amdasilva@inmetro.gov.br</w:t>
      </w:r>
    </w:p>
    <w:bookmarkEnd w:id="0"/>
    <w:p w14:paraId="4B0F9D85" w14:textId="5565AA73" w:rsidR="00AF0400" w:rsidRDefault="00400E5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05DC0F15" wp14:editId="72B99A69">
                <wp:simplePos x="0" y="0"/>
                <wp:positionH relativeFrom="margin">
                  <wp:align>right</wp:align>
                </wp:positionH>
                <wp:positionV relativeFrom="paragraph">
                  <wp:posOffset>34925</wp:posOffset>
                </wp:positionV>
                <wp:extent cx="6507480" cy="167640"/>
                <wp:effectExtent l="0" t="0" r="0" b="0"/>
                <wp:wrapNone/>
                <wp:docPr id="1047075407"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47698F" w14:textId="77777777"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 xml:space="preserve">Resumo/Abstract </w:t>
                            </w:r>
                          </w:p>
                          <w:p w14:paraId="0FA95C88" w14:textId="77777777"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C0F15" id="Retângulo 1"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" fillcolor="#9a0000" stroked="f" strokeweight="1pt">
                <v:textbox inset=",0,,0">
                  <w:txbxContent>
                    <w:p w14:paraId="3547698F" w14:textId="77777777"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 xml:space="preserve">Resumo/Abstract </w:t>
                      </w:r>
                    </w:p>
                    <w:p w14:paraId="0FA95C88" w14:textId="77777777" w:rsidR="00AF0400" w:rsidRPr="008C1B30" w:rsidRDefault="00AF0400" w:rsidP="008C1B30">
                      <w:pPr>
                        <w:pStyle w:val="SemEspaamento"/>
                      </w:pPr>
                    </w:p>
                  </w:txbxContent>
                </v:textbox>
                <w10:wrap anchorx="margin"/>
              </v:rect>
            </w:pict>
          </mc:Fallback>
        </mc:AlternateContent>
      </w:r>
    </w:p>
    <w:p w14:paraId="311AE084" w14:textId="77777777" w:rsidR="00AF0400" w:rsidRDefault="00AF0400" w:rsidP="00EA4E1B">
      <w:pPr>
        <w:pStyle w:val="BDAbstract"/>
        <w:spacing w:before="0" w:after="0" w:line="240" w:lineRule="auto"/>
        <w:rPr>
          <w:rFonts w:ascii="Times New Roman" w:hAnsi="Times New Roman"/>
          <w:b w:val="0"/>
          <w:sz w:val="20"/>
          <w:lang w:val="pt-BR"/>
        </w:rPr>
      </w:pPr>
    </w:p>
    <w:p w14:paraId="538818DD" w14:textId="2633FF64" w:rsidR="00A94CD4" w:rsidRDefault="00EA4E1B" w:rsidP="00EA4E1B">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 xml:space="preserve">RESUMO </w:t>
      </w:r>
      <w:r w:rsidR="00A57C22">
        <w:rPr>
          <w:rFonts w:ascii="Times New Roman" w:hAnsi="Times New Roman"/>
          <w:b w:val="0"/>
          <w:sz w:val="20"/>
          <w:lang w:val="pt-BR"/>
        </w:rPr>
        <w:t>–</w:t>
      </w:r>
      <w:r>
        <w:rPr>
          <w:rFonts w:ascii="Times New Roman" w:hAnsi="Times New Roman"/>
          <w:b w:val="0"/>
          <w:sz w:val="20"/>
          <w:lang w:val="pt-BR"/>
        </w:rPr>
        <w:t xml:space="preserve"> </w:t>
      </w:r>
      <w:r w:rsidR="003D5987">
        <w:rPr>
          <w:rFonts w:ascii="Times New Roman" w:hAnsi="Times New Roman"/>
          <w:b w:val="0"/>
          <w:sz w:val="20"/>
          <w:lang w:val="pt-BR"/>
        </w:rPr>
        <w:t>A desativação catalítica durante a hidrogenação do CO</w:t>
      </w:r>
      <w:r w:rsidR="003D5987">
        <w:rPr>
          <w:rFonts w:ascii="Times New Roman" w:hAnsi="Times New Roman"/>
          <w:b w:val="0"/>
          <w:sz w:val="20"/>
          <w:vertAlign w:val="subscript"/>
          <w:lang w:val="pt-BR"/>
        </w:rPr>
        <w:t>2</w:t>
      </w:r>
      <w:r w:rsidR="003D5987">
        <w:rPr>
          <w:rFonts w:ascii="Times New Roman" w:hAnsi="Times New Roman"/>
          <w:b w:val="0"/>
          <w:sz w:val="20"/>
          <w:lang w:val="pt-BR"/>
        </w:rPr>
        <w:t xml:space="preserve"> ainda é um desafio a ser superado</w:t>
      </w:r>
      <w:r w:rsidR="009F62DD">
        <w:rPr>
          <w:rFonts w:ascii="Times New Roman" w:hAnsi="Times New Roman"/>
          <w:b w:val="0"/>
          <w:sz w:val="20"/>
          <w:lang w:val="pt-BR"/>
        </w:rPr>
        <w:t>,</w:t>
      </w:r>
      <w:r w:rsidR="003D5987">
        <w:rPr>
          <w:rFonts w:ascii="Times New Roman" w:hAnsi="Times New Roman"/>
          <w:b w:val="0"/>
          <w:sz w:val="20"/>
          <w:lang w:val="pt-BR"/>
        </w:rPr>
        <w:t xml:space="preserve"> </w:t>
      </w:r>
      <w:r w:rsidR="003D5987" w:rsidRPr="009F62DD">
        <w:rPr>
          <w:rFonts w:ascii="Times New Roman" w:hAnsi="Times New Roman"/>
          <w:b w:val="0"/>
          <w:sz w:val="20"/>
          <w:lang w:val="pt-BR"/>
        </w:rPr>
        <w:t>apesar de</w:t>
      </w:r>
      <w:r w:rsidR="003D5987">
        <w:rPr>
          <w:rFonts w:ascii="Times New Roman" w:hAnsi="Times New Roman"/>
          <w:b w:val="0"/>
          <w:sz w:val="20"/>
          <w:lang w:val="pt-BR"/>
        </w:rPr>
        <w:t xml:space="preserve"> muitos avanços. </w:t>
      </w:r>
      <w:r w:rsidR="00A94CD4">
        <w:rPr>
          <w:rFonts w:ascii="Times New Roman" w:hAnsi="Times New Roman"/>
          <w:b w:val="0"/>
          <w:sz w:val="20"/>
          <w:lang w:val="pt-BR"/>
        </w:rPr>
        <w:t>O sistema mais amplamente utilizado é o catalisador com estrutura do tipo Cu/</w:t>
      </w:r>
      <w:proofErr w:type="spellStart"/>
      <w:r w:rsidR="00A94CD4">
        <w:rPr>
          <w:rFonts w:ascii="Times New Roman" w:hAnsi="Times New Roman"/>
          <w:b w:val="0"/>
          <w:sz w:val="20"/>
          <w:lang w:val="pt-BR"/>
        </w:rPr>
        <w:t>ZnO</w:t>
      </w:r>
      <w:proofErr w:type="spellEnd"/>
      <w:r w:rsidR="00A94CD4">
        <w:rPr>
          <w:rFonts w:ascii="Times New Roman" w:hAnsi="Times New Roman"/>
          <w:b w:val="0"/>
          <w:sz w:val="20"/>
          <w:lang w:val="pt-BR"/>
        </w:rPr>
        <w:t>/Al</w:t>
      </w:r>
      <w:r w:rsidR="00A94CD4">
        <w:rPr>
          <w:rFonts w:ascii="Times New Roman" w:hAnsi="Times New Roman"/>
          <w:b w:val="0"/>
          <w:sz w:val="20"/>
          <w:vertAlign w:val="subscript"/>
          <w:lang w:val="pt-BR"/>
        </w:rPr>
        <w:t>2</w:t>
      </w:r>
      <w:r w:rsidR="00A94CD4">
        <w:rPr>
          <w:rFonts w:ascii="Times New Roman" w:hAnsi="Times New Roman"/>
          <w:b w:val="0"/>
          <w:sz w:val="20"/>
          <w:lang w:val="pt-BR"/>
        </w:rPr>
        <w:t>O</w:t>
      </w:r>
      <w:r w:rsidR="00A94CD4">
        <w:rPr>
          <w:rFonts w:ascii="Times New Roman" w:hAnsi="Times New Roman"/>
          <w:b w:val="0"/>
          <w:sz w:val="20"/>
          <w:vertAlign w:val="subscript"/>
          <w:lang w:val="pt-BR"/>
        </w:rPr>
        <w:t>3</w:t>
      </w:r>
      <w:r w:rsidR="00A94CD4">
        <w:rPr>
          <w:rFonts w:ascii="Times New Roman" w:hAnsi="Times New Roman"/>
          <w:b w:val="0"/>
          <w:sz w:val="20"/>
          <w:lang w:val="pt-BR"/>
        </w:rPr>
        <w:t xml:space="preserve"> </w:t>
      </w:r>
      <w:r w:rsidR="009F62DD" w:rsidRPr="009F62DD">
        <w:rPr>
          <w:rFonts w:ascii="Times New Roman" w:hAnsi="Times New Roman"/>
          <w:b w:val="0"/>
          <w:sz w:val="20"/>
          <w:lang w:val="pt-BR"/>
        </w:rPr>
        <w:t>e, no entanto,</w:t>
      </w:r>
      <w:r w:rsidR="00FD3845" w:rsidRPr="009F62DD">
        <w:rPr>
          <w:rFonts w:ascii="Times New Roman" w:hAnsi="Times New Roman"/>
          <w:b w:val="0"/>
          <w:sz w:val="20"/>
          <w:lang w:val="pt-BR"/>
        </w:rPr>
        <w:t xml:space="preserve"> </w:t>
      </w:r>
      <w:r w:rsidR="009F62DD" w:rsidRPr="009F62DD">
        <w:rPr>
          <w:rFonts w:ascii="Times New Roman" w:hAnsi="Times New Roman"/>
          <w:b w:val="0"/>
          <w:sz w:val="20"/>
          <w:lang w:val="pt-BR"/>
        </w:rPr>
        <w:t>o</w:t>
      </w:r>
      <w:r w:rsidR="009F62DD">
        <w:rPr>
          <w:rFonts w:ascii="Times New Roman" w:hAnsi="Times New Roman"/>
          <w:b w:val="0"/>
          <w:sz w:val="20"/>
          <w:lang w:val="pt-BR"/>
        </w:rPr>
        <w:t xml:space="preserve"> </w:t>
      </w:r>
      <w:r w:rsidR="00FD3845">
        <w:rPr>
          <w:rFonts w:ascii="Times New Roman" w:hAnsi="Times New Roman"/>
          <w:b w:val="0"/>
          <w:sz w:val="20"/>
          <w:lang w:val="pt-BR"/>
        </w:rPr>
        <w:t>c</w:t>
      </w:r>
      <w:r w:rsidR="00A57C22">
        <w:rPr>
          <w:rFonts w:ascii="Times New Roman" w:hAnsi="Times New Roman"/>
          <w:b w:val="0"/>
          <w:sz w:val="20"/>
          <w:lang w:val="pt-BR"/>
        </w:rPr>
        <w:t xml:space="preserve">omportamento exato dos sítios ativos e sua relação com a estrutura do material não é inteiramente elucidado. </w:t>
      </w:r>
      <w:r w:rsidR="00A94CD4">
        <w:rPr>
          <w:rFonts w:ascii="Times New Roman" w:hAnsi="Times New Roman"/>
          <w:b w:val="0"/>
          <w:sz w:val="20"/>
          <w:lang w:val="pt-BR"/>
        </w:rPr>
        <w:t>Desse modo, este estudo investigou a desativação do catalisador comercial Cu/</w:t>
      </w:r>
      <w:proofErr w:type="spellStart"/>
      <w:r w:rsidR="00A94CD4">
        <w:rPr>
          <w:rFonts w:ascii="Times New Roman" w:hAnsi="Times New Roman"/>
          <w:b w:val="0"/>
          <w:sz w:val="20"/>
          <w:lang w:val="pt-BR"/>
        </w:rPr>
        <w:t>ZnO</w:t>
      </w:r>
      <w:proofErr w:type="spellEnd"/>
      <w:r w:rsidR="00A94CD4">
        <w:rPr>
          <w:rFonts w:ascii="Times New Roman" w:hAnsi="Times New Roman"/>
          <w:b w:val="0"/>
          <w:sz w:val="20"/>
          <w:lang w:val="pt-BR"/>
        </w:rPr>
        <w:t>/Al</w:t>
      </w:r>
      <w:r w:rsidR="00A94CD4">
        <w:rPr>
          <w:rFonts w:ascii="Times New Roman" w:hAnsi="Times New Roman"/>
          <w:b w:val="0"/>
          <w:sz w:val="20"/>
          <w:vertAlign w:val="subscript"/>
          <w:lang w:val="pt-BR"/>
        </w:rPr>
        <w:t>2</w:t>
      </w:r>
      <w:r w:rsidR="00A94CD4">
        <w:rPr>
          <w:rFonts w:ascii="Times New Roman" w:hAnsi="Times New Roman"/>
          <w:b w:val="0"/>
          <w:sz w:val="20"/>
          <w:lang w:val="pt-BR"/>
        </w:rPr>
        <w:t>O</w:t>
      </w:r>
      <w:r w:rsidR="00A94CD4">
        <w:rPr>
          <w:rFonts w:ascii="Times New Roman" w:hAnsi="Times New Roman"/>
          <w:b w:val="0"/>
          <w:sz w:val="20"/>
          <w:vertAlign w:val="subscript"/>
          <w:lang w:val="pt-BR"/>
        </w:rPr>
        <w:t>3</w:t>
      </w:r>
      <w:r w:rsidR="00A94CD4">
        <w:rPr>
          <w:rFonts w:ascii="Times New Roman" w:hAnsi="Times New Roman"/>
          <w:b w:val="0"/>
          <w:sz w:val="20"/>
          <w:lang w:val="pt-BR"/>
        </w:rPr>
        <w:t xml:space="preserve"> em função da pressão de reação (1</w:t>
      </w:r>
      <w:r w:rsidR="00FD3845">
        <w:rPr>
          <w:rFonts w:ascii="Times New Roman" w:hAnsi="Times New Roman"/>
          <w:b w:val="0"/>
          <w:sz w:val="20"/>
          <w:lang w:val="pt-BR"/>
        </w:rPr>
        <w:t xml:space="preserve">, </w:t>
      </w:r>
      <w:r w:rsidR="00FD3845" w:rsidRPr="009F62DD">
        <w:rPr>
          <w:rFonts w:ascii="Times New Roman" w:hAnsi="Times New Roman"/>
          <w:b w:val="0"/>
          <w:sz w:val="20"/>
          <w:lang w:val="pt-BR"/>
        </w:rPr>
        <w:t>10, 20 e</w:t>
      </w:r>
      <w:r w:rsidR="00A94CD4" w:rsidRPr="00FD3845">
        <w:rPr>
          <w:rFonts w:ascii="Times New Roman" w:hAnsi="Times New Roman"/>
          <w:b w:val="0"/>
          <w:color w:val="FF0000"/>
          <w:sz w:val="20"/>
          <w:lang w:val="pt-BR"/>
        </w:rPr>
        <w:t xml:space="preserve"> </w:t>
      </w:r>
      <w:r w:rsidR="00A94CD4">
        <w:rPr>
          <w:rFonts w:ascii="Times New Roman" w:hAnsi="Times New Roman"/>
          <w:b w:val="0"/>
          <w:sz w:val="20"/>
          <w:lang w:val="pt-BR"/>
        </w:rPr>
        <w:t xml:space="preserve">30 bar, na temperatura de 250 ºC). </w:t>
      </w:r>
      <w:r w:rsidR="00844A42">
        <w:rPr>
          <w:rFonts w:ascii="Times New Roman" w:hAnsi="Times New Roman"/>
          <w:b w:val="0"/>
          <w:sz w:val="20"/>
          <w:lang w:val="pt-BR"/>
        </w:rPr>
        <w:t xml:space="preserve">Em termos de atividade, a </w:t>
      </w:r>
      <w:r w:rsidR="00C46900">
        <w:rPr>
          <w:rFonts w:ascii="Times New Roman" w:hAnsi="Times New Roman"/>
          <w:b w:val="0"/>
          <w:sz w:val="20"/>
          <w:lang w:val="pt-BR"/>
        </w:rPr>
        <w:t xml:space="preserve">maior </w:t>
      </w:r>
      <w:r w:rsidR="00844A42">
        <w:rPr>
          <w:rFonts w:ascii="Times New Roman" w:hAnsi="Times New Roman"/>
          <w:b w:val="0"/>
          <w:sz w:val="20"/>
          <w:lang w:val="pt-BR"/>
        </w:rPr>
        <w:t xml:space="preserve">pressão </w:t>
      </w:r>
      <w:r w:rsidR="00C46900">
        <w:rPr>
          <w:rFonts w:ascii="Times New Roman" w:hAnsi="Times New Roman"/>
          <w:b w:val="0"/>
          <w:sz w:val="20"/>
          <w:lang w:val="pt-BR"/>
        </w:rPr>
        <w:t>promoveu</w:t>
      </w:r>
      <w:r w:rsidR="00844A42">
        <w:rPr>
          <w:rFonts w:ascii="Times New Roman" w:hAnsi="Times New Roman"/>
          <w:b w:val="0"/>
          <w:sz w:val="20"/>
          <w:lang w:val="pt-BR"/>
        </w:rPr>
        <w:t xml:space="preserve"> uma maior conversão inicial</w:t>
      </w:r>
      <w:r w:rsidR="00C46900">
        <w:rPr>
          <w:rFonts w:ascii="Times New Roman" w:hAnsi="Times New Roman"/>
          <w:b w:val="0"/>
          <w:sz w:val="20"/>
          <w:lang w:val="pt-BR"/>
        </w:rPr>
        <w:t>, como esperado</w:t>
      </w:r>
      <w:r w:rsidR="00844A42">
        <w:rPr>
          <w:rFonts w:ascii="Times New Roman" w:hAnsi="Times New Roman"/>
          <w:b w:val="0"/>
          <w:sz w:val="20"/>
          <w:lang w:val="pt-BR"/>
        </w:rPr>
        <w:t xml:space="preserve">. Entretanto, o </w:t>
      </w:r>
      <w:r w:rsidR="00A94CD4">
        <w:rPr>
          <w:rFonts w:ascii="Times New Roman" w:hAnsi="Times New Roman"/>
          <w:b w:val="0"/>
          <w:sz w:val="20"/>
          <w:lang w:val="pt-BR"/>
        </w:rPr>
        <w:t xml:space="preserve">catalisador </w:t>
      </w:r>
      <w:r w:rsidR="00844A42">
        <w:rPr>
          <w:rFonts w:ascii="Times New Roman" w:hAnsi="Times New Roman"/>
          <w:b w:val="0"/>
          <w:sz w:val="20"/>
          <w:lang w:val="pt-BR"/>
        </w:rPr>
        <w:t>apresent</w:t>
      </w:r>
      <w:r w:rsidR="00C0654A">
        <w:rPr>
          <w:rFonts w:ascii="Times New Roman" w:hAnsi="Times New Roman"/>
          <w:b w:val="0"/>
          <w:sz w:val="20"/>
          <w:lang w:val="pt-BR"/>
        </w:rPr>
        <w:t>ou</w:t>
      </w:r>
      <w:r w:rsidR="00844A42">
        <w:rPr>
          <w:rFonts w:ascii="Times New Roman" w:hAnsi="Times New Roman"/>
          <w:b w:val="0"/>
          <w:sz w:val="20"/>
          <w:lang w:val="pt-BR"/>
        </w:rPr>
        <w:t xml:space="preserve"> uma drástica desativação independente da P utilizada, </w:t>
      </w:r>
      <w:r w:rsidR="00C46900">
        <w:rPr>
          <w:rFonts w:ascii="Times New Roman" w:hAnsi="Times New Roman"/>
          <w:b w:val="0"/>
          <w:sz w:val="20"/>
          <w:lang w:val="pt-BR"/>
        </w:rPr>
        <w:t>exibindo uma</w:t>
      </w:r>
      <w:r w:rsidR="00844A42">
        <w:rPr>
          <w:rFonts w:ascii="Times New Roman" w:hAnsi="Times New Roman"/>
          <w:b w:val="0"/>
          <w:sz w:val="20"/>
          <w:lang w:val="pt-BR"/>
        </w:rPr>
        <w:t xml:space="preserve"> conversão de CO</w:t>
      </w:r>
      <w:r w:rsidR="00844A42" w:rsidRPr="00844A42">
        <w:rPr>
          <w:rFonts w:ascii="Times New Roman" w:hAnsi="Times New Roman"/>
          <w:b w:val="0"/>
          <w:sz w:val="20"/>
          <w:vertAlign w:val="subscript"/>
          <w:lang w:val="pt-BR"/>
        </w:rPr>
        <w:t>2</w:t>
      </w:r>
      <w:r w:rsidR="00844A42">
        <w:rPr>
          <w:rFonts w:ascii="Times New Roman" w:hAnsi="Times New Roman"/>
          <w:b w:val="0"/>
          <w:sz w:val="20"/>
          <w:lang w:val="pt-BR"/>
        </w:rPr>
        <w:t xml:space="preserve"> (X</w:t>
      </w:r>
      <w:r w:rsidR="00844A42" w:rsidRPr="00844A42">
        <w:rPr>
          <w:rFonts w:ascii="Times New Roman" w:hAnsi="Times New Roman"/>
          <w:b w:val="0"/>
          <w:sz w:val="20"/>
          <w:vertAlign w:val="subscript"/>
          <w:lang w:val="pt-BR"/>
        </w:rPr>
        <w:t>CO2</w:t>
      </w:r>
      <w:r w:rsidR="00844A42">
        <w:rPr>
          <w:rFonts w:ascii="Times New Roman" w:hAnsi="Times New Roman"/>
          <w:b w:val="0"/>
          <w:sz w:val="20"/>
          <w:lang w:val="pt-BR"/>
        </w:rPr>
        <w:t xml:space="preserve">) </w:t>
      </w:r>
      <w:r w:rsidR="00C46900">
        <w:rPr>
          <w:rFonts w:ascii="Times New Roman" w:hAnsi="Times New Roman"/>
          <w:b w:val="0"/>
          <w:sz w:val="20"/>
          <w:lang w:val="pt-BR"/>
        </w:rPr>
        <w:t xml:space="preserve">de apenas 5 %, </w:t>
      </w:r>
      <w:r w:rsidR="00844A42">
        <w:rPr>
          <w:rFonts w:ascii="Times New Roman" w:hAnsi="Times New Roman"/>
          <w:b w:val="0"/>
          <w:sz w:val="20"/>
          <w:lang w:val="pt-BR"/>
        </w:rPr>
        <w:t>ao final de 3 horas de reação. De</w:t>
      </w:r>
      <w:r w:rsidR="009F62DD">
        <w:rPr>
          <w:rFonts w:ascii="Times New Roman" w:hAnsi="Times New Roman"/>
          <w:b w:val="0"/>
          <w:sz w:val="20"/>
          <w:lang w:val="pt-BR"/>
        </w:rPr>
        <w:t xml:space="preserve"> </w:t>
      </w:r>
      <w:r w:rsidR="00FD3845" w:rsidRPr="009F62DD">
        <w:rPr>
          <w:rFonts w:ascii="Times New Roman" w:hAnsi="Times New Roman"/>
          <w:b w:val="0"/>
          <w:sz w:val="20"/>
          <w:lang w:val="pt-BR"/>
        </w:rPr>
        <w:t>maneira análoga</w:t>
      </w:r>
      <w:r w:rsidR="00844A42">
        <w:rPr>
          <w:rFonts w:ascii="Times New Roman" w:hAnsi="Times New Roman"/>
          <w:b w:val="0"/>
          <w:sz w:val="20"/>
          <w:lang w:val="pt-BR"/>
        </w:rPr>
        <w:t>, o rendimento a metanol acompanhou o aumento de pressão, alcançando um rendimento a metanol de 255 mg de metanol/</w:t>
      </w:r>
      <w:proofErr w:type="spellStart"/>
      <w:r w:rsidR="00844A42">
        <w:rPr>
          <w:rFonts w:ascii="Times New Roman" w:hAnsi="Times New Roman"/>
          <w:b w:val="0"/>
          <w:sz w:val="20"/>
          <w:lang w:val="pt-BR"/>
        </w:rPr>
        <w:t>g</w:t>
      </w:r>
      <w:r w:rsidR="00844A42" w:rsidRPr="00844A42">
        <w:rPr>
          <w:rFonts w:ascii="Times New Roman" w:hAnsi="Times New Roman"/>
          <w:b w:val="0"/>
          <w:sz w:val="20"/>
          <w:vertAlign w:val="subscript"/>
          <w:lang w:val="pt-BR"/>
        </w:rPr>
        <w:t>cat</w:t>
      </w:r>
      <w:r w:rsidR="00844A42">
        <w:rPr>
          <w:rFonts w:ascii="Times New Roman" w:hAnsi="Times New Roman"/>
          <w:b w:val="0"/>
          <w:sz w:val="20"/>
          <w:lang w:val="pt-BR"/>
        </w:rPr>
        <w:t>.h</w:t>
      </w:r>
      <w:proofErr w:type="spellEnd"/>
      <w:r w:rsidR="00844A42">
        <w:rPr>
          <w:rFonts w:ascii="Times New Roman" w:hAnsi="Times New Roman"/>
          <w:b w:val="0"/>
          <w:sz w:val="20"/>
          <w:lang w:val="pt-BR"/>
        </w:rPr>
        <w:t xml:space="preserve">. </w:t>
      </w:r>
      <w:r w:rsidR="00C46900">
        <w:rPr>
          <w:rFonts w:ascii="Times New Roman" w:hAnsi="Times New Roman"/>
          <w:b w:val="0"/>
          <w:sz w:val="20"/>
          <w:lang w:val="pt-BR"/>
        </w:rPr>
        <w:t xml:space="preserve"> A caracterização dos catalisadores usados </w:t>
      </w:r>
      <w:r w:rsidR="00C46900" w:rsidRPr="009F62DD">
        <w:rPr>
          <w:rFonts w:ascii="Times New Roman" w:hAnsi="Times New Roman"/>
          <w:b w:val="0"/>
          <w:sz w:val="20"/>
          <w:lang w:val="pt-BR"/>
        </w:rPr>
        <w:t>por</w:t>
      </w:r>
      <w:r w:rsidR="00C46900" w:rsidRPr="00FD3845">
        <w:rPr>
          <w:rFonts w:ascii="Times New Roman" w:hAnsi="Times New Roman"/>
          <w:b w:val="0"/>
          <w:color w:val="FF0000"/>
          <w:sz w:val="20"/>
          <w:lang w:val="pt-BR"/>
        </w:rPr>
        <w:t xml:space="preserve"> </w:t>
      </w:r>
      <w:r w:rsidR="009F62DD" w:rsidRPr="009F62DD">
        <w:rPr>
          <w:rFonts w:ascii="Times New Roman" w:hAnsi="Times New Roman"/>
          <w:b w:val="0"/>
          <w:sz w:val="20"/>
          <w:lang w:val="pt-BR"/>
        </w:rPr>
        <w:t>D</w:t>
      </w:r>
      <w:r w:rsidR="00FD3845" w:rsidRPr="009F62DD">
        <w:rPr>
          <w:rFonts w:ascii="Times New Roman" w:hAnsi="Times New Roman"/>
          <w:b w:val="0"/>
          <w:sz w:val="20"/>
          <w:lang w:val="pt-BR"/>
        </w:rPr>
        <w:t xml:space="preserve">ifração de </w:t>
      </w:r>
      <w:r w:rsidR="009F62DD" w:rsidRPr="009F62DD">
        <w:rPr>
          <w:rFonts w:ascii="Times New Roman" w:hAnsi="Times New Roman"/>
          <w:b w:val="0"/>
          <w:sz w:val="20"/>
          <w:lang w:val="pt-BR"/>
        </w:rPr>
        <w:t>R</w:t>
      </w:r>
      <w:r w:rsidR="00FD3845" w:rsidRPr="009F62DD">
        <w:rPr>
          <w:rFonts w:ascii="Times New Roman" w:hAnsi="Times New Roman"/>
          <w:b w:val="0"/>
          <w:sz w:val="20"/>
          <w:lang w:val="pt-BR"/>
        </w:rPr>
        <w:t>aios</w:t>
      </w:r>
      <w:r w:rsidR="009F62DD" w:rsidRPr="009F62DD">
        <w:rPr>
          <w:rFonts w:ascii="Times New Roman" w:hAnsi="Times New Roman"/>
          <w:b w:val="0"/>
          <w:sz w:val="20"/>
          <w:lang w:val="pt-BR"/>
        </w:rPr>
        <w:t xml:space="preserve"> </w:t>
      </w:r>
      <w:r w:rsidR="00FD3845" w:rsidRPr="009F62DD">
        <w:rPr>
          <w:rFonts w:ascii="Times New Roman" w:hAnsi="Times New Roman"/>
          <w:b w:val="0"/>
          <w:sz w:val="20"/>
          <w:lang w:val="pt-BR"/>
        </w:rPr>
        <w:t>X (DRX) e</w:t>
      </w:r>
      <w:r w:rsidR="00FD3845">
        <w:rPr>
          <w:rFonts w:ascii="Times New Roman" w:hAnsi="Times New Roman"/>
          <w:b w:val="0"/>
          <w:sz w:val="20"/>
          <w:lang w:val="pt-BR"/>
        </w:rPr>
        <w:t xml:space="preserve"> </w:t>
      </w:r>
      <w:r w:rsidR="009F62DD">
        <w:rPr>
          <w:rFonts w:ascii="Times New Roman" w:hAnsi="Times New Roman"/>
          <w:b w:val="0"/>
          <w:sz w:val="20"/>
          <w:lang w:val="pt-BR"/>
        </w:rPr>
        <w:t>E</w:t>
      </w:r>
      <w:r w:rsidR="00A94CD4">
        <w:rPr>
          <w:rFonts w:ascii="Times New Roman" w:hAnsi="Times New Roman"/>
          <w:b w:val="0"/>
          <w:sz w:val="20"/>
          <w:lang w:val="pt-BR"/>
        </w:rPr>
        <w:t xml:space="preserve">spectroscopia Raman e </w:t>
      </w:r>
      <w:r w:rsidR="00C46900">
        <w:rPr>
          <w:rFonts w:ascii="Times New Roman" w:hAnsi="Times New Roman"/>
          <w:b w:val="0"/>
          <w:sz w:val="20"/>
          <w:lang w:val="pt-BR"/>
        </w:rPr>
        <w:t>indicam uma acentuada modificação estrutura</w:t>
      </w:r>
      <w:r w:rsidR="005C276E">
        <w:rPr>
          <w:rFonts w:ascii="Times New Roman" w:hAnsi="Times New Roman"/>
          <w:b w:val="0"/>
          <w:sz w:val="20"/>
          <w:lang w:val="pt-BR"/>
        </w:rPr>
        <w:t>l</w:t>
      </w:r>
      <w:r w:rsidR="00C46900">
        <w:rPr>
          <w:rFonts w:ascii="Times New Roman" w:hAnsi="Times New Roman"/>
          <w:b w:val="0"/>
          <w:sz w:val="20"/>
          <w:lang w:val="pt-BR"/>
        </w:rPr>
        <w:t xml:space="preserve"> das fases do catalisador</w:t>
      </w:r>
      <w:r w:rsidR="005C276E">
        <w:rPr>
          <w:rFonts w:ascii="Times New Roman" w:hAnsi="Times New Roman"/>
          <w:b w:val="0"/>
          <w:sz w:val="20"/>
          <w:lang w:val="pt-BR"/>
        </w:rPr>
        <w:t>,</w:t>
      </w:r>
      <w:r w:rsidR="00C46900">
        <w:rPr>
          <w:rFonts w:ascii="Times New Roman" w:hAnsi="Times New Roman"/>
          <w:b w:val="0"/>
          <w:sz w:val="20"/>
          <w:lang w:val="pt-BR"/>
        </w:rPr>
        <w:t xml:space="preserve"> com a </w:t>
      </w:r>
      <w:r w:rsidR="00A94CD4">
        <w:rPr>
          <w:rFonts w:ascii="Times New Roman" w:hAnsi="Times New Roman"/>
          <w:b w:val="0"/>
          <w:sz w:val="20"/>
          <w:lang w:val="pt-BR"/>
        </w:rPr>
        <w:t>formação de fases inativas como aluminato de Cu, segregação de fases componentes do catalisador (</w:t>
      </w:r>
      <w:proofErr w:type="spellStart"/>
      <w:r w:rsidR="00A94CD4">
        <w:rPr>
          <w:rFonts w:ascii="Times New Roman" w:hAnsi="Times New Roman"/>
          <w:b w:val="0"/>
          <w:sz w:val="20"/>
          <w:lang w:val="pt-BR"/>
        </w:rPr>
        <w:t>ZnO</w:t>
      </w:r>
      <w:proofErr w:type="spellEnd"/>
      <w:r w:rsidR="00A94CD4">
        <w:rPr>
          <w:rFonts w:ascii="Times New Roman" w:hAnsi="Times New Roman"/>
          <w:b w:val="0"/>
          <w:sz w:val="20"/>
          <w:lang w:val="pt-BR"/>
        </w:rPr>
        <w:t xml:space="preserve"> e Al</w:t>
      </w:r>
      <w:r w:rsidR="00A94CD4" w:rsidRPr="00A94CD4">
        <w:rPr>
          <w:rFonts w:ascii="Times New Roman" w:hAnsi="Times New Roman"/>
          <w:b w:val="0"/>
          <w:sz w:val="20"/>
          <w:vertAlign w:val="subscript"/>
          <w:lang w:val="pt-BR"/>
        </w:rPr>
        <w:t>2</w:t>
      </w:r>
      <w:r w:rsidR="00A94CD4">
        <w:rPr>
          <w:rFonts w:ascii="Times New Roman" w:hAnsi="Times New Roman"/>
          <w:b w:val="0"/>
          <w:sz w:val="20"/>
          <w:lang w:val="pt-BR"/>
        </w:rPr>
        <w:t>O</w:t>
      </w:r>
      <w:r w:rsidR="00A94CD4" w:rsidRPr="00A94CD4">
        <w:rPr>
          <w:rFonts w:ascii="Times New Roman" w:hAnsi="Times New Roman"/>
          <w:b w:val="0"/>
          <w:sz w:val="20"/>
          <w:vertAlign w:val="subscript"/>
          <w:lang w:val="pt-BR"/>
        </w:rPr>
        <w:t>3</w:t>
      </w:r>
      <w:r w:rsidR="00A94CD4">
        <w:rPr>
          <w:rFonts w:ascii="Times New Roman" w:hAnsi="Times New Roman"/>
          <w:b w:val="0"/>
          <w:sz w:val="20"/>
          <w:lang w:val="pt-BR"/>
        </w:rPr>
        <w:t>)</w:t>
      </w:r>
      <w:r w:rsidR="005C276E">
        <w:rPr>
          <w:rFonts w:ascii="Times New Roman" w:hAnsi="Times New Roman"/>
          <w:b w:val="0"/>
          <w:sz w:val="20"/>
          <w:lang w:val="pt-BR"/>
        </w:rPr>
        <w:t>,</w:t>
      </w:r>
      <w:r w:rsidR="00844A42">
        <w:rPr>
          <w:rFonts w:ascii="Times New Roman" w:hAnsi="Times New Roman"/>
          <w:b w:val="0"/>
          <w:sz w:val="20"/>
          <w:lang w:val="pt-BR"/>
        </w:rPr>
        <w:t xml:space="preserve"> bem como a sinterização das fases de Cu</w:t>
      </w:r>
      <w:r w:rsidR="00C46900">
        <w:rPr>
          <w:rFonts w:ascii="Times New Roman" w:hAnsi="Times New Roman"/>
          <w:b w:val="0"/>
          <w:sz w:val="20"/>
          <w:lang w:val="pt-BR"/>
        </w:rPr>
        <w:t xml:space="preserve"> e/ou Zn. A perda de atividade por depósitos de carbono pode ser excluída a partir de resultados de espectroscopia Raman e análise termogravimétrica (TGA).</w:t>
      </w:r>
    </w:p>
    <w:p w14:paraId="272ECB1A" w14:textId="77777777" w:rsidR="00844A42" w:rsidRPr="004F40B6" w:rsidRDefault="00844A42" w:rsidP="00EA4E1B">
      <w:pPr>
        <w:pStyle w:val="BDAbstract"/>
        <w:spacing w:before="0" w:after="0" w:line="240" w:lineRule="auto"/>
        <w:rPr>
          <w:rFonts w:ascii="Times New Roman" w:hAnsi="Times New Roman"/>
          <w:b w:val="0"/>
          <w:sz w:val="20"/>
          <w:lang w:val="pt-BR"/>
        </w:rPr>
      </w:pPr>
    </w:p>
    <w:p w14:paraId="49325EBD" w14:textId="77777777" w:rsidR="00EA4E1B" w:rsidRDefault="00EA4E1B" w:rsidP="00EA4E1B">
      <w:pPr>
        <w:pStyle w:val="BDAbstract"/>
        <w:spacing w:before="0" w:after="0" w:line="240" w:lineRule="auto"/>
        <w:rPr>
          <w:rFonts w:ascii="Times New Roman" w:hAnsi="Times New Roman"/>
          <w:b w:val="0"/>
          <w:sz w:val="20"/>
          <w:lang w:val="pt-BR"/>
        </w:rPr>
      </w:pPr>
      <w:r w:rsidRPr="00870522">
        <w:rPr>
          <w:rFonts w:ascii="Times New Roman" w:hAnsi="Times New Roman"/>
          <w:b w:val="0"/>
          <w:i/>
          <w:sz w:val="20"/>
          <w:lang w:val="pt-BR"/>
        </w:rPr>
        <w:t xml:space="preserve">Palavras-chave: </w:t>
      </w:r>
      <w:r w:rsidR="00C46900">
        <w:rPr>
          <w:rFonts w:ascii="Times New Roman" w:hAnsi="Times New Roman"/>
          <w:b w:val="0"/>
          <w:i/>
          <w:sz w:val="20"/>
          <w:lang w:val="pt-BR"/>
        </w:rPr>
        <w:t>hidrogenação do</w:t>
      </w:r>
      <w:r w:rsidR="004F40B6">
        <w:rPr>
          <w:rFonts w:ascii="Times New Roman" w:hAnsi="Times New Roman"/>
          <w:b w:val="0"/>
          <w:i/>
          <w:sz w:val="20"/>
          <w:lang w:val="pt-BR"/>
        </w:rPr>
        <w:t xml:space="preserve"> CO</w:t>
      </w:r>
      <w:r w:rsidR="004F40B6">
        <w:rPr>
          <w:rFonts w:ascii="Times New Roman" w:hAnsi="Times New Roman"/>
          <w:b w:val="0"/>
          <w:i/>
          <w:sz w:val="20"/>
          <w:vertAlign w:val="subscript"/>
          <w:lang w:val="pt-BR"/>
        </w:rPr>
        <w:t>2</w:t>
      </w:r>
      <w:r w:rsidR="004F40B6">
        <w:rPr>
          <w:rFonts w:ascii="Times New Roman" w:hAnsi="Times New Roman"/>
          <w:b w:val="0"/>
          <w:i/>
          <w:sz w:val="20"/>
          <w:lang w:val="pt-BR"/>
        </w:rPr>
        <w:t>,</w:t>
      </w:r>
      <w:r w:rsidR="00F82674" w:rsidRPr="00F82674">
        <w:rPr>
          <w:rFonts w:ascii="Times New Roman" w:hAnsi="Times New Roman"/>
          <w:b w:val="0"/>
          <w:sz w:val="20"/>
          <w:lang w:val="pt-BR"/>
        </w:rPr>
        <w:t xml:space="preserve"> </w:t>
      </w:r>
      <w:r w:rsidR="00F82674">
        <w:rPr>
          <w:rFonts w:ascii="Times New Roman" w:hAnsi="Times New Roman"/>
          <w:b w:val="0"/>
          <w:sz w:val="20"/>
          <w:lang w:val="pt-BR"/>
        </w:rPr>
        <w:t>Cu/</w:t>
      </w:r>
      <w:proofErr w:type="spellStart"/>
      <w:r w:rsidR="00F82674">
        <w:rPr>
          <w:rFonts w:ascii="Times New Roman" w:hAnsi="Times New Roman"/>
          <w:b w:val="0"/>
          <w:sz w:val="20"/>
          <w:lang w:val="pt-BR"/>
        </w:rPr>
        <w:t>ZnO</w:t>
      </w:r>
      <w:proofErr w:type="spellEnd"/>
      <w:r w:rsidR="00F82674">
        <w:rPr>
          <w:rFonts w:ascii="Times New Roman" w:hAnsi="Times New Roman"/>
          <w:b w:val="0"/>
          <w:sz w:val="20"/>
          <w:lang w:val="pt-BR"/>
        </w:rPr>
        <w:t>/Al</w:t>
      </w:r>
      <w:r w:rsidR="00F82674">
        <w:rPr>
          <w:rFonts w:ascii="Times New Roman" w:hAnsi="Times New Roman"/>
          <w:b w:val="0"/>
          <w:sz w:val="20"/>
          <w:vertAlign w:val="subscript"/>
          <w:lang w:val="pt-BR"/>
        </w:rPr>
        <w:t>2</w:t>
      </w:r>
      <w:r w:rsidR="00F82674">
        <w:rPr>
          <w:rFonts w:ascii="Times New Roman" w:hAnsi="Times New Roman"/>
          <w:b w:val="0"/>
          <w:sz w:val="20"/>
          <w:lang w:val="pt-BR"/>
        </w:rPr>
        <w:t>O</w:t>
      </w:r>
      <w:r w:rsidR="00F82674">
        <w:rPr>
          <w:rFonts w:ascii="Times New Roman" w:hAnsi="Times New Roman"/>
          <w:b w:val="0"/>
          <w:sz w:val="20"/>
          <w:vertAlign w:val="subscript"/>
          <w:lang w:val="pt-BR"/>
        </w:rPr>
        <w:t>3</w:t>
      </w:r>
      <w:r w:rsidR="00F82674">
        <w:rPr>
          <w:rFonts w:ascii="Times New Roman" w:hAnsi="Times New Roman"/>
          <w:b w:val="0"/>
          <w:i/>
          <w:sz w:val="20"/>
          <w:lang w:val="pt-BR"/>
        </w:rPr>
        <w:t xml:space="preserve">, </w:t>
      </w:r>
      <w:r w:rsidR="00C46900">
        <w:rPr>
          <w:rFonts w:ascii="Times New Roman" w:hAnsi="Times New Roman"/>
          <w:b w:val="0"/>
          <w:i/>
          <w:sz w:val="20"/>
          <w:lang w:val="pt-BR"/>
        </w:rPr>
        <w:t xml:space="preserve">desativação, </w:t>
      </w:r>
      <w:r w:rsidR="00F82674">
        <w:rPr>
          <w:rFonts w:ascii="Times New Roman" w:hAnsi="Times New Roman"/>
          <w:b w:val="0"/>
          <w:i/>
          <w:sz w:val="20"/>
          <w:lang w:val="pt-BR"/>
        </w:rPr>
        <w:t>modificação estrutural</w:t>
      </w:r>
    </w:p>
    <w:p w14:paraId="2C695EA4" w14:textId="77777777" w:rsidR="00EA4E1B" w:rsidRPr="00DA4DFC" w:rsidRDefault="00EA4E1B" w:rsidP="00EA4E1B">
      <w:pPr>
        <w:pStyle w:val="BDAbstract"/>
        <w:spacing w:before="0" w:after="0" w:line="240" w:lineRule="auto"/>
        <w:rPr>
          <w:rFonts w:ascii="Times New Roman" w:hAnsi="Times New Roman"/>
          <w:b w:val="0"/>
          <w:sz w:val="20"/>
          <w:lang w:val="pt-BR"/>
        </w:rPr>
      </w:pPr>
    </w:p>
    <w:p w14:paraId="61607538" w14:textId="6404F463" w:rsidR="00EA4E1B" w:rsidRDefault="00EA4E1B" w:rsidP="00EA4E1B">
      <w:pPr>
        <w:pStyle w:val="BDAbstract"/>
        <w:spacing w:before="0" w:after="0" w:line="240" w:lineRule="auto"/>
        <w:rPr>
          <w:rFonts w:ascii="Times New Roman" w:hAnsi="Times New Roman"/>
          <w:b w:val="0"/>
          <w:sz w:val="20"/>
        </w:rPr>
      </w:pPr>
      <w:r w:rsidRPr="00827D1A">
        <w:rPr>
          <w:rFonts w:ascii="Times New Roman" w:hAnsi="Times New Roman"/>
          <w:b w:val="0"/>
          <w:sz w:val="20"/>
        </w:rPr>
        <w:t xml:space="preserve">ABSTRACT </w:t>
      </w:r>
      <w:r w:rsidR="00827D1A" w:rsidRPr="00827D1A">
        <w:rPr>
          <w:rFonts w:ascii="Times New Roman" w:hAnsi="Times New Roman"/>
          <w:b w:val="0"/>
          <w:sz w:val="20"/>
        </w:rPr>
        <w:t>–</w:t>
      </w:r>
      <w:r w:rsidR="0060287F">
        <w:rPr>
          <w:rFonts w:ascii="Times New Roman" w:hAnsi="Times New Roman"/>
          <w:b w:val="0"/>
          <w:sz w:val="20"/>
        </w:rPr>
        <w:t xml:space="preserve"> Catalyst deactivation during CO</w:t>
      </w:r>
      <w:r w:rsidR="0060287F">
        <w:rPr>
          <w:rFonts w:ascii="Times New Roman" w:hAnsi="Times New Roman"/>
          <w:b w:val="0"/>
          <w:sz w:val="20"/>
          <w:vertAlign w:val="subscript"/>
        </w:rPr>
        <w:t>2</w:t>
      </w:r>
      <w:r w:rsidR="0060287F">
        <w:rPr>
          <w:rFonts w:ascii="Times New Roman" w:hAnsi="Times New Roman"/>
          <w:b w:val="0"/>
          <w:sz w:val="20"/>
        </w:rPr>
        <w:t xml:space="preserve"> hydrogenation is still a challenge to be overcome, despite much progress being made. The most widely used system is the catalyst with the structure Cu/</w:t>
      </w:r>
      <w:proofErr w:type="spellStart"/>
      <w:r w:rsidR="0060287F">
        <w:rPr>
          <w:rFonts w:ascii="Times New Roman" w:hAnsi="Times New Roman"/>
          <w:b w:val="0"/>
          <w:sz w:val="20"/>
        </w:rPr>
        <w:t>ZnO</w:t>
      </w:r>
      <w:proofErr w:type="spellEnd"/>
      <w:r w:rsidR="0060287F">
        <w:rPr>
          <w:rFonts w:ascii="Times New Roman" w:hAnsi="Times New Roman"/>
          <w:b w:val="0"/>
          <w:sz w:val="20"/>
        </w:rPr>
        <w:t>/Al</w:t>
      </w:r>
      <w:r w:rsidR="0060287F">
        <w:rPr>
          <w:rFonts w:ascii="Times New Roman" w:hAnsi="Times New Roman"/>
          <w:b w:val="0"/>
          <w:sz w:val="20"/>
          <w:vertAlign w:val="subscript"/>
        </w:rPr>
        <w:t>2</w:t>
      </w:r>
      <w:r w:rsidR="0060287F">
        <w:rPr>
          <w:rFonts w:ascii="Times New Roman" w:hAnsi="Times New Roman"/>
          <w:b w:val="0"/>
          <w:sz w:val="20"/>
        </w:rPr>
        <w:t>O</w:t>
      </w:r>
      <w:r w:rsidR="0060287F">
        <w:rPr>
          <w:rFonts w:ascii="Times New Roman" w:hAnsi="Times New Roman"/>
          <w:b w:val="0"/>
          <w:sz w:val="20"/>
          <w:vertAlign w:val="subscript"/>
        </w:rPr>
        <w:t>3</w:t>
      </w:r>
      <w:r w:rsidR="005849CF">
        <w:rPr>
          <w:rFonts w:ascii="Times New Roman" w:hAnsi="Times New Roman"/>
          <w:b w:val="0"/>
          <w:sz w:val="20"/>
        </w:rPr>
        <w:t>, however, the exact behavior of active sites and their relationship with the material structure is not entirely elucidated. Hence, this study investigated the</w:t>
      </w:r>
      <w:r w:rsidR="00C0654A">
        <w:rPr>
          <w:rFonts w:ascii="Times New Roman" w:hAnsi="Times New Roman"/>
          <w:b w:val="0"/>
          <w:sz w:val="20"/>
        </w:rPr>
        <w:t xml:space="preserve"> deactivation of the</w:t>
      </w:r>
      <w:r w:rsidR="005849CF">
        <w:rPr>
          <w:rFonts w:ascii="Times New Roman" w:hAnsi="Times New Roman"/>
          <w:b w:val="0"/>
          <w:sz w:val="20"/>
        </w:rPr>
        <w:t xml:space="preserve"> commercial Cu/</w:t>
      </w:r>
      <w:proofErr w:type="spellStart"/>
      <w:r w:rsidR="005849CF">
        <w:rPr>
          <w:rFonts w:ascii="Times New Roman" w:hAnsi="Times New Roman"/>
          <w:b w:val="0"/>
          <w:sz w:val="20"/>
        </w:rPr>
        <w:t>ZnO</w:t>
      </w:r>
      <w:proofErr w:type="spellEnd"/>
      <w:r w:rsidR="005849CF">
        <w:rPr>
          <w:rFonts w:ascii="Times New Roman" w:hAnsi="Times New Roman"/>
          <w:b w:val="0"/>
          <w:sz w:val="20"/>
        </w:rPr>
        <w:t>/Al</w:t>
      </w:r>
      <w:r w:rsidR="005849CF">
        <w:rPr>
          <w:rFonts w:ascii="Times New Roman" w:hAnsi="Times New Roman"/>
          <w:b w:val="0"/>
          <w:sz w:val="20"/>
          <w:vertAlign w:val="subscript"/>
        </w:rPr>
        <w:t>2</w:t>
      </w:r>
      <w:r w:rsidR="005849CF">
        <w:rPr>
          <w:rFonts w:ascii="Times New Roman" w:hAnsi="Times New Roman"/>
          <w:b w:val="0"/>
          <w:sz w:val="20"/>
        </w:rPr>
        <w:t>O</w:t>
      </w:r>
      <w:r w:rsidR="005849CF">
        <w:rPr>
          <w:rFonts w:ascii="Times New Roman" w:hAnsi="Times New Roman"/>
          <w:b w:val="0"/>
          <w:sz w:val="20"/>
          <w:vertAlign w:val="subscript"/>
        </w:rPr>
        <w:t>3</w:t>
      </w:r>
      <w:r w:rsidR="00C0654A">
        <w:rPr>
          <w:rFonts w:ascii="Times New Roman" w:hAnsi="Times New Roman"/>
          <w:b w:val="0"/>
          <w:sz w:val="20"/>
        </w:rPr>
        <w:t xml:space="preserve"> as a function of reaction pressure (1</w:t>
      </w:r>
      <w:r w:rsidR="009F62DD">
        <w:rPr>
          <w:rFonts w:ascii="Times New Roman" w:hAnsi="Times New Roman"/>
          <w:b w:val="0"/>
          <w:sz w:val="20"/>
        </w:rPr>
        <w:t>, 10, 20 and</w:t>
      </w:r>
      <w:r w:rsidR="00C0654A">
        <w:rPr>
          <w:rFonts w:ascii="Times New Roman" w:hAnsi="Times New Roman"/>
          <w:b w:val="0"/>
          <w:sz w:val="20"/>
        </w:rPr>
        <w:t xml:space="preserve"> 30 bar, at temperature of 250 ºC). In terms of activity, </w:t>
      </w:r>
      <w:r w:rsidR="009F62DD">
        <w:rPr>
          <w:rFonts w:ascii="Times New Roman" w:hAnsi="Times New Roman"/>
          <w:b w:val="0"/>
          <w:sz w:val="20"/>
        </w:rPr>
        <w:t>higher</w:t>
      </w:r>
      <w:r w:rsidR="00C0654A">
        <w:rPr>
          <w:rFonts w:ascii="Times New Roman" w:hAnsi="Times New Roman"/>
          <w:b w:val="0"/>
          <w:sz w:val="20"/>
        </w:rPr>
        <w:t xml:space="preserve"> pressure</w:t>
      </w:r>
      <w:r w:rsidR="009F62DD">
        <w:rPr>
          <w:rFonts w:ascii="Times New Roman" w:hAnsi="Times New Roman"/>
          <w:b w:val="0"/>
          <w:sz w:val="20"/>
        </w:rPr>
        <w:t>s</w:t>
      </w:r>
      <w:r w:rsidR="00C0654A">
        <w:rPr>
          <w:rFonts w:ascii="Times New Roman" w:hAnsi="Times New Roman"/>
          <w:b w:val="0"/>
          <w:sz w:val="20"/>
        </w:rPr>
        <w:t xml:space="preserve"> promoted higher initial conversion, as expected. However, the catalyst presented drastic deactivation regardless of the P used, exhibiting CO</w:t>
      </w:r>
      <w:r w:rsidR="00C0654A">
        <w:rPr>
          <w:rFonts w:ascii="Times New Roman" w:hAnsi="Times New Roman"/>
          <w:b w:val="0"/>
          <w:sz w:val="20"/>
          <w:vertAlign w:val="subscript"/>
        </w:rPr>
        <w:t>2</w:t>
      </w:r>
      <w:r w:rsidR="00C0654A">
        <w:rPr>
          <w:rFonts w:ascii="Times New Roman" w:hAnsi="Times New Roman"/>
          <w:b w:val="0"/>
          <w:sz w:val="20"/>
        </w:rPr>
        <w:t xml:space="preserve"> conversion of only 5 % by the end of 3 h of reaction. Similarly, methanol yield </w:t>
      </w:r>
      <w:r w:rsidR="005C276E">
        <w:rPr>
          <w:rFonts w:ascii="Times New Roman" w:hAnsi="Times New Roman"/>
          <w:b w:val="0"/>
          <w:sz w:val="20"/>
        </w:rPr>
        <w:t>rose with pressure, reaching space-time-yield of 255 mg methanol/</w:t>
      </w:r>
      <w:proofErr w:type="spellStart"/>
      <w:r w:rsidR="005C276E">
        <w:rPr>
          <w:rFonts w:ascii="Times New Roman" w:hAnsi="Times New Roman"/>
          <w:b w:val="0"/>
          <w:sz w:val="20"/>
        </w:rPr>
        <w:t>g</w:t>
      </w:r>
      <w:r w:rsidR="005C276E">
        <w:rPr>
          <w:rFonts w:ascii="Times New Roman" w:hAnsi="Times New Roman"/>
          <w:b w:val="0"/>
          <w:sz w:val="20"/>
          <w:vertAlign w:val="subscript"/>
        </w:rPr>
        <w:t>cat</w:t>
      </w:r>
      <w:r w:rsidR="005C276E">
        <w:rPr>
          <w:rFonts w:ascii="Times New Roman" w:hAnsi="Times New Roman"/>
          <w:b w:val="0"/>
          <w:sz w:val="20"/>
        </w:rPr>
        <w:t>.h</w:t>
      </w:r>
      <w:proofErr w:type="spellEnd"/>
      <w:r w:rsidR="005C276E">
        <w:rPr>
          <w:rFonts w:ascii="Times New Roman" w:hAnsi="Times New Roman"/>
          <w:b w:val="0"/>
          <w:sz w:val="20"/>
        </w:rPr>
        <w:t>. Characterization of the spent catalysts by Raman spectroscopy and X-Ray Diffraction (XRD) indicates accentuated structural modification of the catalyst phases, with the formation of inactive phases such as Cu aluminate, segregation of the catalyst components (</w:t>
      </w:r>
      <w:proofErr w:type="spellStart"/>
      <w:r w:rsidR="005C276E">
        <w:rPr>
          <w:rFonts w:ascii="Times New Roman" w:hAnsi="Times New Roman"/>
          <w:b w:val="0"/>
          <w:sz w:val="20"/>
        </w:rPr>
        <w:t>ZnO</w:t>
      </w:r>
      <w:proofErr w:type="spellEnd"/>
      <w:r w:rsidR="005C276E">
        <w:rPr>
          <w:rFonts w:ascii="Times New Roman" w:hAnsi="Times New Roman"/>
          <w:b w:val="0"/>
          <w:sz w:val="20"/>
        </w:rPr>
        <w:t xml:space="preserve"> and Al</w:t>
      </w:r>
      <w:r w:rsidR="005C276E">
        <w:rPr>
          <w:rFonts w:ascii="Times New Roman" w:hAnsi="Times New Roman"/>
          <w:b w:val="0"/>
          <w:sz w:val="20"/>
          <w:vertAlign w:val="subscript"/>
        </w:rPr>
        <w:t>2</w:t>
      </w:r>
      <w:r w:rsidR="005C276E">
        <w:rPr>
          <w:rFonts w:ascii="Times New Roman" w:hAnsi="Times New Roman"/>
          <w:b w:val="0"/>
          <w:sz w:val="20"/>
        </w:rPr>
        <w:t>O</w:t>
      </w:r>
      <w:r w:rsidR="005C276E">
        <w:rPr>
          <w:rFonts w:ascii="Times New Roman" w:hAnsi="Times New Roman"/>
          <w:b w:val="0"/>
          <w:sz w:val="20"/>
          <w:vertAlign w:val="subscript"/>
        </w:rPr>
        <w:t>3</w:t>
      </w:r>
      <w:r w:rsidR="005C276E">
        <w:rPr>
          <w:rFonts w:ascii="Times New Roman" w:hAnsi="Times New Roman"/>
          <w:b w:val="0"/>
          <w:sz w:val="20"/>
        </w:rPr>
        <w:t>), as well as sintering of Cu and/or Zn. The activity loss through carbon deposition may be excluded, from Raman spectroscopy results and thermogravimetric analysis (TGA).</w:t>
      </w:r>
    </w:p>
    <w:p w14:paraId="4C7DD5A9" w14:textId="77777777" w:rsidR="00DD488F" w:rsidRDefault="00DD488F" w:rsidP="00EA4E1B">
      <w:pPr>
        <w:pStyle w:val="BDAbstract"/>
        <w:spacing w:before="0" w:after="0" w:line="240" w:lineRule="auto"/>
        <w:rPr>
          <w:rFonts w:ascii="Times New Roman" w:hAnsi="Times New Roman"/>
          <w:b w:val="0"/>
          <w:sz w:val="20"/>
        </w:rPr>
      </w:pPr>
    </w:p>
    <w:p w14:paraId="127A98F4" w14:textId="77777777" w:rsidR="00DD488F" w:rsidRPr="00DD488F" w:rsidRDefault="00DD488F" w:rsidP="00EA4E1B">
      <w:pPr>
        <w:pStyle w:val="BDAbstract"/>
        <w:spacing w:before="0" w:after="0" w:line="240" w:lineRule="auto"/>
        <w:rPr>
          <w:rFonts w:ascii="Times New Roman" w:hAnsi="Times New Roman"/>
          <w:b w:val="0"/>
          <w:i/>
          <w:iCs/>
          <w:sz w:val="20"/>
        </w:rPr>
      </w:pPr>
      <w:r w:rsidRPr="00DD488F">
        <w:rPr>
          <w:rFonts w:ascii="Times New Roman" w:hAnsi="Times New Roman"/>
          <w:b w:val="0"/>
          <w:i/>
          <w:iCs/>
          <w:sz w:val="20"/>
        </w:rPr>
        <w:t>Keywords: CO</w:t>
      </w:r>
      <w:r w:rsidRPr="00DD488F">
        <w:rPr>
          <w:rFonts w:ascii="Times New Roman" w:hAnsi="Times New Roman"/>
          <w:b w:val="0"/>
          <w:i/>
          <w:iCs/>
          <w:sz w:val="20"/>
          <w:vertAlign w:val="subscript"/>
        </w:rPr>
        <w:t>2</w:t>
      </w:r>
      <w:r w:rsidRPr="00DD488F">
        <w:rPr>
          <w:rFonts w:ascii="Times New Roman" w:hAnsi="Times New Roman"/>
          <w:b w:val="0"/>
          <w:i/>
          <w:iCs/>
          <w:sz w:val="20"/>
        </w:rPr>
        <w:t xml:space="preserve"> hydrogenation, Cu/</w:t>
      </w:r>
      <w:proofErr w:type="spellStart"/>
      <w:r w:rsidRPr="00DD488F">
        <w:rPr>
          <w:rFonts w:ascii="Times New Roman" w:hAnsi="Times New Roman"/>
          <w:b w:val="0"/>
          <w:i/>
          <w:iCs/>
          <w:sz w:val="20"/>
        </w:rPr>
        <w:t>ZnO</w:t>
      </w:r>
      <w:proofErr w:type="spellEnd"/>
      <w:r w:rsidRPr="00DD488F">
        <w:rPr>
          <w:rFonts w:ascii="Times New Roman" w:hAnsi="Times New Roman"/>
          <w:b w:val="0"/>
          <w:i/>
          <w:iCs/>
          <w:sz w:val="20"/>
        </w:rPr>
        <w:t>/Al</w:t>
      </w:r>
      <w:r w:rsidRPr="00DD488F">
        <w:rPr>
          <w:rFonts w:ascii="Times New Roman" w:hAnsi="Times New Roman"/>
          <w:b w:val="0"/>
          <w:i/>
          <w:iCs/>
          <w:sz w:val="20"/>
          <w:vertAlign w:val="subscript"/>
        </w:rPr>
        <w:t>2</w:t>
      </w:r>
      <w:r w:rsidRPr="00DD488F">
        <w:rPr>
          <w:rFonts w:ascii="Times New Roman" w:hAnsi="Times New Roman"/>
          <w:b w:val="0"/>
          <w:i/>
          <w:iCs/>
          <w:sz w:val="20"/>
        </w:rPr>
        <w:t>O</w:t>
      </w:r>
      <w:r w:rsidRPr="00DD488F">
        <w:rPr>
          <w:rFonts w:ascii="Times New Roman" w:hAnsi="Times New Roman"/>
          <w:b w:val="0"/>
          <w:i/>
          <w:iCs/>
          <w:sz w:val="20"/>
          <w:vertAlign w:val="subscript"/>
        </w:rPr>
        <w:t>3</w:t>
      </w:r>
      <w:r w:rsidRPr="00DD488F">
        <w:rPr>
          <w:rFonts w:ascii="Times New Roman" w:hAnsi="Times New Roman"/>
          <w:b w:val="0"/>
          <w:i/>
          <w:iCs/>
          <w:sz w:val="20"/>
        </w:rPr>
        <w:t>, deactivation, structural modification</w:t>
      </w:r>
    </w:p>
    <w:bookmarkEnd w:id="1"/>
    <w:p w14:paraId="044A72FB" w14:textId="77777777" w:rsidR="00EA4E1B" w:rsidRPr="00DD488F" w:rsidRDefault="00DD488F" w:rsidP="004F40B6">
      <w:pPr>
        <w:pStyle w:val="BDAbstract"/>
        <w:spacing w:before="0" w:after="120" w:line="240" w:lineRule="auto"/>
        <w:rPr>
          <w:rFonts w:ascii="Times New Roman" w:hAnsi="Times New Roman"/>
          <w:b w:val="0"/>
          <w:i/>
          <w:sz w:val="20"/>
        </w:rPr>
        <w:sectPr w:rsidR="00EA4E1B" w:rsidRPr="00DD488F" w:rsidSect="00EA4E1B">
          <w:headerReference w:type="default" r:id="rId8"/>
          <w:endnotePr>
            <w:numFmt w:val="decimal"/>
          </w:endnotePr>
          <w:pgSz w:w="11906" w:h="16838"/>
          <w:pgMar w:top="1418" w:right="1094" w:bottom="1418" w:left="567" w:header="709" w:footer="709" w:gutter="0"/>
          <w:cols w:space="708"/>
          <w:docGrid w:linePitch="360"/>
        </w:sectPr>
      </w:pPr>
      <w:r>
        <w:rPr>
          <w:rFonts w:ascii="Times New Roman" w:hAnsi="Times New Roman"/>
          <w:b w:val="0"/>
          <w:i/>
          <w:sz w:val="20"/>
        </w:rPr>
        <w:t xml:space="preserve"> </w:t>
      </w:r>
    </w:p>
    <w:p w14:paraId="3729AC59" w14:textId="77777777" w:rsidR="00EA4E1B" w:rsidRPr="003A70AD" w:rsidRDefault="00EA4E1B" w:rsidP="00EA4E1B">
      <w:pPr>
        <w:pStyle w:val="Ttulo2"/>
        <w:spacing w:before="0"/>
        <w:rPr>
          <w:rFonts w:ascii="Helvetica" w:hAnsi="Helvetica" w:cs="Helvetica"/>
          <w:sz w:val="24"/>
          <w:szCs w:val="24"/>
        </w:rPr>
      </w:pPr>
      <w:r w:rsidRPr="003A70AD">
        <w:rPr>
          <w:rFonts w:ascii="Helvetica" w:hAnsi="Helvetica" w:cs="Helvetica"/>
          <w:sz w:val="24"/>
          <w:szCs w:val="24"/>
        </w:rPr>
        <w:t>Introdu</w:t>
      </w:r>
      <w:r w:rsidR="00B13CBC" w:rsidRPr="003A70AD">
        <w:rPr>
          <w:rFonts w:ascii="Helvetica" w:hAnsi="Helvetica" w:cs="Helvetica"/>
          <w:sz w:val="24"/>
          <w:szCs w:val="24"/>
        </w:rPr>
        <w:t>ção</w:t>
      </w:r>
    </w:p>
    <w:p w14:paraId="54C5AFC4" w14:textId="77777777" w:rsidR="00B13CBC" w:rsidRDefault="00B13CBC" w:rsidP="001F30DA">
      <w:pPr>
        <w:pStyle w:val="TAMainText"/>
        <w:rPr>
          <w:rFonts w:ascii="Times New Roman" w:hAnsi="Times New Roman"/>
          <w:bCs/>
          <w:lang w:val="pt-BR"/>
        </w:rPr>
      </w:pPr>
      <w:r>
        <w:rPr>
          <w:rFonts w:ascii="Times New Roman" w:hAnsi="Times New Roman"/>
          <w:bCs/>
          <w:lang w:val="pt-BR"/>
        </w:rPr>
        <w:t xml:space="preserve">O cenário global de dependência de combustíveis fósseis, perspectivas de esgotamento das reservas e mudanças climáticas </w:t>
      </w:r>
      <w:r w:rsidR="00F82674">
        <w:rPr>
          <w:rFonts w:ascii="Times New Roman" w:hAnsi="Times New Roman"/>
          <w:bCs/>
          <w:lang w:val="pt-BR"/>
        </w:rPr>
        <w:t>tem impulsionado</w:t>
      </w:r>
      <w:r>
        <w:rPr>
          <w:rFonts w:ascii="Times New Roman" w:hAnsi="Times New Roman"/>
          <w:bCs/>
          <w:lang w:val="pt-BR"/>
        </w:rPr>
        <w:t xml:space="preserve"> a busca por fontes alternativas de energia. </w:t>
      </w:r>
      <w:r w:rsidR="00F82674">
        <w:rPr>
          <w:rFonts w:ascii="Times New Roman" w:hAnsi="Times New Roman"/>
          <w:bCs/>
          <w:lang w:val="pt-BR"/>
        </w:rPr>
        <w:t>Dentre essas fontes</w:t>
      </w:r>
      <w:r>
        <w:rPr>
          <w:rFonts w:ascii="Times New Roman" w:hAnsi="Times New Roman"/>
          <w:bCs/>
          <w:lang w:val="pt-BR"/>
        </w:rPr>
        <w:t>, a hidrogenação</w:t>
      </w:r>
      <w:r w:rsidR="00F82674">
        <w:rPr>
          <w:rFonts w:ascii="Times New Roman" w:hAnsi="Times New Roman"/>
          <w:bCs/>
          <w:lang w:val="pt-BR"/>
        </w:rPr>
        <w:t xml:space="preserve"> catalític</w:t>
      </w:r>
      <w:r w:rsidR="00691F65">
        <w:rPr>
          <w:rFonts w:ascii="Times New Roman" w:hAnsi="Times New Roman"/>
          <w:bCs/>
          <w:lang w:val="pt-BR"/>
        </w:rPr>
        <w:t>a</w:t>
      </w:r>
      <w:r w:rsidR="00F82674">
        <w:rPr>
          <w:rFonts w:ascii="Times New Roman" w:hAnsi="Times New Roman"/>
          <w:bCs/>
          <w:lang w:val="pt-BR"/>
        </w:rPr>
        <w:t xml:space="preserve"> do</w:t>
      </w:r>
      <w:r>
        <w:rPr>
          <w:rFonts w:ascii="Times New Roman" w:hAnsi="Times New Roman"/>
          <w:bCs/>
          <w:lang w:val="pt-BR"/>
        </w:rPr>
        <w:t xml:space="preserve"> CO</w:t>
      </w:r>
      <w:r>
        <w:rPr>
          <w:rFonts w:ascii="Times New Roman" w:hAnsi="Times New Roman"/>
          <w:bCs/>
          <w:vertAlign w:val="subscript"/>
          <w:lang w:val="pt-BR"/>
        </w:rPr>
        <w:t>2</w:t>
      </w:r>
      <w:r>
        <w:rPr>
          <w:rFonts w:ascii="Times New Roman" w:hAnsi="Times New Roman"/>
          <w:bCs/>
          <w:lang w:val="pt-BR"/>
        </w:rPr>
        <w:t xml:space="preserve"> </w:t>
      </w:r>
      <w:r w:rsidR="00F82674">
        <w:rPr>
          <w:rFonts w:ascii="Times New Roman" w:hAnsi="Times New Roman"/>
          <w:bCs/>
          <w:lang w:val="pt-BR"/>
        </w:rPr>
        <w:t>a</w:t>
      </w:r>
      <w:r>
        <w:rPr>
          <w:rFonts w:ascii="Times New Roman" w:hAnsi="Times New Roman"/>
          <w:bCs/>
          <w:lang w:val="pt-BR"/>
        </w:rPr>
        <w:t xml:space="preserve"> metanol, </w:t>
      </w:r>
      <w:r w:rsidR="00F82674">
        <w:rPr>
          <w:rFonts w:ascii="Times New Roman" w:hAnsi="Times New Roman"/>
          <w:bCs/>
          <w:lang w:val="pt-BR"/>
        </w:rPr>
        <w:t xml:space="preserve">éter </w:t>
      </w:r>
      <w:proofErr w:type="spellStart"/>
      <w:r w:rsidR="00F82674">
        <w:rPr>
          <w:rFonts w:ascii="Times New Roman" w:hAnsi="Times New Roman"/>
          <w:bCs/>
          <w:lang w:val="pt-BR"/>
        </w:rPr>
        <w:t>dimetílico</w:t>
      </w:r>
      <w:proofErr w:type="spellEnd"/>
      <w:r>
        <w:rPr>
          <w:rFonts w:ascii="Times New Roman" w:hAnsi="Times New Roman"/>
          <w:bCs/>
          <w:lang w:val="pt-BR"/>
        </w:rPr>
        <w:t xml:space="preserve"> e outros produtos de alto valor agregado </w:t>
      </w:r>
      <w:r w:rsidR="00F82674">
        <w:rPr>
          <w:rFonts w:ascii="Times New Roman" w:hAnsi="Times New Roman"/>
          <w:bCs/>
          <w:lang w:val="pt-BR"/>
        </w:rPr>
        <w:t>se destaca como uma rota promissora</w:t>
      </w:r>
      <w:r>
        <w:rPr>
          <w:rFonts w:ascii="Times New Roman" w:hAnsi="Times New Roman"/>
          <w:bCs/>
          <w:lang w:val="pt-BR"/>
        </w:rPr>
        <w:t xml:space="preserve"> (</w:t>
      </w:r>
      <w:r w:rsidR="00C95ADC">
        <w:rPr>
          <w:rFonts w:ascii="Times New Roman" w:hAnsi="Times New Roman"/>
          <w:bCs/>
          <w:lang w:val="pt-BR"/>
        </w:rPr>
        <w:t>1)</w:t>
      </w:r>
      <w:r w:rsidR="00C95ADC" w:rsidRPr="00C95ADC">
        <w:rPr>
          <w:rFonts w:ascii="Times New Roman" w:hAnsi="Times New Roman"/>
          <w:bCs/>
          <w:lang w:val="pt-BR"/>
        </w:rPr>
        <w:t>.</w:t>
      </w:r>
      <w:r w:rsidR="008B51EB">
        <w:rPr>
          <w:rFonts w:ascii="Times New Roman" w:hAnsi="Times New Roman"/>
          <w:bCs/>
          <w:color w:val="FF0000"/>
          <w:lang w:val="pt-BR"/>
        </w:rPr>
        <w:t xml:space="preserve"> </w:t>
      </w:r>
      <w:r w:rsidR="00F82674">
        <w:rPr>
          <w:rFonts w:ascii="Times New Roman" w:hAnsi="Times New Roman"/>
          <w:bCs/>
          <w:lang w:val="pt-BR"/>
        </w:rPr>
        <w:t>Dentre os catalisadores estudados</w:t>
      </w:r>
      <w:r>
        <w:rPr>
          <w:rFonts w:ascii="Times New Roman" w:hAnsi="Times New Roman"/>
          <w:bCs/>
          <w:lang w:val="pt-BR"/>
        </w:rPr>
        <w:t>, o sistema Cu/</w:t>
      </w:r>
      <w:proofErr w:type="spellStart"/>
      <w:r>
        <w:rPr>
          <w:rFonts w:ascii="Times New Roman" w:hAnsi="Times New Roman"/>
          <w:bCs/>
          <w:lang w:val="pt-BR"/>
        </w:rPr>
        <w:t>ZnO</w:t>
      </w:r>
      <w:proofErr w:type="spellEnd"/>
      <w:r>
        <w:rPr>
          <w:rFonts w:ascii="Times New Roman" w:hAnsi="Times New Roman"/>
          <w:bCs/>
          <w:lang w:val="pt-BR"/>
        </w:rPr>
        <w:t>/Al</w:t>
      </w:r>
      <w:r>
        <w:rPr>
          <w:rFonts w:ascii="Times New Roman" w:hAnsi="Times New Roman"/>
          <w:bCs/>
          <w:vertAlign w:val="subscript"/>
          <w:lang w:val="pt-BR"/>
        </w:rPr>
        <w:t>2</w:t>
      </w:r>
      <w:r>
        <w:rPr>
          <w:rFonts w:ascii="Times New Roman" w:hAnsi="Times New Roman"/>
          <w:bCs/>
          <w:lang w:val="pt-BR"/>
        </w:rPr>
        <w:t>O</w:t>
      </w:r>
      <w:r>
        <w:rPr>
          <w:rFonts w:ascii="Times New Roman" w:hAnsi="Times New Roman"/>
          <w:bCs/>
          <w:vertAlign w:val="subscript"/>
          <w:lang w:val="pt-BR"/>
        </w:rPr>
        <w:t>3</w:t>
      </w:r>
      <w:r>
        <w:rPr>
          <w:rFonts w:ascii="Times New Roman" w:hAnsi="Times New Roman"/>
          <w:bCs/>
          <w:lang w:val="pt-BR"/>
        </w:rPr>
        <w:t xml:space="preserve"> (CZA) </w:t>
      </w:r>
      <w:r w:rsidR="004E6686">
        <w:rPr>
          <w:rFonts w:ascii="Times New Roman" w:hAnsi="Times New Roman"/>
          <w:bCs/>
          <w:lang w:val="pt-BR"/>
        </w:rPr>
        <w:t xml:space="preserve">tem sido amplamente estudado tendo em conta que é </w:t>
      </w:r>
      <w:r w:rsidR="004E6686">
        <w:rPr>
          <w:rFonts w:ascii="Times New Roman" w:hAnsi="Times New Roman"/>
          <w:bCs/>
          <w:lang w:val="pt-BR"/>
        </w:rPr>
        <w:t xml:space="preserve">a base do catalisador comercial para a produção industrial do metanol a partir do gás de síntese </w:t>
      </w:r>
      <w:r>
        <w:rPr>
          <w:rFonts w:ascii="Times New Roman" w:hAnsi="Times New Roman"/>
          <w:bCs/>
          <w:lang w:val="pt-BR"/>
        </w:rPr>
        <w:t>(</w:t>
      </w:r>
      <w:r w:rsidR="00CE220C" w:rsidRPr="00CE220C">
        <w:rPr>
          <w:rFonts w:ascii="Times New Roman" w:hAnsi="Times New Roman"/>
          <w:bCs/>
          <w:lang w:val="pt-BR"/>
        </w:rPr>
        <w:t>2</w:t>
      </w:r>
      <w:r>
        <w:rPr>
          <w:rFonts w:ascii="Times New Roman" w:hAnsi="Times New Roman"/>
          <w:bCs/>
          <w:lang w:val="pt-BR"/>
        </w:rPr>
        <w:t>).</w:t>
      </w:r>
      <w:r w:rsidR="004E6686">
        <w:rPr>
          <w:rFonts w:ascii="Times New Roman" w:hAnsi="Times New Roman"/>
          <w:bCs/>
          <w:lang w:val="pt-BR"/>
        </w:rPr>
        <w:t xml:space="preserve"> </w:t>
      </w:r>
    </w:p>
    <w:p w14:paraId="3EF4DF73" w14:textId="77777777" w:rsidR="002A5C6F" w:rsidRDefault="002A5C6F" w:rsidP="00E262CD">
      <w:pPr>
        <w:pStyle w:val="TAMainText"/>
        <w:rPr>
          <w:rFonts w:ascii="Times New Roman" w:hAnsi="Times New Roman"/>
          <w:bCs/>
          <w:color w:val="FF0000"/>
          <w:lang w:val="pt-BR"/>
        </w:rPr>
      </w:pPr>
      <w:r>
        <w:rPr>
          <w:rFonts w:ascii="Times New Roman" w:hAnsi="Times New Roman"/>
          <w:bCs/>
          <w:lang w:val="pt-BR"/>
        </w:rPr>
        <w:t xml:space="preserve">Embora o sistema CZA venha sendo </w:t>
      </w:r>
      <w:r w:rsidR="0091585E">
        <w:rPr>
          <w:rFonts w:ascii="Times New Roman" w:hAnsi="Times New Roman"/>
          <w:bCs/>
          <w:lang w:val="pt-BR"/>
        </w:rPr>
        <w:t>extensamente</w:t>
      </w:r>
      <w:r>
        <w:rPr>
          <w:rFonts w:ascii="Times New Roman" w:hAnsi="Times New Roman"/>
          <w:bCs/>
          <w:lang w:val="pt-BR"/>
        </w:rPr>
        <w:t xml:space="preserve"> estudado, as razões sugeridas para a desativação ainda são controversas. Há que se ressaltar ainda a estrutura única desse catalisador, não podendo ser considerado um catalisador de Cu suportado tendo em conta o alto teor metálico (60-70%), com uma razão</w:t>
      </w:r>
      <w:r w:rsidRPr="004E6686">
        <w:rPr>
          <w:rFonts w:ascii="Times New Roman" w:hAnsi="Times New Roman"/>
          <w:sz w:val="24"/>
          <w:szCs w:val="24"/>
          <w:lang w:val="pt-BR"/>
        </w:rPr>
        <w:t xml:space="preserve"> </w:t>
      </w:r>
      <w:r w:rsidRPr="004E6686">
        <w:rPr>
          <w:rFonts w:ascii="Times New Roman" w:hAnsi="Times New Roman"/>
          <w:bCs/>
          <w:lang w:val="pt-BR"/>
        </w:rPr>
        <w:t xml:space="preserve">Cu/Zn </w:t>
      </w:r>
      <w:r>
        <w:rPr>
          <w:rFonts w:ascii="Times New Roman" w:hAnsi="Times New Roman"/>
          <w:bCs/>
          <w:lang w:val="pt-BR"/>
        </w:rPr>
        <w:t>igual a</w:t>
      </w:r>
      <w:r w:rsidRPr="004E6686">
        <w:rPr>
          <w:rFonts w:ascii="Times New Roman" w:hAnsi="Times New Roman"/>
          <w:bCs/>
          <w:lang w:val="pt-BR"/>
        </w:rPr>
        <w:t xml:space="preserve"> 2 </w:t>
      </w:r>
      <w:r>
        <w:rPr>
          <w:rFonts w:ascii="Times New Roman" w:hAnsi="Times New Roman"/>
          <w:bCs/>
          <w:lang w:val="pt-BR"/>
        </w:rPr>
        <w:t xml:space="preserve">e aproximadamente </w:t>
      </w:r>
      <w:r w:rsidRPr="004E6686">
        <w:rPr>
          <w:rFonts w:ascii="Times New Roman" w:hAnsi="Times New Roman"/>
          <w:bCs/>
          <w:lang w:val="pt-BR"/>
        </w:rPr>
        <w:t xml:space="preserve">10 % </w:t>
      </w:r>
      <w:r w:rsidR="00E262CD">
        <w:rPr>
          <w:rFonts w:ascii="Times New Roman" w:hAnsi="Times New Roman"/>
          <w:bCs/>
          <w:lang w:val="pt-BR"/>
        </w:rPr>
        <w:t>de</w:t>
      </w:r>
      <w:r w:rsidRPr="004E6686">
        <w:rPr>
          <w:rFonts w:ascii="Times New Roman" w:hAnsi="Times New Roman"/>
          <w:bCs/>
          <w:lang w:val="pt-BR"/>
        </w:rPr>
        <w:t xml:space="preserve"> Al</w:t>
      </w:r>
      <w:r w:rsidRPr="004E6686">
        <w:rPr>
          <w:rFonts w:ascii="Times New Roman" w:hAnsi="Times New Roman"/>
          <w:bCs/>
          <w:vertAlign w:val="subscript"/>
          <w:lang w:val="pt-BR"/>
        </w:rPr>
        <w:t>2</w:t>
      </w:r>
      <w:r w:rsidRPr="004E6686">
        <w:rPr>
          <w:rFonts w:ascii="Times New Roman" w:hAnsi="Times New Roman"/>
          <w:bCs/>
          <w:lang w:val="pt-BR"/>
        </w:rPr>
        <w:t>O</w:t>
      </w:r>
      <w:r w:rsidRPr="004E6686">
        <w:rPr>
          <w:rFonts w:ascii="Times New Roman" w:hAnsi="Times New Roman"/>
          <w:bCs/>
          <w:vertAlign w:val="subscript"/>
          <w:lang w:val="pt-BR"/>
        </w:rPr>
        <w:t>3</w:t>
      </w:r>
      <w:r>
        <w:rPr>
          <w:rFonts w:ascii="Times New Roman" w:hAnsi="Times New Roman"/>
          <w:bCs/>
          <w:lang w:val="pt-BR"/>
        </w:rPr>
        <w:t xml:space="preserve">. </w:t>
      </w:r>
    </w:p>
    <w:p w14:paraId="532D122C" w14:textId="77777777" w:rsidR="00412E6C" w:rsidRPr="00412E6C" w:rsidRDefault="002A5C6F" w:rsidP="0072165A">
      <w:pPr>
        <w:pStyle w:val="TAMainText"/>
        <w:rPr>
          <w:rFonts w:ascii="Times New Roman" w:hAnsi="Times New Roman"/>
          <w:bCs/>
          <w:lang w:val="pt-BR"/>
        </w:rPr>
      </w:pPr>
      <w:r w:rsidRPr="00412E6C">
        <w:rPr>
          <w:rFonts w:ascii="Times New Roman" w:hAnsi="Times New Roman"/>
          <w:bCs/>
          <w:lang w:val="pt-BR"/>
        </w:rPr>
        <w:lastRenderedPageBreak/>
        <w:t>A perda da atividade do catalisador durante a reação de hidrogenação do CO</w:t>
      </w:r>
      <w:r w:rsidRPr="00412E6C">
        <w:rPr>
          <w:rFonts w:ascii="Times New Roman" w:hAnsi="Times New Roman"/>
          <w:bCs/>
          <w:vertAlign w:val="subscript"/>
          <w:lang w:val="pt-BR"/>
        </w:rPr>
        <w:t>2</w:t>
      </w:r>
      <w:r w:rsidRPr="00412E6C">
        <w:rPr>
          <w:rFonts w:ascii="Times New Roman" w:hAnsi="Times New Roman"/>
          <w:bCs/>
          <w:lang w:val="pt-BR"/>
        </w:rPr>
        <w:t xml:space="preserve"> pode resultar de diferentes fatores, dentre eles, pode-se citar a formação contínua de H</w:t>
      </w:r>
      <w:r w:rsidRPr="00412E6C">
        <w:rPr>
          <w:rFonts w:ascii="Times New Roman" w:hAnsi="Times New Roman"/>
          <w:bCs/>
          <w:vertAlign w:val="subscript"/>
          <w:lang w:val="pt-BR"/>
        </w:rPr>
        <w:t>2</w:t>
      </w:r>
      <w:r w:rsidRPr="00412E6C">
        <w:rPr>
          <w:rFonts w:ascii="Times New Roman" w:hAnsi="Times New Roman"/>
          <w:bCs/>
          <w:lang w:val="pt-BR"/>
        </w:rPr>
        <w:t>O, o que pode afetar a sinterização das fases de Cu bem como o envenenament</w:t>
      </w:r>
      <w:r w:rsidR="002718D8" w:rsidRPr="00412E6C">
        <w:rPr>
          <w:rFonts w:ascii="Times New Roman" w:hAnsi="Times New Roman"/>
          <w:bCs/>
          <w:lang w:val="pt-BR"/>
        </w:rPr>
        <w:t>o</w:t>
      </w:r>
      <w:r w:rsidRPr="00412E6C">
        <w:rPr>
          <w:rFonts w:ascii="Times New Roman" w:hAnsi="Times New Roman"/>
          <w:bCs/>
          <w:lang w:val="pt-BR"/>
        </w:rPr>
        <w:t xml:space="preserve"> dos sítios ácidos de Lewis e deposição de carbono</w:t>
      </w:r>
      <w:r w:rsidR="00E735D3" w:rsidRPr="00412E6C">
        <w:rPr>
          <w:rFonts w:ascii="Times New Roman" w:hAnsi="Times New Roman"/>
          <w:bCs/>
          <w:lang w:val="pt-BR"/>
        </w:rPr>
        <w:t xml:space="preserve"> </w:t>
      </w:r>
      <w:r w:rsidR="00575135">
        <w:rPr>
          <w:rFonts w:ascii="Times New Roman" w:hAnsi="Times New Roman"/>
          <w:bCs/>
          <w:lang w:val="pt-BR"/>
        </w:rPr>
        <w:t>(3,4)</w:t>
      </w:r>
      <w:r w:rsidRPr="00412E6C">
        <w:rPr>
          <w:rFonts w:ascii="Times New Roman" w:hAnsi="Times New Roman"/>
          <w:bCs/>
          <w:lang w:val="pt-BR"/>
        </w:rPr>
        <w:t>. Como já se disse, o mecanismo envolvido na desativação do catalisador ainda não é bem elucidado, comprometendo o desenvolvimento de um catalisador efetivo para a formação do metanol e/ou DME.</w:t>
      </w:r>
    </w:p>
    <w:p w14:paraId="031F0232" w14:textId="77777777" w:rsidR="00141844" w:rsidRPr="00412E6C" w:rsidRDefault="0072165A" w:rsidP="00412E6C">
      <w:pPr>
        <w:pStyle w:val="TAMainText"/>
        <w:rPr>
          <w:rFonts w:ascii="Times New Roman" w:hAnsi="Times New Roman"/>
          <w:bCs/>
          <w:lang w:val="pt-BR"/>
        </w:rPr>
      </w:pPr>
      <w:r w:rsidRPr="00412E6C">
        <w:rPr>
          <w:rFonts w:ascii="Times New Roman" w:hAnsi="Times New Roman"/>
          <w:bCs/>
          <w:lang w:val="pt-BR"/>
        </w:rPr>
        <w:t>Portanto, o objetivo deste estudo foi avaliar o efeito da pressão de reação de hidrogenação do CO</w:t>
      </w:r>
      <w:r w:rsidRPr="00412E6C">
        <w:rPr>
          <w:rFonts w:ascii="Times New Roman" w:hAnsi="Times New Roman"/>
          <w:bCs/>
          <w:vertAlign w:val="subscript"/>
          <w:lang w:val="pt-BR"/>
        </w:rPr>
        <w:t>2</w:t>
      </w:r>
      <w:r w:rsidRPr="00412E6C">
        <w:rPr>
          <w:rFonts w:ascii="Times New Roman" w:hAnsi="Times New Roman"/>
          <w:bCs/>
          <w:lang w:val="pt-BR"/>
        </w:rPr>
        <w:t xml:space="preserve"> a metanol e/ou DME em presença do catalisador CZA, visando um maior entendimento das causas da desativação bem como avaliar a transformação microestrutural do catalisador devido às condições reacionais. As amostras frescas e usadas foram caracterizadas por Difração de raios-X, espectroscopia Raman e análise termogravimétrica (TGA) visando</w:t>
      </w:r>
      <w:r w:rsidR="00141844" w:rsidRPr="00412E6C">
        <w:rPr>
          <w:rFonts w:ascii="Times New Roman" w:hAnsi="Times New Roman"/>
          <w:bCs/>
          <w:lang w:val="pt-BR"/>
        </w:rPr>
        <w:t xml:space="preserve"> identificar modificações na microestrutura </w:t>
      </w:r>
      <w:r w:rsidRPr="00412E6C">
        <w:rPr>
          <w:rFonts w:ascii="Times New Roman" w:hAnsi="Times New Roman"/>
          <w:bCs/>
          <w:lang w:val="pt-BR"/>
        </w:rPr>
        <w:t>do catalisador e sua relação com a</w:t>
      </w:r>
      <w:r w:rsidR="00141844" w:rsidRPr="00412E6C">
        <w:rPr>
          <w:rFonts w:ascii="Times New Roman" w:hAnsi="Times New Roman"/>
          <w:bCs/>
          <w:lang w:val="pt-BR"/>
        </w:rPr>
        <w:t xml:space="preserve"> desativação.</w:t>
      </w:r>
    </w:p>
    <w:p w14:paraId="57A3F455"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Experimental</w:t>
      </w:r>
    </w:p>
    <w:p w14:paraId="47E13540" w14:textId="77777777" w:rsidR="00EA4E1B" w:rsidRDefault="008455E7" w:rsidP="00EA4E1B">
      <w:pPr>
        <w:pStyle w:val="TAMainText"/>
        <w:ind w:firstLine="0"/>
        <w:rPr>
          <w:rFonts w:ascii="Times New Roman" w:hAnsi="Times New Roman"/>
          <w:i/>
          <w:lang w:val="pt-BR"/>
        </w:rPr>
      </w:pPr>
      <w:r>
        <w:rPr>
          <w:rFonts w:ascii="Times New Roman" w:hAnsi="Times New Roman"/>
          <w:i/>
          <w:lang w:val="pt-BR"/>
        </w:rPr>
        <w:t>Catal</w:t>
      </w:r>
      <w:r w:rsidR="00923894">
        <w:rPr>
          <w:rFonts w:ascii="Times New Roman" w:hAnsi="Times New Roman"/>
          <w:i/>
          <w:lang w:val="pt-BR"/>
        </w:rPr>
        <w:t>isador</w:t>
      </w:r>
    </w:p>
    <w:p w14:paraId="25C4B6F6" w14:textId="77777777" w:rsidR="00923894" w:rsidRDefault="00923894" w:rsidP="008455E7">
      <w:pPr>
        <w:pStyle w:val="TAMainText"/>
        <w:ind w:firstLine="284"/>
        <w:rPr>
          <w:rFonts w:ascii="Times New Roman" w:hAnsi="Times New Roman"/>
          <w:iCs/>
          <w:lang w:val="pt-BR"/>
        </w:rPr>
      </w:pPr>
      <w:r>
        <w:rPr>
          <w:rFonts w:ascii="Times New Roman" w:hAnsi="Times New Roman"/>
          <w:iCs/>
          <w:lang w:val="pt-BR"/>
        </w:rPr>
        <w:t>O catalisador utilizado foi um Cu/</w:t>
      </w:r>
      <w:proofErr w:type="spellStart"/>
      <w:r>
        <w:rPr>
          <w:rFonts w:ascii="Times New Roman" w:hAnsi="Times New Roman"/>
          <w:iCs/>
          <w:lang w:val="pt-BR"/>
        </w:rPr>
        <w:t>ZnO</w:t>
      </w:r>
      <w:proofErr w:type="spellEnd"/>
      <w:r>
        <w:rPr>
          <w:rFonts w:ascii="Times New Roman" w:hAnsi="Times New Roman"/>
          <w:iCs/>
          <w:lang w:val="pt-BR"/>
        </w:rPr>
        <w:t>/Al</w:t>
      </w:r>
      <w:r>
        <w:rPr>
          <w:rFonts w:ascii="Times New Roman" w:hAnsi="Times New Roman"/>
          <w:iCs/>
          <w:vertAlign w:val="subscript"/>
          <w:lang w:val="pt-BR"/>
        </w:rPr>
        <w:t>2</w:t>
      </w:r>
      <w:r>
        <w:rPr>
          <w:rFonts w:ascii="Times New Roman" w:hAnsi="Times New Roman"/>
          <w:iCs/>
          <w:lang w:val="pt-BR"/>
        </w:rPr>
        <w:t>O</w:t>
      </w:r>
      <w:r>
        <w:rPr>
          <w:rFonts w:ascii="Times New Roman" w:hAnsi="Times New Roman"/>
          <w:iCs/>
          <w:vertAlign w:val="subscript"/>
          <w:lang w:val="pt-BR"/>
        </w:rPr>
        <w:t>3</w:t>
      </w:r>
      <w:r>
        <w:rPr>
          <w:rFonts w:ascii="Times New Roman" w:hAnsi="Times New Roman"/>
          <w:iCs/>
          <w:lang w:val="pt-BR"/>
        </w:rPr>
        <w:t xml:space="preserve"> comercial (</w:t>
      </w:r>
      <w:proofErr w:type="spellStart"/>
      <w:r>
        <w:rPr>
          <w:rFonts w:ascii="Times New Roman" w:hAnsi="Times New Roman"/>
          <w:iCs/>
          <w:lang w:val="pt-BR"/>
        </w:rPr>
        <w:t>Prosint</w:t>
      </w:r>
      <w:proofErr w:type="spellEnd"/>
      <w:r>
        <w:rPr>
          <w:rFonts w:ascii="Times New Roman" w:hAnsi="Times New Roman"/>
          <w:iCs/>
          <w:lang w:val="pt-BR"/>
        </w:rPr>
        <w:t xml:space="preserve"> Química S. A.), com composição molar de 0,56; 0,28 e 0,16 de Cu, Zn e Al, respectivamente, a amostra fresca é denotada como CZA. Antes de cada teste, as amostras recebidas em pellets foram moídas até o aspecto de pó. Nenhum outro pré-tratamento foi realizado.</w:t>
      </w:r>
    </w:p>
    <w:p w14:paraId="06ABC5A0" w14:textId="77777777" w:rsidR="00B95B2E" w:rsidRPr="00923894" w:rsidRDefault="00B95B2E" w:rsidP="008455E7">
      <w:pPr>
        <w:pStyle w:val="TAMainText"/>
        <w:ind w:firstLine="284"/>
        <w:rPr>
          <w:rFonts w:ascii="Times New Roman" w:hAnsi="Times New Roman"/>
          <w:iCs/>
          <w:lang w:val="pt-BR"/>
        </w:rPr>
      </w:pPr>
    </w:p>
    <w:p w14:paraId="06C93ED4" w14:textId="77777777" w:rsidR="008455E7" w:rsidRDefault="00B95B2E" w:rsidP="00EA4E1B">
      <w:pPr>
        <w:pStyle w:val="TAMainText"/>
        <w:ind w:firstLine="0"/>
        <w:rPr>
          <w:rFonts w:ascii="Times New Roman" w:hAnsi="Times New Roman"/>
          <w:i/>
          <w:lang w:val="pt-BR"/>
        </w:rPr>
      </w:pPr>
      <w:r>
        <w:rPr>
          <w:rFonts w:ascii="Times New Roman" w:hAnsi="Times New Roman"/>
          <w:i/>
          <w:lang w:val="pt-BR"/>
        </w:rPr>
        <w:t>Testes catalíticos</w:t>
      </w:r>
    </w:p>
    <w:p w14:paraId="717C0B3A" w14:textId="53B968DD" w:rsidR="00B95B2E" w:rsidRPr="00FD3845" w:rsidRDefault="00FD3845" w:rsidP="00B95B2E">
      <w:pPr>
        <w:pStyle w:val="TAMainText"/>
        <w:ind w:firstLine="284"/>
        <w:rPr>
          <w:rFonts w:ascii="Times New Roman" w:hAnsi="Times New Roman"/>
          <w:bCs/>
          <w:color w:val="FF0000"/>
          <w:lang w:val="pt-BR"/>
        </w:rPr>
      </w:pPr>
      <w:r>
        <w:rPr>
          <w:rFonts w:ascii="Times New Roman" w:hAnsi="Times New Roman"/>
          <w:bCs/>
          <w:lang w:val="pt-BR"/>
        </w:rPr>
        <w:t xml:space="preserve">O desempenho </w:t>
      </w:r>
      <w:r w:rsidR="00B95B2E" w:rsidRPr="009A5200">
        <w:rPr>
          <w:rFonts w:ascii="Times New Roman" w:hAnsi="Times New Roman"/>
          <w:bCs/>
          <w:lang w:val="pt-BR"/>
        </w:rPr>
        <w:t>catalític</w:t>
      </w:r>
      <w:r>
        <w:rPr>
          <w:rFonts w:ascii="Times New Roman" w:hAnsi="Times New Roman"/>
          <w:bCs/>
          <w:lang w:val="pt-BR"/>
        </w:rPr>
        <w:t>o</w:t>
      </w:r>
      <w:r w:rsidR="00B95B2E" w:rsidRPr="009A5200">
        <w:rPr>
          <w:rFonts w:ascii="Times New Roman" w:hAnsi="Times New Roman"/>
          <w:bCs/>
          <w:lang w:val="pt-BR"/>
        </w:rPr>
        <w:t xml:space="preserve"> foi avaliad</w:t>
      </w:r>
      <w:r>
        <w:rPr>
          <w:rFonts w:ascii="Times New Roman" w:hAnsi="Times New Roman"/>
          <w:bCs/>
          <w:lang w:val="pt-BR"/>
        </w:rPr>
        <w:t>o</w:t>
      </w:r>
      <w:r w:rsidR="00B95B2E" w:rsidRPr="009A5200">
        <w:rPr>
          <w:rFonts w:ascii="Times New Roman" w:hAnsi="Times New Roman"/>
          <w:bCs/>
          <w:lang w:val="pt-BR"/>
        </w:rPr>
        <w:t xml:space="preserve"> em reator leito-fixo de aço inox (</w:t>
      </w:r>
      <w:proofErr w:type="spellStart"/>
      <w:r w:rsidR="00B95B2E" w:rsidRPr="009A5200">
        <w:rPr>
          <w:rFonts w:ascii="Times New Roman" w:hAnsi="Times New Roman"/>
          <w:bCs/>
          <w:lang w:val="pt-BR"/>
        </w:rPr>
        <w:t>i.d</w:t>
      </w:r>
      <w:proofErr w:type="spellEnd"/>
      <w:r w:rsidR="00B95B2E" w:rsidRPr="009A5200">
        <w:rPr>
          <w:rFonts w:ascii="Times New Roman" w:hAnsi="Times New Roman"/>
          <w:bCs/>
          <w:lang w:val="pt-BR"/>
        </w:rPr>
        <w:t xml:space="preserve">. = 1,2 cm). O catalisador CZA foi diluído em </w:t>
      </w:r>
      <w:proofErr w:type="spellStart"/>
      <w:r w:rsidR="00B95B2E" w:rsidRPr="009A5200">
        <w:rPr>
          <w:rFonts w:ascii="Times New Roman" w:hAnsi="Times New Roman"/>
          <w:bCs/>
          <w:lang w:val="pt-BR"/>
        </w:rPr>
        <w:t>SiC</w:t>
      </w:r>
      <w:proofErr w:type="spellEnd"/>
      <w:r w:rsidR="00B95B2E" w:rsidRPr="009A5200">
        <w:rPr>
          <w:rFonts w:ascii="Times New Roman" w:hAnsi="Times New Roman"/>
          <w:bCs/>
          <w:lang w:val="pt-BR"/>
        </w:rPr>
        <w:t xml:space="preserve"> (Sigma-Aldrich). Antes dos experimentos, as amostras foram reduzidas sob fluxo de H</w:t>
      </w:r>
      <w:r w:rsidR="00B95B2E" w:rsidRPr="00447B09">
        <w:rPr>
          <w:rFonts w:ascii="Times New Roman" w:hAnsi="Times New Roman"/>
          <w:bCs/>
          <w:vertAlign w:val="subscript"/>
          <w:lang w:val="pt-BR"/>
        </w:rPr>
        <w:t>2</w:t>
      </w:r>
      <w:r w:rsidR="00B95B2E" w:rsidRPr="009A5200">
        <w:rPr>
          <w:rFonts w:ascii="Times New Roman" w:hAnsi="Times New Roman"/>
          <w:bCs/>
          <w:lang w:val="pt-BR"/>
        </w:rPr>
        <w:t xml:space="preserve"> a 300 ºC por 1 h. O sistema foi então resfriado até 250 ºC. Os testes foram realizados usando razão molar de </w:t>
      </w:r>
      <w:r w:rsidR="00B95B2E" w:rsidRPr="00447B09">
        <w:rPr>
          <w:rFonts w:ascii="Times New Roman" w:hAnsi="Times New Roman"/>
          <w:bCs/>
          <w:lang w:val="pt-BR"/>
        </w:rPr>
        <w:t>H</w:t>
      </w:r>
      <w:r w:rsidR="00B95B2E" w:rsidRPr="00447B09">
        <w:rPr>
          <w:rFonts w:ascii="Times New Roman" w:hAnsi="Times New Roman"/>
          <w:bCs/>
          <w:vertAlign w:val="subscript"/>
          <w:lang w:val="pt-BR"/>
        </w:rPr>
        <w:t>2</w:t>
      </w:r>
      <w:r w:rsidR="00B95B2E" w:rsidRPr="00447B09">
        <w:rPr>
          <w:rFonts w:ascii="Times New Roman" w:hAnsi="Times New Roman"/>
          <w:bCs/>
          <w:lang w:val="pt-BR"/>
        </w:rPr>
        <w:t>/CO</w:t>
      </w:r>
      <w:r w:rsidR="00B95B2E" w:rsidRPr="00447B09">
        <w:rPr>
          <w:rFonts w:ascii="Times New Roman" w:hAnsi="Times New Roman"/>
          <w:bCs/>
          <w:vertAlign w:val="subscript"/>
          <w:lang w:val="pt-BR"/>
        </w:rPr>
        <w:t>2</w:t>
      </w:r>
      <w:r w:rsidR="00B95B2E" w:rsidRPr="00447B09">
        <w:rPr>
          <w:rFonts w:ascii="Times New Roman" w:hAnsi="Times New Roman"/>
          <w:bCs/>
          <w:lang w:val="pt-BR"/>
        </w:rPr>
        <w:t xml:space="preserve"> </w:t>
      </w:r>
      <w:r w:rsidR="00B95B2E" w:rsidRPr="009A5200">
        <w:rPr>
          <w:rFonts w:ascii="Times New Roman" w:hAnsi="Times New Roman"/>
          <w:bCs/>
          <w:lang w:val="pt-BR"/>
        </w:rPr>
        <w:t>= 3 (mistura comercial</w:t>
      </w:r>
      <w:r w:rsidR="00446441" w:rsidRPr="009A5200">
        <w:rPr>
          <w:rFonts w:ascii="Times New Roman" w:hAnsi="Times New Roman"/>
          <w:bCs/>
          <w:lang w:val="pt-BR"/>
        </w:rPr>
        <w:t xml:space="preserve"> – White Martins</w:t>
      </w:r>
      <w:r w:rsidR="00B95B2E" w:rsidRPr="009A5200">
        <w:rPr>
          <w:rFonts w:ascii="Times New Roman" w:hAnsi="Times New Roman"/>
          <w:bCs/>
          <w:lang w:val="pt-BR"/>
        </w:rPr>
        <w:t>). As reações foram realizadas em diferentes pressões, as amostras usadas foram denotadas como CZA-X, onde X é a pressão empregada: 1, 10, 20 e 30 bar. Os produtos gasosos foram analisados</w:t>
      </w:r>
      <w:r w:rsidR="00F803F3" w:rsidRPr="009A5200">
        <w:rPr>
          <w:rFonts w:ascii="Times New Roman" w:hAnsi="Times New Roman"/>
          <w:bCs/>
          <w:lang w:val="pt-BR"/>
        </w:rPr>
        <w:t xml:space="preserve"> online</w:t>
      </w:r>
      <w:r w:rsidR="00B95B2E" w:rsidRPr="009A5200">
        <w:rPr>
          <w:rFonts w:ascii="Times New Roman" w:hAnsi="Times New Roman"/>
          <w:bCs/>
          <w:lang w:val="pt-BR"/>
        </w:rPr>
        <w:t xml:space="preserve"> por </w:t>
      </w:r>
      <w:r w:rsidR="009F62DD">
        <w:rPr>
          <w:rFonts w:ascii="Times New Roman" w:hAnsi="Times New Roman"/>
          <w:bCs/>
          <w:lang w:val="pt-BR"/>
        </w:rPr>
        <w:t>Cromatógrafo a gás</w:t>
      </w:r>
      <w:r w:rsidR="00B95B2E" w:rsidRPr="009A5200">
        <w:rPr>
          <w:rFonts w:ascii="Times New Roman" w:hAnsi="Times New Roman"/>
          <w:bCs/>
          <w:lang w:val="pt-BR"/>
        </w:rPr>
        <w:t xml:space="preserve"> (CG</w:t>
      </w:r>
      <w:r w:rsidR="00F803F3" w:rsidRPr="009A5200">
        <w:rPr>
          <w:rFonts w:ascii="Times New Roman" w:hAnsi="Times New Roman"/>
          <w:bCs/>
          <w:lang w:val="pt-BR"/>
        </w:rPr>
        <w:t xml:space="preserve"> – </w:t>
      </w:r>
      <w:proofErr w:type="spellStart"/>
      <w:r w:rsidR="00F803F3" w:rsidRPr="009A5200">
        <w:rPr>
          <w:rFonts w:ascii="Times New Roman" w:hAnsi="Times New Roman"/>
          <w:bCs/>
          <w:lang w:val="pt-BR"/>
        </w:rPr>
        <w:t>Clarus</w:t>
      </w:r>
      <w:proofErr w:type="spellEnd"/>
      <w:r w:rsidR="00F803F3" w:rsidRPr="009A5200">
        <w:rPr>
          <w:rFonts w:ascii="Times New Roman" w:hAnsi="Times New Roman"/>
          <w:bCs/>
          <w:lang w:val="pt-BR"/>
        </w:rPr>
        <w:t xml:space="preserve"> 500 </w:t>
      </w:r>
      <w:proofErr w:type="spellStart"/>
      <w:r w:rsidR="00F803F3" w:rsidRPr="009A5200">
        <w:rPr>
          <w:rFonts w:ascii="Times New Roman" w:hAnsi="Times New Roman"/>
          <w:bCs/>
          <w:lang w:val="pt-BR"/>
        </w:rPr>
        <w:t>Perkin</w:t>
      </w:r>
      <w:proofErr w:type="spellEnd"/>
      <w:r w:rsidR="00F803F3" w:rsidRPr="009A5200">
        <w:rPr>
          <w:rFonts w:ascii="Times New Roman" w:hAnsi="Times New Roman"/>
          <w:bCs/>
          <w:lang w:val="pt-BR"/>
        </w:rPr>
        <w:t xml:space="preserve"> Elmer</w:t>
      </w:r>
      <w:r w:rsidR="00B95B2E" w:rsidRPr="009A5200">
        <w:rPr>
          <w:rFonts w:ascii="Times New Roman" w:hAnsi="Times New Roman"/>
          <w:bCs/>
          <w:lang w:val="pt-BR"/>
        </w:rPr>
        <w:t>)</w:t>
      </w:r>
      <w:r w:rsidR="00F803F3" w:rsidRPr="009A5200">
        <w:rPr>
          <w:rFonts w:ascii="Times New Roman" w:hAnsi="Times New Roman"/>
          <w:bCs/>
          <w:lang w:val="pt-BR"/>
        </w:rPr>
        <w:t xml:space="preserve"> equipado com</w:t>
      </w:r>
      <w:r>
        <w:rPr>
          <w:rFonts w:ascii="Times New Roman" w:hAnsi="Times New Roman"/>
          <w:bCs/>
          <w:lang w:val="pt-BR"/>
        </w:rPr>
        <w:t xml:space="preserve"> </w:t>
      </w:r>
      <w:r w:rsidRPr="009F62DD">
        <w:rPr>
          <w:rFonts w:ascii="Times New Roman" w:hAnsi="Times New Roman"/>
          <w:bCs/>
          <w:lang w:val="pt-BR"/>
        </w:rPr>
        <w:t>os detectores de condutividade térmica (</w:t>
      </w:r>
      <w:r w:rsidR="00F803F3" w:rsidRPr="009F62DD">
        <w:rPr>
          <w:rFonts w:ascii="Times New Roman" w:hAnsi="Times New Roman"/>
          <w:bCs/>
          <w:lang w:val="pt-BR"/>
        </w:rPr>
        <w:t>TCD</w:t>
      </w:r>
      <w:r w:rsidRPr="009F62DD">
        <w:rPr>
          <w:rFonts w:ascii="Times New Roman" w:hAnsi="Times New Roman"/>
          <w:bCs/>
          <w:lang w:val="pt-BR"/>
        </w:rPr>
        <w:t>)</w:t>
      </w:r>
      <w:r w:rsidR="00F803F3" w:rsidRPr="009F62DD">
        <w:rPr>
          <w:rFonts w:ascii="Times New Roman" w:hAnsi="Times New Roman"/>
          <w:bCs/>
          <w:lang w:val="pt-BR"/>
        </w:rPr>
        <w:t xml:space="preserve"> e</w:t>
      </w:r>
      <w:r w:rsidRPr="009F62DD">
        <w:rPr>
          <w:rFonts w:ascii="Times New Roman" w:hAnsi="Times New Roman"/>
          <w:bCs/>
          <w:lang w:val="pt-BR"/>
        </w:rPr>
        <w:t xml:space="preserve"> de i</w:t>
      </w:r>
      <w:r w:rsidR="009F62DD" w:rsidRPr="009F62DD">
        <w:rPr>
          <w:rFonts w:ascii="Times New Roman" w:hAnsi="Times New Roman"/>
          <w:bCs/>
          <w:lang w:val="pt-BR"/>
        </w:rPr>
        <w:t>o</w:t>
      </w:r>
      <w:r w:rsidRPr="009F62DD">
        <w:rPr>
          <w:rFonts w:ascii="Times New Roman" w:hAnsi="Times New Roman"/>
          <w:bCs/>
          <w:lang w:val="pt-BR"/>
        </w:rPr>
        <w:t>nização de chama (</w:t>
      </w:r>
      <w:r w:rsidR="00F803F3" w:rsidRPr="009F62DD">
        <w:rPr>
          <w:rFonts w:ascii="Times New Roman" w:hAnsi="Times New Roman"/>
          <w:bCs/>
          <w:lang w:val="pt-BR"/>
        </w:rPr>
        <w:t>FID</w:t>
      </w:r>
      <w:r w:rsidRPr="009F62DD">
        <w:rPr>
          <w:rFonts w:ascii="Times New Roman" w:hAnsi="Times New Roman"/>
          <w:bCs/>
          <w:lang w:val="pt-BR"/>
        </w:rPr>
        <w:t>)</w:t>
      </w:r>
      <w:r w:rsidR="00F803F3" w:rsidRPr="009F62DD">
        <w:rPr>
          <w:rFonts w:ascii="Times New Roman" w:hAnsi="Times New Roman"/>
          <w:bCs/>
          <w:lang w:val="pt-BR"/>
        </w:rPr>
        <w:t>.</w:t>
      </w:r>
      <w:r w:rsidR="00F803F3" w:rsidRPr="009A5200">
        <w:rPr>
          <w:rFonts w:ascii="Times New Roman" w:hAnsi="Times New Roman"/>
          <w:bCs/>
          <w:lang w:val="pt-BR"/>
        </w:rPr>
        <w:t xml:space="preserve"> Os produtos líquidos foram coletados após os testes e analisador em um CG </w:t>
      </w:r>
      <w:proofErr w:type="spellStart"/>
      <w:r w:rsidR="00F803F3" w:rsidRPr="009A5200">
        <w:rPr>
          <w:rFonts w:ascii="Times New Roman" w:hAnsi="Times New Roman"/>
          <w:bCs/>
          <w:lang w:val="pt-BR"/>
        </w:rPr>
        <w:t>Clarus</w:t>
      </w:r>
      <w:proofErr w:type="spellEnd"/>
      <w:r w:rsidR="00F803F3" w:rsidRPr="009A5200">
        <w:rPr>
          <w:rFonts w:ascii="Times New Roman" w:hAnsi="Times New Roman"/>
          <w:bCs/>
          <w:lang w:val="pt-BR"/>
        </w:rPr>
        <w:t xml:space="preserve"> 580 (</w:t>
      </w:r>
      <w:proofErr w:type="spellStart"/>
      <w:r w:rsidR="00F803F3" w:rsidRPr="009A5200">
        <w:rPr>
          <w:rFonts w:ascii="Times New Roman" w:hAnsi="Times New Roman"/>
          <w:bCs/>
          <w:lang w:val="pt-BR"/>
        </w:rPr>
        <w:t>Perkin</w:t>
      </w:r>
      <w:proofErr w:type="spellEnd"/>
      <w:r w:rsidR="00F803F3" w:rsidRPr="009A5200">
        <w:rPr>
          <w:rFonts w:ascii="Times New Roman" w:hAnsi="Times New Roman"/>
          <w:bCs/>
          <w:lang w:val="pt-BR"/>
        </w:rPr>
        <w:t xml:space="preserve">) usando </w:t>
      </w:r>
      <w:r w:rsidRPr="009F62DD">
        <w:rPr>
          <w:rFonts w:ascii="Times New Roman" w:hAnsi="Times New Roman"/>
          <w:bCs/>
          <w:lang w:val="pt-BR"/>
        </w:rPr>
        <w:t xml:space="preserve">o detector </w:t>
      </w:r>
      <w:r w:rsidR="00F803F3" w:rsidRPr="009F62DD">
        <w:rPr>
          <w:rFonts w:ascii="Times New Roman" w:hAnsi="Times New Roman"/>
          <w:bCs/>
          <w:lang w:val="pt-BR"/>
        </w:rPr>
        <w:t>FID</w:t>
      </w:r>
      <w:r w:rsidR="00F803F3" w:rsidRPr="009A5200">
        <w:rPr>
          <w:rFonts w:ascii="Times New Roman" w:hAnsi="Times New Roman"/>
          <w:bCs/>
          <w:lang w:val="pt-BR"/>
        </w:rPr>
        <w:t>. O desempenho do material foi avaliado em termos de conversão de CO</w:t>
      </w:r>
      <w:r w:rsidR="00F803F3" w:rsidRPr="0028703E">
        <w:rPr>
          <w:rFonts w:ascii="Times New Roman" w:hAnsi="Times New Roman"/>
          <w:bCs/>
          <w:vertAlign w:val="subscript"/>
          <w:lang w:val="pt-BR"/>
        </w:rPr>
        <w:t>2</w:t>
      </w:r>
      <w:r w:rsidR="00F803F3" w:rsidRPr="009A5200">
        <w:rPr>
          <w:rFonts w:ascii="Times New Roman" w:hAnsi="Times New Roman"/>
          <w:bCs/>
          <w:lang w:val="pt-BR"/>
        </w:rPr>
        <w:t xml:space="preserve"> (X</w:t>
      </w:r>
      <w:r w:rsidR="00F803F3" w:rsidRPr="0028703E">
        <w:rPr>
          <w:rFonts w:ascii="Times New Roman" w:hAnsi="Times New Roman"/>
          <w:bCs/>
          <w:vertAlign w:val="subscript"/>
          <w:lang w:val="pt-BR"/>
        </w:rPr>
        <w:t>CO2</w:t>
      </w:r>
      <w:r w:rsidR="00F803F3" w:rsidRPr="009A5200">
        <w:rPr>
          <w:rFonts w:ascii="Times New Roman" w:hAnsi="Times New Roman"/>
          <w:bCs/>
          <w:lang w:val="pt-BR"/>
        </w:rPr>
        <w:t>), rendimento a CO (Y</w:t>
      </w:r>
      <w:r w:rsidR="00F803F3" w:rsidRPr="0028703E">
        <w:rPr>
          <w:rFonts w:ascii="Times New Roman" w:hAnsi="Times New Roman"/>
          <w:bCs/>
          <w:vertAlign w:val="subscript"/>
          <w:lang w:val="pt-BR"/>
        </w:rPr>
        <w:t>CO</w:t>
      </w:r>
      <w:r w:rsidR="00F803F3" w:rsidRPr="009A5200">
        <w:rPr>
          <w:rFonts w:ascii="Times New Roman" w:hAnsi="Times New Roman"/>
          <w:bCs/>
          <w:lang w:val="pt-BR"/>
        </w:rPr>
        <w:t>) e produção de metanol (</w:t>
      </w:r>
      <w:r w:rsidR="00410894" w:rsidRPr="009A5200">
        <w:rPr>
          <w:rFonts w:ascii="Times New Roman" w:hAnsi="Times New Roman"/>
          <w:bCs/>
          <w:lang w:val="pt-BR"/>
        </w:rPr>
        <w:t>Space-Time-</w:t>
      </w:r>
      <w:proofErr w:type="spellStart"/>
      <w:r w:rsidR="00410894" w:rsidRPr="009A5200">
        <w:rPr>
          <w:rFonts w:ascii="Times New Roman" w:hAnsi="Times New Roman"/>
          <w:bCs/>
          <w:lang w:val="pt-BR"/>
        </w:rPr>
        <w:t>Yield</w:t>
      </w:r>
      <w:proofErr w:type="spellEnd"/>
      <w:r w:rsidR="00410894" w:rsidRPr="009A5200">
        <w:rPr>
          <w:rFonts w:ascii="Times New Roman" w:hAnsi="Times New Roman"/>
          <w:bCs/>
          <w:lang w:val="pt-BR"/>
        </w:rPr>
        <w:t xml:space="preserve"> (</w:t>
      </w:r>
      <w:r w:rsidR="00F803F3" w:rsidRPr="009A5200">
        <w:rPr>
          <w:rFonts w:ascii="Times New Roman" w:hAnsi="Times New Roman"/>
          <w:bCs/>
          <w:lang w:val="pt-BR"/>
        </w:rPr>
        <w:t>STY</w:t>
      </w:r>
      <w:r w:rsidR="00410894" w:rsidRPr="009A5200">
        <w:rPr>
          <w:rFonts w:ascii="Times New Roman" w:hAnsi="Times New Roman"/>
          <w:bCs/>
          <w:lang w:val="pt-BR"/>
        </w:rPr>
        <w:t>)</w:t>
      </w:r>
      <w:r w:rsidR="00F803F3" w:rsidRPr="009A5200">
        <w:rPr>
          <w:rFonts w:ascii="Times New Roman" w:hAnsi="Times New Roman"/>
          <w:bCs/>
          <w:lang w:val="pt-BR"/>
        </w:rPr>
        <w:t xml:space="preserve"> em </w:t>
      </w:r>
      <w:proofErr w:type="spellStart"/>
      <w:r w:rsidR="00F803F3" w:rsidRPr="009A5200">
        <w:rPr>
          <w:rFonts w:ascii="Times New Roman" w:hAnsi="Times New Roman"/>
          <w:bCs/>
          <w:lang w:val="pt-BR"/>
        </w:rPr>
        <w:t>mg</w:t>
      </w:r>
      <w:r w:rsidR="00F803F3" w:rsidRPr="0028703E">
        <w:rPr>
          <w:rFonts w:ascii="Times New Roman" w:hAnsi="Times New Roman"/>
          <w:bCs/>
          <w:vertAlign w:val="subscript"/>
          <w:lang w:val="pt-BR"/>
        </w:rPr>
        <w:t>MeOH</w:t>
      </w:r>
      <w:proofErr w:type="spellEnd"/>
      <w:r w:rsidR="00F803F3" w:rsidRPr="009A5200">
        <w:rPr>
          <w:rFonts w:ascii="Times New Roman" w:hAnsi="Times New Roman"/>
          <w:bCs/>
          <w:lang w:val="pt-BR"/>
        </w:rPr>
        <w:t>/</w:t>
      </w:r>
      <w:proofErr w:type="spellStart"/>
      <w:r w:rsidR="00F803F3" w:rsidRPr="009A5200">
        <w:rPr>
          <w:rFonts w:ascii="Times New Roman" w:hAnsi="Times New Roman"/>
          <w:bCs/>
          <w:lang w:val="pt-BR"/>
        </w:rPr>
        <w:t>g</w:t>
      </w:r>
      <w:r w:rsidR="00F803F3" w:rsidRPr="0028703E">
        <w:rPr>
          <w:rFonts w:ascii="Times New Roman" w:hAnsi="Times New Roman"/>
          <w:bCs/>
          <w:vertAlign w:val="subscript"/>
          <w:lang w:val="pt-BR"/>
        </w:rPr>
        <w:t>cat</w:t>
      </w:r>
      <w:r w:rsidR="00F803F3" w:rsidRPr="009A5200">
        <w:rPr>
          <w:rFonts w:ascii="Times New Roman" w:hAnsi="Times New Roman"/>
          <w:bCs/>
          <w:lang w:val="pt-BR"/>
        </w:rPr>
        <w:t>.h</w:t>
      </w:r>
      <w:proofErr w:type="spellEnd"/>
      <w:r w:rsidR="00F803F3" w:rsidRPr="009A5200">
        <w:rPr>
          <w:rFonts w:ascii="Times New Roman" w:hAnsi="Times New Roman"/>
          <w:bCs/>
          <w:lang w:val="pt-BR"/>
        </w:rPr>
        <w:t>).</w:t>
      </w:r>
    </w:p>
    <w:p w14:paraId="3EC7A376" w14:textId="77777777" w:rsidR="007E757C" w:rsidRDefault="007E757C" w:rsidP="00B95B2E">
      <w:pPr>
        <w:pStyle w:val="TAMainText"/>
        <w:ind w:firstLine="284"/>
        <w:rPr>
          <w:rFonts w:ascii="Times New Roman" w:hAnsi="Times New Roman"/>
          <w:iCs/>
          <w:lang w:val="pt-BR"/>
        </w:rPr>
      </w:pPr>
    </w:p>
    <w:p w14:paraId="05B588DE" w14:textId="77777777" w:rsidR="009F62DD" w:rsidRDefault="009F62DD" w:rsidP="00B95B2E">
      <w:pPr>
        <w:pStyle w:val="TAMainText"/>
        <w:ind w:firstLine="284"/>
        <w:rPr>
          <w:rFonts w:ascii="Times New Roman" w:hAnsi="Times New Roman"/>
          <w:iCs/>
          <w:lang w:val="pt-BR"/>
        </w:rPr>
      </w:pPr>
    </w:p>
    <w:p w14:paraId="469B7C43" w14:textId="77777777" w:rsidR="009F62DD" w:rsidRPr="005C30D8" w:rsidRDefault="009F62DD" w:rsidP="00B95B2E">
      <w:pPr>
        <w:pStyle w:val="TAMainText"/>
        <w:ind w:firstLine="284"/>
        <w:rPr>
          <w:rFonts w:ascii="Times New Roman" w:hAnsi="Times New Roman"/>
          <w:iCs/>
          <w:lang w:val="pt-BR"/>
        </w:rPr>
      </w:pPr>
    </w:p>
    <w:p w14:paraId="0BD6B538" w14:textId="77777777" w:rsidR="008455E7" w:rsidRDefault="00F803F3" w:rsidP="00EA4E1B">
      <w:pPr>
        <w:pStyle w:val="TAMainText"/>
        <w:ind w:firstLine="0"/>
        <w:rPr>
          <w:rFonts w:ascii="Times New Roman" w:hAnsi="Times New Roman"/>
          <w:iCs/>
          <w:lang w:val="pt-BR"/>
        </w:rPr>
      </w:pPr>
      <w:r>
        <w:rPr>
          <w:rFonts w:ascii="Times New Roman" w:hAnsi="Times New Roman"/>
          <w:i/>
          <w:lang w:val="pt-BR"/>
        </w:rPr>
        <w:t>Caracterização</w:t>
      </w:r>
    </w:p>
    <w:p w14:paraId="46F2E688" w14:textId="77777777" w:rsidR="005F4C50" w:rsidRDefault="005F4C50" w:rsidP="00EF6733">
      <w:pPr>
        <w:pStyle w:val="TAMainText"/>
        <w:ind w:firstLine="284"/>
        <w:rPr>
          <w:rFonts w:ascii="Times New Roman" w:hAnsi="Times New Roman"/>
          <w:iCs/>
          <w:lang w:val="pt-BR"/>
        </w:rPr>
      </w:pPr>
      <w:r>
        <w:rPr>
          <w:rFonts w:ascii="Times New Roman" w:hAnsi="Times New Roman"/>
          <w:iCs/>
          <w:lang w:val="pt-BR"/>
        </w:rPr>
        <w:t xml:space="preserve">Modificações na estrutura do catalisador foram avaliadas por Difração de Raios-X (DRX) usando fonte de </w:t>
      </w:r>
      <w:r>
        <w:rPr>
          <w:rFonts w:ascii="Times New Roman" w:hAnsi="Times New Roman"/>
          <w:iCs/>
          <w:lang w:val="pt-BR"/>
        </w:rPr>
        <w:t xml:space="preserve">radiação </w:t>
      </w:r>
      <w:proofErr w:type="spellStart"/>
      <w:r>
        <w:rPr>
          <w:rFonts w:ascii="Times New Roman" w:hAnsi="Times New Roman"/>
          <w:iCs/>
          <w:lang w:val="pt-BR"/>
        </w:rPr>
        <w:t>CuK</w:t>
      </w:r>
      <w:proofErr w:type="spellEnd"/>
      <w:r>
        <w:rPr>
          <w:rFonts w:ascii="Times New Roman" w:hAnsi="Times New Roman"/>
          <w:iCs/>
          <w:lang w:val="pt-BR"/>
        </w:rPr>
        <w:t xml:space="preserve">α no equipamento </w:t>
      </w:r>
      <w:proofErr w:type="spellStart"/>
      <w:r>
        <w:rPr>
          <w:rFonts w:ascii="Times New Roman" w:hAnsi="Times New Roman"/>
          <w:iCs/>
          <w:lang w:val="pt-BR"/>
        </w:rPr>
        <w:t>Panalytical</w:t>
      </w:r>
      <w:proofErr w:type="spellEnd"/>
      <w:r>
        <w:rPr>
          <w:rFonts w:ascii="Times New Roman" w:hAnsi="Times New Roman"/>
          <w:iCs/>
          <w:lang w:val="pt-BR"/>
        </w:rPr>
        <w:t xml:space="preserve"> </w:t>
      </w:r>
      <w:proofErr w:type="spellStart"/>
      <w:r>
        <w:rPr>
          <w:rFonts w:ascii="Times New Roman" w:hAnsi="Times New Roman"/>
          <w:iCs/>
          <w:lang w:val="pt-BR"/>
        </w:rPr>
        <w:t>Empyrean</w:t>
      </w:r>
      <w:proofErr w:type="spellEnd"/>
      <w:r>
        <w:rPr>
          <w:rFonts w:ascii="Times New Roman" w:hAnsi="Times New Roman"/>
          <w:iCs/>
          <w:lang w:val="pt-BR"/>
        </w:rPr>
        <w:t xml:space="preserve">, com 2θ = 5 – 90º (passo de 0,02). As micrografias foram coletadas por Microscopia Eletrônica de Varredura (MEV) em um TESCAN MIRA 3 equipado com Canhão de Emissão de Campo (FEG), operando a 20 kV, as magnificações usadas foram de 6,67 e 20,00 </w:t>
      </w:r>
      <w:proofErr w:type="spellStart"/>
      <w:r>
        <w:rPr>
          <w:rFonts w:ascii="Times New Roman" w:hAnsi="Times New Roman"/>
          <w:iCs/>
          <w:lang w:val="pt-BR"/>
        </w:rPr>
        <w:t>kx</w:t>
      </w:r>
      <w:proofErr w:type="spellEnd"/>
      <w:r>
        <w:rPr>
          <w:rFonts w:ascii="Times New Roman" w:hAnsi="Times New Roman"/>
          <w:iCs/>
          <w:lang w:val="pt-BR"/>
        </w:rPr>
        <w:t xml:space="preserve">. Os espectros Raman foram obtidos através do equipamento laboram HR Evolution </w:t>
      </w:r>
      <w:proofErr w:type="spellStart"/>
      <w:r>
        <w:rPr>
          <w:rFonts w:ascii="Times New Roman" w:hAnsi="Times New Roman"/>
          <w:iCs/>
          <w:lang w:val="pt-BR"/>
        </w:rPr>
        <w:t>mode</w:t>
      </w:r>
      <w:proofErr w:type="spellEnd"/>
      <w:r>
        <w:rPr>
          <w:rFonts w:ascii="Times New Roman" w:hAnsi="Times New Roman"/>
          <w:iCs/>
          <w:lang w:val="pt-BR"/>
        </w:rPr>
        <w:t xml:space="preserve"> (</w:t>
      </w:r>
      <w:proofErr w:type="spellStart"/>
      <w:r>
        <w:rPr>
          <w:rFonts w:ascii="Times New Roman" w:hAnsi="Times New Roman"/>
          <w:iCs/>
          <w:lang w:val="pt-BR"/>
        </w:rPr>
        <w:t>Horiba</w:t>
      </w:r>
      <w:proofErr w:type="spellEnd"/>
      <w:r>
        <w:rPr>
          <w:rFonts w:ascii="Times New Roman" w:hAnsi="Times New Roman"/>
          <w:iCs/>
          <w:lang w:val="pt-BR"/>
        </w:rPr>
        <w:t xml:space="preserve"> </w:t>
      </w:r>
      <w:proofErr w:type="spellStart"/>
      <w:r>
        <w:rPr>
          <w:rFonts w:ascii="Times New Roman" w:hAnsi="Times New Roman"/>
          <w:iCs/>
          <w:lang w:val="pt-BR"/>
        </w:rPr>
        <w:t>Scientifica</w:t>
      </w:r>
      <w:proofErr w:type="spellEnd"/>
      <w:r>
        <w:rPr>
          <w:rFonts w:ascii="Times New Roman" w:hAnsi="Times New Roman"/>
          <w:iCs/>
          <w:lang w:val="pt-BR"/>
        </w:rPr>
        <w:t xml:space="preserve">), com comprimento de onda de 514 </w:t>
      </w:r>
      <w:proofErr w:type="spellStart"/>
      <w:r>
        <w:rPr>
          <w:rFonts w:ascii="Times New Roman" w:hAnsi="Times New Roman"/>
          <w:iCs/>
          <w:lang w:val="pt-BR"/>
        </w:rPr>
        <w:t>nm</w:t>
      </w:r>
      <w:proofErr w:type="spellEnd"/>
      <w:r>
        <w:rPr>
          <w:rFonts w:ascii="Times New Roman" w:hAnsi="Times New Roman"/>
          <w:iCs/>
          <w:lang w:val="pt-BR"/>
        </w:rPr>
        <w:t>.</w:t>
      </w:r>
    </w:p>
    <w:p w14:paraId="6F82CA4B" w14:textId="77777777" w:rsidR="00EF6733" w:rsidRPr="00EF6733" w:rsidRDefault="00EF6733" w:rsidP="00EF6733">
      <w:pPr>
        <w:pStyle w:val="TAMainText"/>
        <w:ind w:firstLine="284"/>
        <w:rPr>
          <w:rFonts w:ascii="Times New Roman" w:hAnsi="Times New Roman"/>
          <w:iCs/>
          <w:lang w:val="pt-BR"/>
        </w:rPr>
      </w:pPr>
    </w:p>
    <w:p w14:paraId="079785C0"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Result</w:t>
      </w:r>
      <w:r w:rsidR="00214913">
        <w:rPr>
          <w:rFonts w:ascii="Helvetica" w:hAnsi="Helvetica" w:cs="Helvetica"/>
          <w:sz w:val="24"/>
          <w:szCs w:val="24"/>
        </w:rPr>
        <w:t>ados</w:t>
      </w:r>
      <w:r w:rsidR="00687E73">
        <w:rPr>
          <w:rFonts w:ascii="Helvetica" w:hAnsi="Helvetica" w:cs="Helvetica"/>
          <w:sz w:val="24"/>
          <w:szCs w:val="24"/>
        </w:rPr>
        <w:t xml:space="preserve"> </w:t>
      </w:r>
      <w:r w:rsidR="00214913">
        <w:rPr>
          <w:rFonts w:ascii="Helvetica" w:hAnsi="Helvetica" w:cs="Helvetica"/>
          <w:sz w:val="24"/>
          <w:szCs w:val="24"/>
        </w:rPr>
        <w:t>e</w:t>
      </w:r>
      <w:r w:rsidR="00687E73">
        <w:rPr>
          <w:rFonts w:ascii="Helvetica" w:hAnsi="Helvetica" w:cs="Helvetica"/>
          <w:sz w:val="24"/>
          <w:szCs w:val="24"/>
        </w:rPr>
        <w:t xml:space="preserve"> Discu</w:t>
      </w:r>
      <w:r w:rsidR="00214913">
        <w:rPr>
          <w:rFonts w:ascii="Helvetica" w:hAnsi="Helvetica" w:cs="Helvetica"/>
          <w:sz w:val="24"/>
          <w:szCs w:val="24"/>
        </w:rPr>
        <w:t>ssão</w:t>
      </w:r>
    </w:p>
    <w:p w14:paraId="5AF2DCCE" w14:textId="77777777" w:rsidR="00106CD8" w:rsidRPr="00106CD8" w:rsidRDefault="00214913" w:rsidP="00106CD8">
      <w:pPr>
        <w:pStyle w:val="TAMainText"/>
        <w:ind w:firstLine="0"/>
        <w:rPr>
          <w:rFonts w:ascii="Times New Roman" w:hAnsi="Times New Roman"/>
          <w:i/>
          <w:iCs/>
          <w:lang w:val="pt-BR"/>
        </w:rPr>
      </w:pPr>
      <w:r>
        <w:rPr>
          <w:rFonts w:ascii="Times New Roman" w:hAnsi="Times New Roman"/>
          <w:i/>
          <w:iCs/>
          <w:lang w:val="pt-BR"/>
        </w:rPr>
        <w:t>Testes catalíticos</w:t>
      </w:r>
    </w:p>
    <w:p w14:paraId="320DC4AC" w14:textId="77777777" w:rsidR="00657100" w:rsidRPr="00160D19" w:rsidRDefault="00657100" w:rsidP="00A023BD">
      <w:pPr>
        <w:pStyle w:val="TAMainText"/>
        <w:ind w:firstLine="284"/>
        <w:rPr>
          <w:rFonts w:ascii="Times New Roman" w:hAnsi="Times New Roman"/>
          <w:lang w:val="pt-BR"/>
        </w:rPr>
      </w:pPr>
      <w:r>
        <w:rPr>
          <w:rFonts w:ascii="Times New Roman" w:hAnsi="Times New Roman"/>
          <w:lang w:val="pt-BR"/>
        </w:rPr>
        <w:t>Inicialmente, foi avaliado o efeito da velocidade espacial (GHSV) em 4600 e 2900 h</w:t>
      </w:r>
      <w:r w:rsidRPr="000C66F4">
        <w:rPr>
          <w:rFonts w:ascii="Times New Roman" w:hAnsi="Times New Roman"/>
          <w:vertAlign w:val="superscript"/>
          <w:lang w:val="pt-BR"/>
        </w:rPr>
        <w:t>-1</w:t>
      </w:r>
      <w:r>
        <w:rPr>
          <w:rFonts w:ascii="Times New Roman" w:hAnsi="Times New Roman"/>
          <w:lang w:val="pt-BR"/>
        </w:rPr>
        <w:t xml:space="preserve"> (Tabela 1) sobre a </w:t>
      </w:r>
      <w:r w:rsidR="003A70AD">
        <w:rPr>
          <w:rFonts w:ascii="Times New Roman" w:hAnsi="Times New Roman"/>
          <w:lang w:val="pt-BR"/>
        </w:rPr>
        <w:t>conversão de CO</w:t>
      </w:r>
      <w:r w:rsidR="003A70AD">
        <w:rPr>
          <w:rFonts w:ascii="Times New Roman" w:hAnsi="Times New Roman"/>
          <w:vertAlign w:val="subscript"/>
          <w:lang w:val="pt-BR"/>
        </w:rPr>
        <w:t>2</w:t>
      </w:r>
      <w:r w:rsidR="003A70AD">
        <w:rPr>
          <w:rFonts w:ascii="Times New Roman" w:hAnsi="Times New Roman"/>
          <w:lang w:val="pt-BR"/>
        </w:rPr>
        <w:t xml:space="preserve"> (</w:t>
      </w:r>
      <w:r>
        <w:rPr>
          <w:rFonts w:ascii="Times New Roman" w:hAnsi="Times New Roman"/>
          <w:lang w:val="pt-BR"/>
        </w:rPr>
        <w:t>X</w:t>
      </w:r>
      <w:r w:rsidRPr="00657100">
        <w:rPr>
          <w:rFonts w:ascii="Times New Roman" w:hAnsi="Times New Roman"/>
          <w:vertAlign w:val="subscript"/>
          <w:lang w:val="pt-BR"/>
        </w:rPr>
        <w:t>CO2</w:t>
      </w:r>
      <w:r w:rsidR="003A70AD">
        <w:rPr>
          <w:rFonts w:ascii="Times New Roman" w:hAnsi="Times New Roman"/>
          <w:lang w:val="pt-BR"/>
        </w:rPr>
        <w:t>)</w:t>
      </w:r>
      <w:r>
        <w:rPr>
          <w:rFonts w:ascii="Times New Roman" w:hAnsi="Times New Roman"/>
          <w:lang w:val="pt-BR"/>
        </w:rPr>
        <w:t xml:space="preserve">, rendimento </w:t>
      </w:r>
      <w:r w:rsidR="00854810">
        <w:rPr>
          <w:rFonts w:ascii="Times New Roman" w:hAnsi="Times New Roman"/>
          <w:lang w:val="pt-BR"/>
        </w:rPr>
        <w:t>a metanol</w:t>
      </w:r>
      <w:r w:rsidR="00160D19">
        <w:rPr>
          <w:rFonts w:ascii="Times New Roman" w:hAnsi="Times New Roman"/>
          <w:lang w:val="pt-BR"/>
        </w:rPr>
        <w:t xml:space="preserve"> </w:t>
      </w:r>
      <w:r w:rsidR="00854810">
        <w:rPr>
          <w:rFonts w:ascii="Times New Roman" w:hAnsi="Times New Roman"/>
          <w:lang w:val="pt-BR"/>
        </w:rPr>
        <w:t>e DME</w:t>
      </w:r>
      <w:r w:rsidR="00160D19">
        <w:rPr>
          <w:rFonts w:ascii="Times New Roman" w:hAnsi="Times New Roman"/>
          <w:lang w:val="pt-BR"/>
        </w:rPr>
        <w:t xml:space="preserve"> (Y</w:t>
      </w:r>
      <w:r w:rsidR="00160D19">
        <w:rPr>
          <w:rFonts w:ascii="Times New Roman" w:hAnsi="Times New Roman"/>
          <w:vertAlign w:val="subscript"/>
          <w:lang w:val="pt-BR"/>
        </w:rPr>
        <w:t>DME</w:t>
      </w:r>
      <w:r w:rsidR="00160D19">
        <w:rPr>
          <w:rFonts w:ascii="Times New Roman" w:hAnsi="Times New Roman"/>
          <w:lang w:val="pt-BR"/>
        </w:rPr>
        <w:t>)</w:t>
      </w:r>
      <w:r w:rsidR="00854810">
        <w:rPr>
          <w:rFonts w:ascii="Times New Roman" w:hAnsi="Times New Roman"/>
          <w:lang w:val="pt-BR"/>
        </w:rPr>
        <w:t xml:space="preserve">. O rendimento a metanol foi avaliado pela razão da massa de metanol formada </w:t>
      </w:r>
      <w:r w:rsidR="005037FB">
        <w:rPr>
          <w:rFonts w:ascii="Times New Roman" w:hAnsi="Times New Roman"/>
          <w:lang w:val="pt-BR"/>
        </w:rPr>
        <w:t>pela</w:t>
      </w:r>
      <w:r w:rsidR="00854810">
        <w:rPr>
          <w:rFonts w:ascii="Times New Roman" w:hAnsi="Times New Roman"/>
          <w:lang w:val="pt-BR"/>
        </w:rPr>
        <w:t xml:space="preserve"> massa de catalisador e o tempo </w:t>
      </w:r>
      <w:r w:rsidR="005037FB">
        <w:rPr>
          <w:rFonts w:ascii="Times New Roman" w:hAnsi="Times New Roman"/>
          <w:lang w:val="pt-BR"/>
        </w:rPr>
        <w:t>de reação</w:t>
      </w:r>
      <w:r w:rsidR="00854810">
        <w:rPr>
          <w:rFonts w:ascii="Times New Roman" w:hAnsi="Times New Roman"/>
          <w:lang w:val="pt-BR"/>
        </w:rPr>
        <w:t xml:space="preserve">, ou seja, uma uniformização para a comparação com resultados da literatura, o chamado </w:t>
      </w:r>
      <w:r w:rsidR="00854810" w:rsidRPr="00854810">
        <w:rPr>
          <w:rFonts w:ascii="Times New Roman" w:hAnsi="Times New Roman"/>
          <w:i/>
          <w:lang w:val="pt-BR"/>
        </w:rPr>
        <w:t xml:space="preserve">Space Time </w:t>
      </w:r>
      <w:proofErr w:type="spellStart"/>
      <w:r w:rsidR="00854810" w:rsidRPr="00854810">
        <w:rPr>
          <w:rFonts w:ascii="Times New Roman" w:hAnsi="Times New Roman"/>
          <w:i/>
          <w:lang w:val="pt-BR"/>
        </w:rPr>
        <w:t>Yield</w:t>
      </w:r>
      <w:proofErr w:type="spellEnd"/>
      <w:r w:rsidR="00854810" w:rsidRPr="00854810">
        <w:rPr>
          <w:rFonts w:ascii="Times New Roman" w:hAnsi="Times New Roman"/>
          <w:i/>
          <w:lang w:val="pt-BR"/>
        </w:rPr>
        <w:t xml:space="preserve"> (STY)</w:t>
      </w:r>
      <w:r w:rsidR="00854810">
        <w:rPr>
          <w:rFonts w:ascii="Times New Roman" w:hAnsi="Times New Roman"/>
          <w:lang w:val="pt-BR"/>
        </w:rPr>
        <w:t>.</w:t>
      </w:r>
      <w:r w:rsidR="00160D19">
        <w:rPr>
          <w:rFonts w:ascii="Times New Roman" w:hAnsi="Times New Roman"/>
          <w:lang w:val="pt-BR"/>
        </w:rPr>
        <w:t xml:space="preserve"> </w:t>
      </w:r>
      <w:r w:rsidR="00160D19" w:rsidRPr="009F62DD">
        <w:rPr>
          <w:rFonts w:ascii="Times New Roman" w:hAnsi="Times New Roman"/>
          <w:lang w:val="pt-BR"/>
        </w:rPr>
        <w:t>Foi avaliado também o rendimento a CO (Y</w:t>
      </w:r>
      <w:r w:rsidR="00160D19" w:rsidRPr="009F62DD">
        <w:rPr>
          <w:rFonts w:ascii="Times New Roman" w:hAnsi="Times New Roman"/>
          <w:vertAlign w:val="subscript"/>
          <w:lang w:val="pt-BR"/>
        </w:rPr>
        <w:t>CO</w:t>
      </w:r>
      <w:r w:rsidR="00160D19" w:rsidRPr="009F62DD">
        <w:rPr>
          <w:rFonts w:ascii="Times New Roman" w:hAnsi="Times New Roman"/>
          <w:lang w:val="pt-BR"/>
        </w:rPr>
        <w:t>), formado a partir da reação reversa do deslocamento do gás-água (</w:t>
      </w:r>
      <w:r w:rsidR="00160D19" w:rsidRPr="009F62DD">
        <w:rPr>
          <w:rFonts w:ascii="Times New Roman" w:hAnsi="Times New Roman"/>
          <w:i/>
          <w:lang w:val="pt-BR"/>
        </w:rPr>
        <w:t xml:space="preserve">reverse </w:t>
      </w:r>
      <w:proofErr w:type="spellStart"/>
      <w:r w:rsidR="00160D19" w:rsidRPr="009F62DD">
        <w:rPr>
          <w:rFonts w:ascii="Times New Roman" w:hAnsi="Times New Roman"/>
          <w:i/>
          <w:lang w:val="pt-BR"/>
        </w:rPr>
        <w:t>water</w:t>
      </w:r>
      <w:proofErr w:type="spellEnd"/>
      <w:r w:rsidR="00160D19" w:rsidRPr="009F62DD">
        <w:rPr>
          <w:rFonts w:ascii="Times New Roman" w:hAnsi="Times New Roman"/>
          <w:i/>
          <w:lang w:val="pt-BR"/>
        </w:rPr>
        <w:t xml:space="preserve"> </w:t>
      </w:r>
      <w:proofErr w:type="spellStart"/>
      <w:r w:rsidR="00160D19" w:rsidRPr="009F62DD">
        <w:rPr>
          <w:rFonts w:ascii="Times New Roman" w:hAnsi="Times New Roman"/>
          <w:i/>
          <w:lang w:val="pt-BR"/>
        </w:rPr>
        <w:t>gas</w:t>
      </w:r>
      <w:proofErr w:type="spellEnd"/>
      <w:r w:rsidR="00160D19" w:rsidRPr="009F62DD">
        <w:rPr>
          <w:rFonts w:ascii="Times New Roman" w:hAnsi="Times New Roman"/>
          <w:i/>
          <w:lang w:val="pt-BR"/>
        </w:rPr>
        <w:t xml:space="preserve"> shift</w:t>
      </w:r>
      <w:r w:rsidR="00160D19" w:rsidRPr="009F62DD">
        <w:rPr>
          <w:rFonts w:ascii="Times New Roman" w:hAnsi="Times New Roman"/>
          <w:lang w:val="pt-BR"/>
        </w:rPr>
        <w:t xml:space="preserve"> – RWGS) indesejada.</w:t>
      </w:r>
      <w:r w:rsidR="00126DCD" w:rsidRPr="009F62DD">
        <w:rPr>
          <w:rFonts w:ascii="Times New Roman" w:hAnsi="Times New Roman"/>
          <w:lang w:val="pt-BR"/>
        </w:rPr>
        <w:t xml:space="preserve"> Na tabela, os valores fora dos parênteses correspondem aos dados obtidos após 3 h de reação, enquanto os valores entre parênteses foram obtidos após o fim do regime transiente (30 min de reação).</w:t>
      </w:r>
    </w:p>
    <w:p w14:paraId="553EBB4C" w14:textId="77777777" w:rsidR="00854810" w:rsidRPr="00BC79F2" w:rsidRDefault="00854810" w:rsidP="00A023BD">
      <w:pPr>
        <w:pStyle w:val="TAMainText"/>
        <w:ind w:firstLine="284"/>
        <w:rPr>
          <w:rFonts w:ascii="Times New Roman" w:hAnsi="Times New Roman"/>
          <w:b/>
          <w:i/>
          <w:lang w:val="pt-BR"/>
        </w:rPr>
      </w:pPr>
    </w:p>
    <w:p w14:paraId="62A43104" w14:textId="77777777" w:rsidR="00854810" w:rsidRPr="003A70AD" w:rsidRDefault="00854810" w:rsidP="000B33E0">
      <w:pPr>
        <w:pStyle w:val="VDTableTitle"/>
        <w:rPr>
          <w:lang w:val="pt-BR"/>
        </w:rPr>
      </w:pPr>
      <w:r w:rsidRPr="003A70AD">
        <w:rPr>
          <w:b/>
          <w:lang w:val="pt-BR"/>
        </w:rPr>
        <w:t>Tab</w:t>
      </w:r>
      <w:r w:rsidR="00476DE7" w:rsidRPr="003A70AD">
        <w:rPr>
          <w:b/>
          <w:lang w:val="pt-BR"/>
        </w:rPr>
        <w:t>e</w:t>
      </w:r>
      <w:r w:rsidRPr="003A70AD">
        <w:rPr>
          <w:b/>
          <w:lang w:val="pt-BR"/>
        </w:rPr>
        <w:t>l</w:t>
      </w:r>
      <w:r w:rsidR="00476DE7" w:rsidRPr="003A70AD">
        <w:rPr>
          <w:b/>
          <w:lang w:val="pt-BR"/>
        </w:rPr>
        <w:t>a</w:t>
      </w:r>
      <w:r w:rsidRPr="003A70AD">
        <w:rPr>
          <w:b/>
          <w:lang w:val="pt-BR"/>
        </w:rPr>
        <w:t xml:space="preserve"> 1</w:t>
      </w:r>
      <w:r w:rsidR="00495E45" w:rsidRPr="003A70AD">
        <w:rPr>
          <w:b/>
          <w:lang w:val="pt-BR"/>
        </w:rPr>
        <w:t xml:space="preserve">. </w:t>
      </w:r>
      <w:r w:rsidRPr="003A70AD">
        <w:rPr>
          <w:lang w:val="pt-BR"/>
        </w:rPr>
        <w:t>Efeito da GHSV sobre o desempenho do catalisador</w:t>
      </w:r>
    </w:p>
    <w:tbl>
      <w:tblPr>
        <w:tblStyle w:val="Tabelacomgrade"/>
        <w:tblW w:w="0" w:type="auto"/>
        <w:jc w:val="center"/>
        <w:tblLook w:val="04A0" w:firstRow="1" w:lastRow="0" w:firstColumn="1" w:lastColumn="0" w:noHBand="0" w:noVBand="1"/>
      </w:tblPr>
      <w:tblGrid>
        <w:gridCol w:w="923"/>
        <w:gridCol w:w="781"/>
        <w:gridCol w:w="1522"/>
        <w:gridCol w:w="808"/>
        <w:gridCol w:w="724"/>
      </w:tblGrid>
      <w:tr w:rsidR="00854810" w:rsidRPr="00854810" w14:paraId="225B8427" w14:textId="77777777" w:rsidTr="00F324A1">
        <w:trPr>
          <w:jc w:val="center"/>
        </w:trPr>
        <w:tc>
          <w:tcPr>
            <w:tcW w:w="1757" w:type="dxa"/>
            <w:tcBorders>
              <w:top w:val="single" w:sz="12" w:space="0" w:color="000000" w:themeColor="text1"/>
              <w:left w:val="single" w:sz="4" w:space="0" w:color="FFFFFF" w:themeColor="background1"/>
              <w:bottom w:val="single" w:sz="8" w:space="0" w:color="000000" w:themeColor="text1"/>
              <w:right w:val="single" w:sz="4" w:space="0" w:color="FFFFFF" w:themeColor="background1"/>
            </w:tcBorders>
          </w:tcPr>
          <w:p w14:paraId="4FF9618F" w14:textId="77777777" w:rsidR="00854810" w:rsidRPr="000B33E0" w:rsidRDefault="00854810" w:rsidP="00F324A1">
            <w:pPr>
              <w:spacing w:line="360" w:lineRule="auto"/>
              <w:jc w:val="center"/>
              <w:rPr>
                <w:b/>
                <w:bCs/>
              </w:rPr>
            </w:pPr>
            <w:r w:rsidRPr="000B33E0">
              <w:rPr>
                <w:b/>
                <w:bCs/>
              </w:rPr>
              <w:t>GHSV (h</w:t>
            </w:r>
            <w:r w:rsidRPr="000B33E0">
              <w:rPr>
                <w:b/>
                <w:bCs/>
                <w:vertAlign w:val="superscript"/>
              </w:rPr>
              <w:t>-1</w:t>
            </w:r>
            <w:r w:rsidRPr="000B33E0">
              <w:rPr>
                <w:b/>
                <w:bCs/>
              </w:rPr>
              <w:t>)</w:t>
            </w:r>
          </w:p>
        </w:tc>
        <w:tc>
          <w:tcPr>
            <w:tcW w:w="1732" w:type="dxa"/>
            <w:tcBorders>
              <w:top w:val="single" w:sz="12" w:space="0" w:color="000000" w:themeColor="text1"/>
              <w:left w:val="single" w:sz="4" w:space="0" w:color="FFFFFF" w:themeColor="background1"/>
              <w:bottom w:val="single" w:sz="8" w:space="0" w:color="000000" w:themeColor="text1"/>
              <w:right w:val="single" w:sz="4" w:space="0" w:color="FFFFFF" w:themeColor="background1"/>
            </w:tcBorders>
          </w:tcPr>
          <w:p w14:paraId="2D209580" w14:textId="77777777" w:rsidR="00854810" w:rsidRPr="000B33E0" w:rsidRDefault="00854810" w:rsidP="00F324A1">
            <w:pPr>
              <w:spacing w:line="360" w:lineRule="auto"/>
              <w:jc w:val="center"/>
              <w:rPr>
                <w:b/>
                <w:bCs/>
              </w:rPr>
            </w:pPr>
            <w:r w:rsidRPr="000B33E0">
              <w:rPr>
                <w:b/>
                <w:bCs/>
              </w:rPr>
              <w:t>X</w:t>
            </w:r>
            <w:r w:rsidRPr="000B33E0">
              <w:rPr>
                <w:b/>
                <w:bCs/>
                <w:vertAlign w:val="subscript"/>
              </w:rPr>
              <w:t>CO2</w:t>
            </w:r>
          </w:p>
          <w:p w14:paraId="56140E37" w14:textId="77777777" w:rsidR="00854810" w:rsidRPr="000B33E0" w:rsidRDefault="00854810" w:rsidP="00F324A1">
            <w:pPr>
              <w:spacing w:line="360" w:lineRule="auto"/>
              <w:jc w:val="center"/>
              <w:rPr>
                <w:b/>
                <w:bCs/>
              </w:rPr>
            </w:pPr>
            <w:r w:rsidRPr="000B33E0">
              <w:rPr>
                <w:b/>
                <w:bCs/>
              </w:rPr>
              <w:t>(%)</w:t>
            </w:r>
          </w:p>
        </w:tc>
        <w:tc>
          <w:tcPr>
            <w:tcW w:w="1846" w:type="dxa"/>
            <w:tcBorders>
              <w:top w:val="single" w:sz="12" w:space="0" w:color="000000" w:themeColor="text1"/>
              <w:left w:val="single" w:sz="4" w:space="0" w:color="FFFFFF" w:themeColor="background1"/>
              <w:bottom w:val="single" w:sz="8" w:space="0" w:color="000000" w:themeColor="text1"/>
              <w:right w:val="single" w:sz="4" w:space="0" w:color="FFFFFF" w:themeColor="background1"/>
            </w:tcBorders>
          </w:tcPr>
          <w:p w14:paraId="5A722F18" w14:textId="77777777" w:rsidR="00854810" w:rsidRPr="000B33E0" w:rsidRDefault="00854810" w:rsidP="00F324A1">
            <w:pPr>
              <w:spacing w:line="360" w:lineRule="auto"/>
              <w:jc w:val="center"/>
              <w:rPr>
                <w:b/>
                <w:bCs/>
              </w:rPr>
            </w:pPr>
            <w:r w:rsidRPr="000B33E0">
              <w:rPr>
                <w:b/>
                <w:bCs/>
              </w:rPr>
              <w:t>STY (</w:t>
            </w:r>
            <w:proofErr w:type="spellStart"/>
            <w:r w:rsidRPr="000B33E0">
              <w:rPr>
                <w:b/>
                <w:bCs/>
              </w:rPr>
              <w:t>mg</w:t>
            </w:r>
            <w:r w:rsidRPr="000B33E0">
              <w:rPr>
                <w:b/>
                <w:bCs/>
                <w:vertAlign w:val="subscript"/>
              </w:rPr>
              <w:t>meOH</w:t>
            </w:r>
            <w:proofErr w:type="spellEnd"/>
            <w:r w:rsidRPr="000B33E0">
              <w:rPr>
                <w:b/>
                <w:bCs/>
              </w:rPr>
              <w:t>/</w:t>
            </w:r>
            <w:proofErr w:type="spellStart"/>
            <w:r w:rsidRPr="000B33E0">
              <w:rPr>
                <w:b/>
                <w:bCs/>
              </w:rPr>
              <w:t>g</w:t>
            </w:r>
            <w:r w:rsidR="005037FB" w:rsidRPr="000B33E0">
              <w:rPr>
                <w:b/>
                <w:bCs/>
                <w:vertAlign w:val="subscript"/>
              </w:rPr>
              <w:t>cat</w:t>
            </w:r>
            <w:r w:rsidRPr="000B33E0">
              <w:rPr>
                <w:b/>
                <w:bCs/>
              </w:rPr>
              <w:t>.h</w:t>
            </w:r>
            <w:proofErr w:type="spellEnd"/>
            <w:r w:rsidRPr="000B33E0">
              <w:rPr>
                <w:b/>
                <w:bCs/>
              </w:rPr>
              <w:t>)</w:t>
            </w:r>
          </w:p>
        </w:tc>
        <w:tc>
          <w:tcPr>
            <w:tcW w:w="1665" w:type="dxa"/>
            <w:tcBorders>
              <w:top w:val="single" w:sz="12" w:space="0" w:color="000000" w:themeColor="text1"/>
              <w:left w:val="single" w:sz="4" w:space="0" w:color="FFFFFF" w:themeColor="background1"/>
              <w:bottom w:val="single" w:sz="8" w:space="0" w:color="000000" w:themeColor="text1"/>
              <w:right w:val="single" w:sz="4" w:space="0" w:color="FFFFFF" w:themeColor="background1"/>
            </w:tcBorders>
          </w:tcPr>
          <w:p w14:paraId="698580C3" w14:textId="77777777" w:rsidR="00854810" w:rsidRPr="000B33E0" w:rsidRDefault="00854810" w:rsidP="00F324A1">
            <w:pPr>
              <w:spacing w:line="360" w:lineRule="auto"/>
              <w:jc w:val="center"/>
              <w:rPr>
                <w:b/>
                <w:bCs/>
              </w:rPr>
            </w:pPr>
            <w:r w:rsidRPr="000B33E0">
              <w:rPr>
                <w:b/>
                <w:bCs/>
              </w:rPr>
              <w:t>Y</w:t>
            </w:r>
            <w:r w:rsidRPr="00160D19">
              <w:rPr>
                <w:b/>
                <w:bCs/>
                <w:vertAlign w:val="subscript"/>
              </w:rPr>
              <w:t>DME</w:t>
            </w:r>
            <w:r w:rsidRPr="000B33E0">
              <w:rPr>
                <w:b/>
                <w:bCs/>
              </w:rPr>
              <w:t xml:space="preserve"> (%)</w:t>
            </w:r>
          </w:p>
        </w:tc>
        <w:tc>
          <w:tcPr>
            <w:tcW w:w="1720" w:type="dxa"/>
            <w:tcBorders>
              <w:top w:val="single" w:sz="12" w:space="0" w:color="000000" w:themeColor="text1"/>
              <w:left w:val="single" w:sz="4" w:space="0" w:color="FFFFFF" w:themeColor="background1"/>
              <w:bottom w:val="single" w:sz="8" w:space="0" w:color="000000" w:themeColor="text1"/>
              <w:right w:val="single" w:sz="4" w:space="0" w:color="FFFFFF" w:themeColor="background1"/>
            </w:tcBorders>
          </w:tcPr>
          <w:p w14:paraId="41A998E6" w14:textId="77777777" w:rsidR="00854810" w:rsidRPr="000B33E0" w:rsidRDefault="00854810" w:rsidP="00F324A1">
            <w:pPr>
              <w:spacing w:line="360" w:lineRule="auto"/>
              <w:jc w:val="center"/>
              <w:rPr>
                <w:b/>
                <w:bCs/>
              </w:rPr>
            </w:pPr>
            <w:r w:rsidRPr="000B33E0">
              <w:rPr>
                <w:b/>
                <w:bCs/>
              </w:rPr>
              <w:t>Y</w:t>
            </w:r>
            <w:r w:rsidRPr="00160D19">
              <w:rPr>
                <w:b/>
                <w:bCs/>
                <w:vertAlign w:val="subscript"/>
              </w:rPr>
              <w:t>CO</w:t>
            </w:r>
            <w:r w:rsidRPr="000B33E0">
              <w:rPr>
                <w:b/>
                <w:bCs/>
              </w:rPr>
              <w:t xml:space="preserve"> (%)</w:t>
            </w:r>
          </w:p>
        </w:tc>
      </w:tr>
      <w:tr w:rsidR="00854810" w:rsidRPr="00854810" w14:paraId="440F5513" w14:textId="77777777" w:rsidTr="00F324A1">
        <w:trPr>
          <w:jc w:val="center"/>
        </w:trPr>
        <w:tc>
          <w:tcPr>
            <w:tcW w:w="1757" w:type="dxa"/>
            <w:tcBorders>
              <w:top w:val="single" w:sz="8" w:space="0" w:color="000000" w:themeColor="text1"/>
              <w:left w:val="single" w:sz="4" w:space="0" w:color="FFFFFF" w:themeColor="background1"/>
              <w:bottom w:val="single" w:sz="8" w:space="0" w:color="000000" w:themeColor="text1"/>
              <w:right w:val="single" w:sz="4" w:space="0" w:color="FFFFFF" w:themeColor="background1"/>
            </w:tcBorders>
          </w:tcPr>
          <w:p w14:paraId="2BE9826B" w14:textId="77777777" w:rsidR="00854810" w:rsidRPr="00854810" w:rsidRDefault="00854810" w:rsidP="00F324A1">
            <w:pPr>
              <w:spacing w:line="360" w:lineRule="auto"/>
              <w:jc w:val="center"/>
            </w:pPr>
            <w:r w:rsidRPr="00854810">
              <w:t>4600</w:t>
            </w:r>
          </w:p>
        </w:tc>
        <w:tc>
          <w:tcPr>
            <w:tcW w:w="1732" w:type="dxa"/>
            <w:tcBorders>
              <w:top w:val="single" w:sz="8" w:space="0" w:color="000000" w:themeColor="text1"/>
              <w:left w:val="single" w:sz="4" w:space="0" w:color="FFFFFF" w:themeColor="background1"/>
              <w:bottom w:val="single" w:sz="8" w:space="0" w:color="000000" w:themeColor="text1"/>
              <w:right w:val="single" w:sz="4" w:space="0" w:color="FFFFFF" w:themeColor="background1"/>
            </w:tcBorders>
          </w:tcPr>
          <w:p w14:paraId="383D09D4" w14:textId="77777777" w:rsidR="00854810" w:rsidRPr="00854810" w:rsidRDefault="00854810" w:rsidP="00F324A1">
            <w:pPr>
              <w:spacing w:line="360" w:lineRule="auto"/>
              <w:jc w:val="center"/>
            </w:pPr>
            <w:r w:rsidRPr="00854810">
              <w:t>7 (7)</w:t>
            </w:r>
          </w:p>
        </w:tc>
        <w:tc>
          <w:tcPr>
            <w:tcW w:w="1846" w:type="dxa"/>
            <w:tcBorders>
              <w:top w:val="single" w:sz="8" w:space="0" w:color="000000" w:themeColor="text1"/>
              <w:left w:val="single" w:sz="4" w:space="0" w:color="FFFFFF" w:themeColor="background1"/>
              <w:bottom w:val="single" w:sz="8" w:space="0" w:color="000000" w:themeColor="text1"/>
              <w:right w:val="single" w:sz="4" w:space="0" w:color="FFFFFF" w:themeColor="background1"/>
            </w:tcBorders>
          </w:tcPr>
          <w:p w14:paraId="18AEE462" w14:textId="77777777" w:rsidR="00854810" w:rsidRPr="00854810" w:rsidRDefault="00854810" w:rsidP="00F324A1">
            <w:pPr>
              <w:jc w:val="center"/>
            </w:pPr>
            <w:r w:rsidRPr="00854810">
              <w:t>52</w:t>
            </w:r>
          </w:p>
          <w:p w14:paraId="087C3954" w14:textId="77777777" w:rsidR="00854810" w:rsidRPr="00854810" w:rsidRDefault="00854810" w:rsidP="00F324A1">
            <w:pPr>
              <w:spacing w:line="360" w:lineRule="auto"/>
              <w:jc w:val="center"/>
            </w:pPr>
          </w:p>
        </w:tc>
        <w:tc>
          <w:tcPr>
            <w:tcW w:w="1665" w:type="dxa"/>
            <w:tcBorders>
              <w:top w:val="single" w:sz="8" w:space="0" w:color="000000" w:themeColor="text1"/>
              <w:left w:val="single" w:sz="4" w:space="0" w:color="FFFFFF" w:themeColor="background1"/>
              <w:bottom w:val="single" w:sz="8" w:space="0" w:color="000000" w:themeColor="text1"/>
              <w:right w:val="single" w:sz="4" w:space="0" w:color="FFFFFF" w:themeColor="background1"/>
            </w:tcBorders>
          </w:tcPr>
          <w:p w14:paraId="20B0080F" w14:textId="77777777" w:rsidR="00854810" w:rsidRPr="00854810" w:rsidRDefault="00854810" w:rsidP="00F324A1">
            <w:pPr>
              <w:spacing w:line="360" w:lineRule="auto"/>
              <w:jc w:val="center"/>
            </w:pPr>
            <w:r w:rsidRPr="00854810">
              <w:t>0</w:t>
            </w:r>
          </w:p>
        </w:tc>
        <w:tc>
          <w:tcPr>
            <w:tcW w:w="1720" w:type="dxa"/>
            <w:tcBorders>
              <w:top w:val="single" w:sz="8" w:space="0" w:color="000000" w:themeColor="text1"/>
              <w:left w:val="single" w:sz="4" w:space="0" w:color="FFFFFF" w:themeColor="background1"/>
              <w:bottom w:val="single" w:sz="8" w:space="0" w:color="000000" w:themeColor="text1"/>
              <w:right w:val="single" w:sz="4" w:space="0" w:color="FFFFFF" w:themeColor="background1"/>
            </w:tcBorders>
          </w:tcPr>
          <w:p w14:paraId="1C31F84D" w14:textId="77777777" w:rsidR="00854810" w:rsidRPr="00854810" w:rsidRDefault="00854810" w:rsidP="00F324A1">
            <w:pPr>
              <w:spacing w:line="360" w:lineRule="auto"/>
              <w:jc w:val="center"/>
            </w:pPr>
            <w:r w:rsidRPr="00854810">
              <w:t>0</w:t>
            </w:r>
          </w:p>
        </w:tc>
      </w:tr>
      <w:tr w:rsidR="00854810" w:rsidRPr="00854810" w14:paraId="565D79BE" w14:textId="77777777" w:rsidTr="00F324A1">
        <w:trPr>
          <w:jc w:val="center"/>
        </w:trPr>
        <w:tc>
          <w:tcPr>
            <w:tcW w:w="1757" w:type="dxa"/>
            <w:tcBorders>
              <w:top w:val="single" w:sz="8" w:space="0" w:color="000000" w:themeColor="text1"/>
              <w:left w:val="single" w:sz="4" w:space="0" w:color="FFFFFF" w:themeColor="background1"/>
              <w:bottom w:val="single" w:sz="12" w:space="0" w:color="000000" w:themeColor="text1"/>
              <w:right w:val="single" w:sz="4" w:space="0" w:color="FFFFFF" w:themeColor="background1"/>
            </w:tcBorders>
          </w:tcPr>
          <w:p w14:paraId="1B3F8F19" w14:textId="77777777" w:rsidR="00854810" w:rsidRPr="00854810" w:rsidRDefault="00854810" w:rsidP="00F324A1">
            <w:pPr>
              <w:spacing w:line="360" w:lineRule="auto"/>
              <w:jc w:val="center"/>
            </w:pPr>
            <w:r w:rsidRPr="00854810">
              <w:t>2900</w:t>
            </w:r>
          </w:p>
        </w:tc>
        <w:tc>
          <w:tcPr>
            <w:tcW w:w="1732" w:type="dxa"/>
            <w:tcBorders>
              <w:top w:val="single" w:sz="8" w:space="0" w:color="000000" w:themeColor="text1"/>
              <w:left w:val="single" w:sz="4" w:space="0" w:color="FFFFFF" w:themeColor="background1"/>
              <w:bottom w:val="single" w:sz="12" w:space="0" w:color="000000" w:themeColor="text1"/>
              <w:right w:val="single" w:sz="4" w:space="0" w:color="FFFFFF" w:themeColor="background1"/>
            </w:tcBorders>
          </w:tcPr>
          <w:p w14:paraId="706179B6" w14:textId="77777777" w:rsidR="00854810" w:rsidRPr="00854810" w:rsidRDefault="00854810" w:rsidP="00F324A1">
            <w:pPr>
              <w:spacing w:line="360" w:lineRule="auto"/>
              <w:jc w:val="center"/>
            </w:pPr>
            <w:r w:rsidRPr="00854810">
              <w:t>4 (31)</w:t>
            </w:r>
          </w:p>
        </w:tc>
        <w:tc>
          <w:tcPr>
            <w:tcW w:w="1846" w:type="dxa"/>
            <w:tcBorders>
              <w:top w:val="single" w:sz="8" w:space="0" w:color="000000" w:themeColor="text1"/>
              <w:left w:val="single" w:sz="4" w:space="0" w:color="FFFFFF" w:themeColor="background1"/>
              <w:bottom w:val="single" w:sz="12" w:space="0" w:color="000000" w:themeColor="text1"/>
              <w:right w:val="single" w:sz="4" w:space="0" w:color="FFFFFF" w:themeColor="background1"/>
            </w:tcBorders>
          </w:tcPr>
          <w:p w14:paraId="66872DD5" w14:textId="77777777" w:rsidR="00854810" w:rsidRPr="00854810" w:rsidRDefault="00854810" w:rsidP="00F324A1">
            <w:pPr>
              <w:spacing w:line="360" w:lineRule="auto"/>
              <w:jc w:val="center"/>
            </w:pPr>
            <w:r w:rsidRPr="00854810">
              <w:t>256</w:t>
            </w:r>
          </w:p>
        </w:tc>
        <w:tc>
          <w:tcPr>
            <w:tcW w:w="1665" w:type="dxa"/>
            <w:tcBorders>
              <w:top w:val="single" w:sz="8" w:space="0" w:color="000000" w:themeColor="text1"/>
              <w:left w:val="single" w:sz="4" w:space="0" w:color="FFFFFF" w:themeColor="background1"/>
              <w:bottom w:val="single" w:sz="12" w:space="0" w:color="000000" w:themeColor="text1"/>
              <w:right w:val="single" w:sz="4" w:space="0" w:color="FFFFFF" w:themeColor="background1"/>
            </w:tcBorders>
          </w:tcPr>
          <w:p w14:paraId="6AF621D0" w14:textId="77777777" w:rsidR="00854810" w:rsidRPr="00854810" w:rsidRDefault="00854810" w:rsidP="00F324A1">
            <w:pPr>
              <w:spacing w:line="360" w:lineRule="auto"/>
              <w:jc w:val="center"/>
            </w:pPr>
            <w:r w:rsidRPr="00854810">
              <w:t>0</w:t>
            </w:r>
          </w:p>
        </w:tc>
        <w:tc>
          <w:tcPr>
            <w:tcW w:w="1720" w:type="dxa"/>
            <w:tcBorders>
              <w:top w:val="single" w:sz="8" w:space="0" w:color="000000" w:themeColor="text1"/>
              <w:left w:val="single" w:sz="4" w:space="0" w:color="FFFFFF" w:themeColor="background1"/>
              <w:bottom w:val="single" w:sz="12" w:space="0" w:color="000000" w:themeColor="text1"/>
              <w:right w:val="single" w:sz="4" w:space="0" w:color="FFFFFF" w:themeColor="background1"/>
            </w:tcBorders>
          </w:tcPr>
          <w:p w14:paraId="7F7C15CE" w14:textId="77777777" w:rsidR="00854810" w:rsidRPr="00854810" w:rsidRDefault="00A13E8F" w:rsidP="00F324A1">
            <w:pPr>
              <w:spacing w:line="360" w:lineRule="auto"/>
              <w:jc w:val="center"/>
            </w:pPr>
            <w:r>
              <w:t>&lt; 1</w:t>
            </w:r>
          </w:p>
        </w:tc>
      </w:tr>
    </w:tbl>
    <w:p w14:paraId="5B145C3E" w14:textId="77777777" w:rsidR="00854810" w:rsidRPr="000B33E0" w:rsidRDefault="00854810" w:rsidP="00BC79F2">
      <w:pPr>
        <w:spacing w:line="240" w:lineRule="auto"/>
        <w:jc w:val="both"/>
        <w:rPr>
          <w:rFonts w:ascii="Times New Roman" w:eastAsia="Times New Roman" w:hAnsi="Times New Roman" w:cs="Times New Roman"/>
          <w:sz w:val="18"/>
          <w:szCs w:val="18"/>
          <w:lang w:eastAsia="pt-BR"/>
        </w:rPr>
      </w:pPr>
      <w:r w:rsidRPr="000B33E0">
        <w:rPr>
          <w:rFonts w:ascii="Times New Roman" w:eastAsia="Times New Roman" w:hAnsi="Times New Roman" w:cs="Times New Roman"/>
          <w:sz w:val="18"/>
          <w:szCs w:val="18"/>
          <w:lang w:eastAsia="pt-BR"/>
        </w:rPr>
        <w:t xml:space="preserve">*T = 250 °C e P = 30 bar; tempo de reação = 3 h; </w:t>
      </w:r>
      <w:r w:rsidR="000B33E0" w:rsidRPr="000B33E0">
        <w:rPr>
          <w:rFonts w:ascii="Times New Roman" w:eastAsia="Times New Roman" w:hAnsi="Times New Roman" w:cs="Times New Roman"/>
          <w:sz w:val="18"/>
          <w:szCs w:val="18"/>
          <w:lang w:eastAsia="pt-BR"/>
        </w:rPr>
        <w:t>os</w:t>
      </w:r>
      <w:r w:rsidRPr="000B33E0">
        <w:rPr>
          <w:rFonts w:ascii="Times New Roman" w:eastAsia="Times New Roman" w:hAnsi="Times New Roman" w:cs="Times New Roman"/>
          <w:sz w:val="18"/>
          <w:szCs w:val="18"/>
          <w:lang w:eastAsia="pt-BR"/>
        </w:rPr>
        <w:t xml:space="preserve"> valores em </w:t>
      </w:r>
      <w:r w:rsidR="000B33E0" w:rsidRPr="000B33E0">
        <w:rPr>
          <w:rFonts w:ascii="Times New Roman" w:eastAsia="Times New Roman" w:hAnsi="Times New Roman" w:cs="Times New Roman"/>
          <w:sz w:val="18"/>
          <w:szCs w:val="18"/>
          <w:lang w:eastAsia="pt-BR"/>
        </w:rPr>
        <w:t>parênteses</w:t>
      </w:r>
      <w:r w:rsidRPr="000B33E0">
        <w:rPr>
          <w:rFonts w:ascii="Times New Roman" w:eastAsia="Times New Roman" w:hAnsi="Times New Roman" w:cs="Times New Roman"/>
          <w:sz w:val="18"/>
          <w:szCs w:val="18"/>
          <w:lang w:eastAsia="pt-BR"/>
        </w:rPr>
        <w:t xml:space="preserve"> correspondem ao tempo de 30 minutos de reação.</w:t>
      </w:r>
    </w:p>
    <w:p w14:paraId="372397C8" w14:textId="77777777" w:rsidR="00657100" w:rsidRPr="005A5DEA" w:rsidRDefault="00854810" w:rsidP="005A5DEA">
      <w:pPr>
        <w:spacing w:line="240" w:lineRule="auto"/>
        <w:ind w:firstLine="284"/>
        <w:jc w:val="both"/>
        <w:rPr>
          <w:rFonts w:ascii="Times New Roman" w:eastAsia="Times New Roman" w:hAnsi="Times New Roman" w:cs="Times New Roman"/>
          <w:sz w:val="20"/>
          <w:szCs w:val="20"/>
          <w:lang w:eastAsia="pt-BR"/>
        </w:rPr>
      </w:pPr>
      <w:r w:rsidRPr="005A5DEA">
        <w:rPr>
          <w:rFonts w:ascii="Times New Roman" w:eastAsia="Times New Roman" w:hAnsi="Times New Roman" w:cs="Times New Roman"/>
          <w:sz w:val="20"/>
          <w:szCs w:val="20"/>
          <w:lang w:eastAsia="pt-BR"/>
        </w:rPr>
        <w:t xml:space="preserve">Claramente, observa-se uma drástica desativação dos catalisadores para </w:t>
      </w:r>
      <w:r w:rsidR="009A5200" w:rsidRPr="005A5DEA">
        <w:rPr>
          <w:rFonts w:ascii="Times New Roman" w:eastAsia="Times New Roman" w:hAnsi="Times New Roman" w:cs="Times New Roman"/>
          <w:sz w:val="20"/>
          <w:szCs w:val="20"/>
          <w:lang w:eastAsia="pt-BR"/>
        </w:rPr>
        <w:t>ambos os valores</w:t>
      </w:r>
      <w:r w:rsidRPr="005A5DEA">
        <w:rPr>
          <w:rFonts w:ascii="Times New Roman" w:eastAsia="Times New Roman" w:hAnsi="Times New Roman" w:cs="Times New Roman"/>
          <w:sz w:val="20"/>
          <w:szCs w:val="20"/>
          <w:lang w:eastAsia="pt-BR"/>
        </w:rPr>
        <w:t xml:space="preserve"> de GHSV utilizados,</w:t>
      </w:r>
      <w:r w:rsidR="00A13E8F" w:rsidRPr="005A5DEA">
        <w:rPr>
          <w:rFonts w:ascii="Times New Roman" w:eastAsia="Times New Roman" w:hAnsi="Times New Roman" w:cs="Times New Roman"/>
          <w:sz w:val="20"/>
          <w:szCs w:val="20"/>
          <w:lang w:eastAsia="pt-BR"/>
        </w:rPr>
        <w:t xml:space="preserve"> com aproximadamente 5% de conversão de CO</w:t>
      </w:r>
      <w:r w:rsidR="00A13E8F" w:rsidRPr="004F41B2">
        <w:rPr>
          <w:rFonts w:ascii="Times New Roman" w:eastAsia="Times New Roman" w:hAnsi="Times New Roman" w:cs="Times New Roman"/>
          <w:sz w:val="20"/>
          <w:szCs w:val="20"/>
          <w:vertAlign w:val="subscript"/>
          <w:lang w:eastAsia="pt-BR"/>
        </w:rPr>
        <w:t>2</w:t>
      </w:r>
      <w:r w:rsidR="00A13E8F" w:rsidRPr="005A5DEA">
        <w:rPr>
          <w:rFonts w:ascii="Times New Roman" w:eastAsia="Times New Roman" w:hAnsi="Times New Roman" w:cs="Times New Roman"/>
          <w:sz w:val="20"/>
          <w:szCs w:val="20"/>
          <w:lang w:eastAsia="pt-BR"/>
        </w:rPr>
        <w:t>, ao final de 3 horas de reação. Entretanto, a X</w:t>
      </w:r>
      <w:r w:rsidR="00A13E8F" w:rsidRPr="004F41B2">
        <w:rPr>
          <w:rFonts w:ascii="Times New Roman" w:eastAsia="Times New Roman" w:hAnsi="Times New Roman" w:cs="Times New Roman"/>
          <w:sz w:val="20"/>
          <w:szCs w:val="20"/>
          <w:vertAlign w:val="subscript"/>
          <w:lang w:eastAsia="pt-BR"/>
        </w:rPr>
        <w:t>CO2</w:t>
      </w:r>
      <w:r w:rsidR="00A13E8F" w:rsidRPr="005A5DEA">
        <w:rPr>
          <w:rFonts w:ascii="Times New Roman" w:eastAsia="Times New Roman" w:hAnsi="Times New Roman" w:cs="Times New Roman"/>
          <w:sz w:val="20"/>
          <w:szCs w:val="20"/>
          <w:lang w:eastAsia="pt-BR"/>
        </w:rPr>
        <w:t xml:space="preserve"> foi de 7 % e 31 % para a GHSV de 4600 e 2900 h</w:t>
      </w:r>
      <w:r w:rsidR="00A13E8F" w:rsidRPr="00F31DAE">
        <w:rPr>
          <w:rFonts w:ascii="Times New Roman" w:eastAsia="Times New Roman" w:hAnsi="Times New Roman" w:cs="Times New Roman"/>
          <w:color w:val="FF0000"/>
          <w:sz w:val="20"/>
          <w:szCs w:val="20"/>
          <w:vertAlign w:val="superscript"/>
          <w:lang w:eastAsia="pt-BR"/>
        </w:rPr>
        <w:t>-1</w:t>
      </w:r>
      <w:r w:rsidR="00A13E8F" w:rsidRPr="005A5DEA">
        <w:rPr>
          <w:rFonts w:ascii="Times New Roman" w:eastAsia="Times New Roman" w:hAnsi="Times New Roman" w:cs="Times New Roman"/>
          <w:sz w:val="20"/>
          <w:szCs w:val="20"/>
          <w:lang w:eastAsia="pt-BR"/>
        </w:rPr>
        <w:t>, respectivamente. O decréscimo na GHSV também promoveu a formação de metanol, tendo sido observado também traços de CO. Desse modo, todos os experimentos foram realizados com a GHSV de 2900 h</w:t>
      </w:r>
      <w:r w:rsidR="00A13E8F" w:rsidRPr="00F31DAE">
        <w:rPr>
          <w:rFonts w:ascii="Times New Roman" w:eastAsia="Times New Roman" w:hAnsi="Times New Roman" w:cs="Times New Roman"/>
          <w:sz w:val="20"/>
          <w:szCs w:val="20"/>
          <w:vertAlign w:val="superscript"/>
          <w:lang w:eastAsia="pt-BR"/>
        </w:rPr>
        <w:t>-1</w:t>
      </w:r>
      <w:r w:rsidR="00A13E8F" w:rsidRPr="005A5DEA">
        <w:rPr>
          <w:rFonts w:ascii="Times New Roman" w:eastAsia="Times New Roman" w:hAnsi="Times New Roman" w:cs="Times New Roman"/>
          <w:sz w:val="20"/>
          <w:szCs w:val="20"/>
          <w:lang w:eastAsia="pt-BR"/>
        </w:rPr>
        <w:t xml:space="preserve">, com o intuito de avaliar o efeito da pressão sobre a desativação do catalisador e </w:t>
      </w:r>
      <w:r w:rsidR="004409C1" w:rsidRPr="005A5DEA">
        <w:rPr>
          <w:rFonts w:ascii="Times New Roman" w:eastAsia="Times New Roman" w:hAnsi="Times New Roman" w:cs="Times New Roman"/>
          <w:sz w:val="20"/>
          <w:szCs w:val="20"/>
          <w:lang w:eastAsia="pt-BR"/>
        </w:rPr>
        <w:t>o</w:t>
      </w:r>
      <w:r w:rsidR="00A13E8F" w:rsidRPr="005A5DEA">
        <w:rPr>
          <w:rFonts w:ascii="Times New Roman" w:eastAsia="Times New Roman" w:hAnsi="Times New Roman" w:cs="Times New Roman"/>
          <w:sz w:val="20"/>
          <w:szCs w:val="20"/>
          <w:lang w:eastAsia="pt-BR"/>
        </w:rPr>
        <w:t xml:space="preserve"> </w:t>
      </w:r>
      <w:proofErr w:type="spellStart"/>
      <w:r w:rsidR="00657100" w:rsidRPr="005A5DEA">
        <w:rPr>
          <w:rFonts w:ascii="Times New Roman" w:eastAsia="Times New Roman" w:hAnsi="Times New Roman" w:cs="Times New Roman"/>
          <w:sz w:val="20"/>
          <w:szCs w:val="20"/>
          <w:lang w:eastAsia="pt-BR"/>
        </w:rPr>
        <w:t>STY</w:t>
      </w:r>
      <w:r w:rsidR="00657100" w:rsidRPr="005A0063">
        <w:rPr>
          <w:rFonts w:ascii="Times New Roman" w:eastAsia="Times New Roman" w:hAnsi="Times New Roman" w:cs="Times New Roman"/>
          <w:sz w:val="20"/>
          <w:szCs w:val="20"/>
          <w:vertAlign w:val="subscript"/>
          <w:lang w:eastAsia="pt-BR"/>
        </w:rPr>
        <w:t>MeOH</w:t>
      </w:r>
      <w:proofErr w:type="spellEnd"/>
      <w:r w:rsidR="00657100" w:rsidRPr="005A5DEA">
        <w:rPr>
          <w:rFonts w:ascii="Times New Roman" w:eastAsia="Times New Roman" w:hAnsi="Times New Roman" w:cs="Times New Roman"/>
          <w:sz w:val="20"/>
          <w:szCs w:val="20"/>
          <w:lang w:eastAsia="pt-BR"/>
        </w:rPr>
        <w:t>, Y</w:t>
      </w:r>
      <w:r w:rsidR="00657100" w:rsidRPr="005A0063">
        <w:rPr>
          <w:rFonts w:ascii="Times New Roman" w:eastAsia="Times New Roman" w:hAnsi="Times New Roman" w:cs="Times New Roman"/>
          <w:sz w:val="20"/>
          <w:szCs w:val="20"/>
          <w:vertAlign w:val="subscript"/>
          <w:lang w:eastAsia="pt-BR"/>
        </w:rPr>
        <w:t>DME</w:t>
      </w:r>
      <w:r w:rsidR="00657100" w:rsidRPr="005A5DEA">
        <w:rPr>
          <w:rFonts w:ascii="Times New Roman" w:eastAsia="Times New Roman" w:hAnsi="Times New Roman" w:cs="Times New Roman"/>
          <w:sz w:val="20"/>
          <w:szCs w:val="20"/>
          <w:lang w:eastAsia="pt-BR"/>
        </w:rPr>
        <w:t xml:space="preserve"> </w:t>
      </w:r>
      <w:r w:rsidR="004409C1" w:rsidRPr="005A5DEA">
        <w:rPr>
          <w:rFonts w:ascii="Times New Roman" w:eastAsia="Times New Roman" w:hAnsi="Times New Roman" w:cs="Times New Roman"/>
          <w:sz w:val="20"/>
          <w:szCs w:val="20"/>
          <w:lang w:eastAsia="pt-BR"/>
        </w:rPr>
        <w:t>e</w:t>
      </w:r>
      <w:r w:rsidR="00657100" w:rsidRPr="005A5DEA">
        <w:rPr>
          <w:rFonts w:ascii="Times New Roman" w:eastAsia="Times New Roman" w:hAnsi="Times New Roman" w:cs="Times New Roman"/>
          <w:sz w:val="20"/>
          <w:szCs w:val="20"/>
          <w:lang w:eastAsia="pt-BR"/>
        </w:rPr>
        <w:t xml:space="preserve"> Y</w:t>
      </w:r>
      <w:r w:rsidR="00657100" w:rsidRPr="005A0063">
        <w:rPr>
          <w:rFonts w:ascii="Times New Roman" w:eastAsia="Times New Roman" w:hAnsi="Times New Roman" w:cs="Times New Roman"/>
          <w:sz w:val="20"/>
          <w:szCs w:val="20"/>
          <w:vertAlign w:val="subscript"/>
          <w:lang w:eastAsia="pt-BR"/>
        </w:rPr>
        <w:t>CO</w:t>
      </w:r>
      <w:r w:rsidR="00657100" w:rsidRPr="005A5DEA">
        <w:rPr>
          <w:rFonts w:ascii="Times New Roman" w:eastAsia="Times New Roman" w:hAnsi="Times New Roman" w:cs="Times New Roman"/>
          <w:sz w:val="20"/>
          <w:szCs w:val="20"/>
          <w:lang w:eastAsia="pt-BR"/>
        </w:rPr>
        <w:t xml:space="preserve"> (Fig. 1).</w:t>
      </w:r>
    </w:p>
    <w:p w14:paraId="6B82A4A7" w14:textId="77777777" w:rsidR="009414E3" w:rsidRPr="00504663" w:rsidRDefault="00504663" w:rsidP="00504663">
      <w:pPr>
        <w:spacing w:line="240" w:lineRule="auto"/>
        <w:ind w:firstLine="284"/>
        <w:jc w:val="both"/>
        <w:rPr>
          <w:rFonts w:ascii="Times New Roman" w:eastAsia="Times New Roman" w:hAnsi="Times New Roman" w:cs="Times New Roman"/>
          <w:sz w:val="20"/>
          <w:szCs w:val="20"/>
          <w:lang w:eastAsia="pt-BR"/>
        </w:rPr>
      </w:pPr>
      <w:r w:rsidRPr="00FC6268">
        <w:rPr>
          <w:rFonts w:ascii="Times New Roman" w:eastAsia="Times New Roman" w:hAnsi="Times New Roman" w:cs="Times New Roman"/>
          <w:sz w:val="20"/>
          <w:szCs w:val="20"/>
          <w:lang w:eastAsia="pt-BR"/>
        </w:rPr>
        <w:t xml:space="preserve">A Figura </w:t>
      </w:r>
      <w:r>
        <w:rPr>
          <w:rFonts w:ascii="Times New Roman" w:eastAsia="Times New Roman" w:hAnsi="Times New Roman" w:cs="Times New Roman"/>
          <w:sz w:val="20"/>
          <w:szCs w:val="20"/>
          <w:lang w:eastAsia="pt-BR"/>
        </w:rPr>
        <w:t>1</w:t>
      </w:r>
      <w:r w:rsidRPr="00FC6268">
        <w:rPr>
          <w:rFonts w:ascii="Times New Roman" w:eastAsia="Times New Roman" w:hAnsi="Times New Roman" w:cs="Times New Roman"/>
          <w:sz w:val="20"/>
          <w:szCs w:val="20"/>
          <w:lang w:eastAsia="pt-BR"/>
        </w:rPr>
        <w:t xml:space="preserve"> apresenta os resultados de ensaios catalíticos em 0,5 h e 3 h de reação. A conversão inicial (X</w:t>
      </w:r>
      <w:r w:rsidRPr="00D95622">
        <w:rPr>
          <w:rFonts w:ascii="Times New Roman" w:eastAsia="Times New Roman" w:hAnsi="Times New Roman" w:cs="Times New Roman"/>
          <w:sz w:val="20"/>
          <w:szCs w:val="20"/>
          <w:vertAlign w:val="subscript"/>
          <w:lang w:eastAsia="pt-BR"/>
        </w:rPr>
        <w:t>CO2-0</w:t>
      </w:r>
      <w:r w:rsidR="00D95622" w:rsidRPr="00D95622">
        <w:rPr>
          <w:rFonts w:ascii="Times New Roman" w:eastAsia="Times New Roman" w:hAnsi="Times New Roman" w:cs="Times New Roman"/>
          <w:sz w:val="20"/>
          <w:szCs w:val="20"/>
          <w:vertAlign w:val="subscript"/>
          <w:lang w:eastAsia="pt-BR"/>
        </w:rPr>
        <w:t>,</w:t>
      </w:r>
      <w:r w:rsidRPr="00D95622">
        <w:rPr>
          <w:rFonts w:ascii="Times New Roman" w:eastAsia="Times New Roman" w:hAnsi="Times New Roman" w:cs="Times New Roman"/>
          <w:sz w:val="20"/>
          <w:szCs w:val="20"/>
          <w:vertAlign w:val="subscript"/>
          <w:lang w:eastAsia="pt-BR"/>
        </w:rPr>
        <w:t>5 h</w:t>
      </w:r>
      <w:r w:rsidRPr="00FC6268">
        <w:rPr>
          <w:rFonts w:ascii="Times New Roman" w:eastAsia="Times New Roman" w:hAnsi="Times New Roman" w:cs="Times New Roman"/>
          <w:sz w:val="20"/>
          <w:szCs w:val="20"/>
          <w:lang w:eastAsia="pt-BR"/>
        </w:rPr>
        <w:t>)</w:t>
      </w:r>
      <w:r>
        <w:rPr>
          <w:rFonts w:ascii="Times New Roman" w:eastAsia="Times New Roman" w:hAnsi="Times New Roman" w:cs="Times New Roman"/>
          <w:sz w:val="20"/>
          <w:szCs w:val="20"/>
          <w:lang w:eastAsia="pt-BR"/>
        </w:rPr>
        <w:t xml:space="preserve"> aumentou continuamente com o aumento da pressão de </w:t>
      </w:r>
      <w:r>
        <w:rPr>
          <w:rFonts w:ascii="Times New Roman" w:eastAsia="Times New Roman" w:hAnsi="Times New Roman" w:cs="Times New Roman"/>
          <w:sz w:val="20"/>
          <w:szCs w:val="20"/>
          <w:lang w:eastAsia="pt-BR"/>
        </w:rPr>
        <w:lastRenderedPageBreak/>
        <w:t xml:space="preserve">reação, alcançando </w:t>
      </w:r>
      <w:r>
        <w:rPr>
          <w:rFonts w:ascii="Times New Roman" w:eastAsia="Times New Roman" w:hAnsi="Times New Roman" w:cs="Times New Roman"/>
          <w:sz w:val="20"/>
          <w:szCs w:val="20"/>
          <w:lang w:eastAsia="pt-BR"/>
        </w:rPr>
        <w:sym w:font="Symbol" w:char="F0BB"/>
      </w:r>
      <w:r>
        <w:rPr>
          <w:rFonts w:ascii="Times New Roman" w:eastAsia="Times New Roman" w:hAnsi="Times New Roman" w:cs="Times New Roman"/>
          <w:sz w:val="20"/>
          <w:szCs w:val="20"/>
          <w:lang w:eastAsia="pt-BR"/>
        </w:rPr>
        <w:t xml:space="preserve"> 30% a 30 bar, valor próximo ao de conversão de equilíbrio termodinâmico nas condições estudadas</w:t>
      </w:r>
      <w:r w:rsidR="00F8011C">
        <w:rPr>
          <w:rFonts w:ascii="Times New Roman" w:eastAsia="Times New Roman" w:hAnsi="Times New Roman" w:cs="Times New Roman"/>
          <w:sz w:val="20"/>
          <w:szCs w:val="20"/>
          <w:lang w:eastAsia="pt-BR"/>
        </w:rPr>
        <w:t xml:space="preserve"> (</w:t>
      </w:r>
      <w:r w:rsidR="00B25C2A">
        <w:rPr>
          <w:rFonts w:ascii="Times New Roman" w:eastAsia="Times New Roman" w:hAnsi="Times New Roman" w:cs="Times New Roman"/>
          <w:sz w:val="20"/>
          <w:szCs w:val="20"/>
          <w:lang w:eastAsia="pt-BR"/>
        </w:rPr>
        <w:t>5</w:t>
      </w:r>
      <w:r w:rsidR="00F8011C">
        <w:rPr>
          <w:rFonts w:ascii="Times New Roman" w:eastAsia="Times New Roman" w:hAnsi="Times New Roman" w:cs="Times New Roman"/>
          <w:sz w:val="20"/>
          <w:szCs w:val="20"/>
          <w:lang w:eastAsia="pt-BR"/>
        </w:rPr>
        <w:t>)</w:t>
      </w:r>
      <w:r>
        <w:rPr>
          <w:rFonts w:ascii="Times New Roman" w:eastAsia="Times New Roman" w:hAnsi="Times New Roman" w:cs="Times New Roman"/>
          <w:sz w:val="20"/>
          <w:szCs w:val="20"/>
          <w:lang w:eastAsia="pt-BR"/>
        </w:rPr>
        <w:t xml:space="preserve">. </w:t>
      </w:r>
      <w:r w:rsidRPr="00FC6268">
        <w:rPr>
          <w:rFonts w:ascii="Times New Roman" w:eastAsia="Times New Roman" w:hAnsi="Times New Roman" w:cs="Times New Roman"/>
          <w:sz w:val="20"/>
          <w:szCs w:val="20"/>
          <w:lang w:eastAsia="pt-BR"/>
        </w:rPr>
        <w:t>Contudo, após 3 horas de reação a conversão caiu para valores inferior</w:t>
      </w:r>
      <w:r w:rsidR="00E91B3A">
        <w:rPr>
          <w:rFonts w:ascii="Times New Roman" w:eastAsia="Times New Roman" w:hAnsi="Times New Roman" w:cs="Times New Roman"/>
          <w:sz w:val="20"/>
          <w:szCs w:val="20"/>
          <w:lang w:eastAsia="pt-BR"/>
        </w:rPr>
        <w:t>e</w:t>
      </w:r>
      <w:r w:rsidRPr="00FC6268">
        <w:rPr>
          <w:rFonts w:ascii="Times New Roman" w:eastAsia="Times New Roman" w:hAnsi="Times New Roman" w:cs="Times New Roman"/>
          <w:sz w:val="20"/>
          <w:szCs w:val="20"/>
          <w:lang w:eastAsia="pt-BR"/>
        </w:rPr>
        <w:t xml:space="preserve">s a 5%, resultado de uma desativação severa. </w:t>
      </w:r>
      <w:r>
        <w:rPr>
          <w:rFonts w:ascii="Times New Roman" w:eastAsia="Times New Roman" w:hAnsi="Times New Roman" w:cs="Times New Roman"/>
          <w:sz w:val="20"/>
          <w:szCs w:val="20"/>
          <w:lang w:eastAsia="pt-BR"/>
        </w:rPr>
        <w:t xml:space="preserve">De modo similar, observa-se um aumento contínuo do </w:t>
      </w:r>
      <w:proofErr w:type="spellStart"/>
      <w:r>
        <w:rPr>
          <w:rFonts w:ascii="Times New Roman" w:eastAsia="Times New Roman" w:hAnsi="Times New Roman" w:cs="Times New Roman"/>
          <w:sz w:val="20"/>
          <w:szCs w:val="20"/>
          <w:lang w:eastAsia="pt-BR"/>
        </w:rPr>
        <w:t>STY</w:t>
      </w:r>
      <w:r w:rsidRPr="00E91B3A">
        <w:rPr>
          <w:rFonts w:ascii="Times New Roman" w:eastAsia="Times New Roman" w:hAnsi="Times New Roman" w:cs="Times New Roman"/>
          <w:sz w:val="20"/>
          <w:szCs w:val="20"/>
          <w:vertAlign w:val="subscript"/>
          <w:lang w:eastAsia="pt-BR"/>
        </w:rPr>
        <w:t>M</w:t>
      </w:r>
      <w:r w:rsidR="00E91B3A">
        <w:rPr>
          <w:rFonts w:ascii="Times New Roman" w:eastAsia="Times New Roman" w:hAnsi="Times New Roman" w:cs="Times New Roman"/>
          <w:sz w:val="20"/>
          <w:szCs w:val="20"/>
          <w:vertAlign w:val="subscript"/>
          <w:lang w:eastAsia="pt-BR"/>
        </w:rPr>
        <w:t>e</w:t>
      </w:r>
      <w:r w:rsidRPr="00E91B3A">
        <w:rPr>
          <w:rFonts w:ascii="Times New Roman" w:eastAsia="Times New Roman" w:hAnsi="Times New Roman" w:cs="Times New Roman"/>
          <w:sz w:val="20"/>
          <w:szCs w:val="20"/>
          <w:vertAlign w:val="subscript"/>
          <w:lang w:eastAsia="pt-BR"/>
        </w:rPr>
        <w:t>OH</w:t>
      </w:r>
      <w:proofErr w:type="spellEnd"/>
      <w:r>
        <w:rPr>
          <w:rFonts w:ascii="Times New Roman" w:eastAsia="Times New Roman" w:hAnsi="Times New Roman" w:cs="Times New Roman"/>
          <w:sz w:val="20"/>
          <w:szCs w:val="20"/>
          <w:lang w:eastAsia="pt-BR"/>
        </w:rPr>
        <w:t xml:space="preserve"> com o aumento da pressão </w:t>
      </w:r>
      <w:r w:rsidRPr="00FC6268">
        <w:rPr>
          <w:rFonts w:ascii="Times New Roman" w:eastAsia="Times New Roman" w:hAnsi="Times New Roman" w:cs="Times New Roman"/>
          <w:sz w:val="20"/>
          <w:szCs w:val="20"/>
          <w:lang w:eastAsia="pt-BR"/>
        </w:rPr>
        <w:t>enquanto o rendimento a Y</w:t>
      </w:r>
      <w:r w:rsidRPr="00FC6268">
        <w:rPr>
          <w:rFonts w:ascii="Times New Roman" w:eastAsia="Times New Roman" w:hAnsi="Times New Roman" w:cs="Times New Roman"/>
          <w:sz w:val="20"/>
          <w:szCs w:val="20"/>
          <w:vertAlign w:val="subscript"/>
          <w:lang w:eastAsia="pt-BR"/>
        </w:rPr>
        <w:t>CO</w:t>
      </w:r>
      <w:r w:rsidRPr="00FC6268">
        <w:rPr>
          <w:rFonts w:ascii="Times New Roman" w:eastAsia="Times New Roman" w:hAnsi="Times New Roman" w:cs="Times New Roman"/>
          <w:sz w:val="20"/>
          <w:szCs w:val="20"/>
          <w:lang w:eastAsia="pt-BR"/>
        </w:rPr>
        <w:t xml:space="preserve"> se manteve abaixo de 1% para todas as pressões estudadas. </w:t>
      </w:r>
    </w:p>
    <w:p w14:paraId="0DF38213" w14:textId="77777777" w:rsidR="009414E3" w:rsidRPr="009A5200" w:rsidRDefault="005B1688" w:rsidP="00CE66DF">
      <w:pPr>
        <w:spacing w:line="276" w:lineRule="auto"/>
        <w:jc w:val="center"/>
        <w:rPr>
          <w:rFonts w:ascii="Times New Roman" w:eastAsia="Times New Roman" w:hAnsi="Times New Roman" w:cs="Times New Roman"/>
          <w:bCs/>
          <w:sz w:val="20"/>
          <w:szCs w:val="20"/>
          <w:lang w:eastAsia="pt-BR"/>
        </w:rPr>
      </w:pPr>
      <w:r w:rsidRPr="005B1688">
        <w:rPr>
          <w:noProof/>
          <w:lang w:eastAsia="pt-BR"/>
        </w:rPr>
        <w:drawing>
          <wp:inline distT="0" distB="0" distL="0" distR="0" wp14:anchorId="663B4060" wp14:editId="0A219DB9">
            <wp:extent cx="3060000" cy="1670510"/>
            <wp:effectExtent l="0" t="0" r="0" b="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322" t="7486" r="2965" b="3487"/>
                    <a:stretch/>
                  </pic:blipFill>
                  <pic:spPr bwMode="auto">
                    <a:xfrm>
                      <a:off x="0" y="0"/>
                      <a:ext cx="3060000" cy="1670510"/>
                    </a:xfrm>
                    <a:prstGeom prst="rect">
                      <a:avLst/>
                    </a:prstGeom>
                    <a:noFill/>
                    <a:ln>
                      <a:noFill/>
                    </a:ln>
                    <a:extLst>
                      <a:ext uri="{53640926-AAD7-44D8-BBD7-CCE9431645EC}">
                        <a14:shadowObscured xmlns:a14="http://schemas.microsoft.com/office/drawing/2010/main"/>
                      </a:ext>
                    </a:extLst>
                  </pic:spPr>
                </pic:pic>
              </a:graphicData>
            </a:graphic>
          </wp:inline>
        </w:drawing>
      </w:r>
    </w:p>
    <w:p w14:paraId="51D1B97D" w14:textId="77777777" w:rsidR="00657100" w:rsidRPr="00504663" w:rsidRDefault="00BC79F2" w:rsidP="009414E3">
      <w:pPr>
        <w:pStyle w:val="VAFigureCaption"/>
        <w:rPr>
          <w:rFonts w:ascii="Times New Roman" w:hAnsi="Times New Roman"/>
          <w:color w:val="000000" w:themeColor="text1"/>
          <w:sz w:val="24"/>
          <w:szCs w:val="24"/>
          <w:lang w:val="pt-BR"/>
        </w:rPr>
      </w:pPr>
      <w:r w:rsidRPr="003A70AD">
        <w:rPr>
          <w:b/>
          <w:color w:val="000000" w:themeColor="text1"/>
          <w:lang w:val="pt-BR"/>
        </w:rPr>
        <w:t>Figura</w:t>
      </w:r>
      <w:r w:rsidR="00657100" w:rsidRPr="003A70AD">
        <w:rPr>
          <w:b/>
          <w:color w:val="000000" w:themeColor="text1"/>
          <w:lang w:val="pt-BR"/>
        </w:rPr>
        <w:t xml:space="preserve"> 1</w:t>
      </w:r>
      <w:r w:rsidR="009414E3" w:rsidRPr="003A70AD">
        <w:rPr>
          <w:b/>
          <w:color w:val="000000" w:themeColor="text1"/>
          <w:lang w:val="pt-BR"/>
        </w:rPr>
        <w:t xml:space="preserve">. </w:t>
      </w:r>
      <w:r w:rsidR="00FC6268" w:rsidRPr="003A70AD">
        <w:rPr>
          <w:lang w:val="pt-BR"/>
        </w:rPr>
        <w:t>Efeito da pressão de reação de hidrogenação do CO</w:t>
      </w:r>
      <w:r w:rsidR="00FC6268" w:rsidRPr="003A70AD">
        <w:rPr>
          <w:vertAlign w:val="subscript"/>
          <w:lang w:val="pt-BR"/>
        </w:rPr>
        <w:t>2</w:t>
      </w:r>
      <w:r w:rsidR="00FC6268" w:rsidRPr="003A70AD">
        <w:rPr>
          <w:lang w:val="pt-BR"/>
        </w:rPr>
        <w:t xml:space="preserve"> sobre o desempenho e desativação do catalisador</w:t>
      </w:r>
      <w:r w:rsidR="009414E3" w:rsidRPr="003A70AD">
        <w:rPr>
          <w:lang w:val="pt-BR"/>
        </w:rPr>
        <w:t xml:space="preserve"> CZA</w:t>
      </w:r>
      <w:r w:rsidR="00FC6268" w:rsidRPr="003A70AD">
        <w:rPr>
          <w:lang w:val="pt-BR"/>
        </w:rPr>
        <w:t>.</w:t>
      </w:r>
      <w:r w:rsidR="009414E3" w:rsidRPr="003A70AD">
        <w:rPr>
          <w:lang w:val="pt-BR"/>
        </w:rPr>
        <w:t xml:space="preserve"> </w:t>
      </w:r>
      <w:r w:rsidR="009414E3" w:rsidRPr="00504663">
        <w:rPr>
          <w:lang w:val="pt-BR"/>
        </w:rPr>
        <w:t>Parâmetros: T = 250 ºC, GHSV = 2900 h</w:t>
      </w:r>
      <w:r w:rsidR="009414E3" w:rsidRPr="00504663">
        <w:rPr>
          <w:vertAlign w:val="superscript"/>
          <w:lang w:val="pt-BR"/>
        </w:rPr>
        <w:t>-1</w:t>
      </w:r>
      <w:r w:rsidR="009414E3" w:rsidRPr="00504663">
        <w:rPr>
          <w:lang w:val="pt-BR"/>
        </w:rPr>
        <w:t>, H</w:t>
      </w:r>
      <w:r w:rsidR="009414E3" w:rsidRPr="00504663">
        <w:rPr>
          <w:vertAlign w:val="subscript"/>
          <w:lang w:val="pt-BR"/>
        </w:rPr>
        <w:t>2</w:t>
      </w:r>
      <w:r w:rsidR="009414E3" w:rsidRPr="00504663">
        <w:rPr>
          <w:lang w:val="pt-BR"/>
        </w:rPr>
        <w:t>/CO</w:t>
      </w:r>
      <w:r w:rsidR="009414E3" w:rsidRPr="00504663">
        <w:rPr>
          <w:vertAlign w:val="subscript"/>
          <w:lang w:val="pt-BR"/>
        </w:rPr>
        <w:t>2</w:t>
      </w:r>
      <w:r w:rsidR="009414E3" w:rsidRPr="00504663">
        <w:rPr>
          <w:lang w:val="pt-BR"/>
        </w:rPr>
        <w:t xml:space="preserve"> = 3.</w:t>
      </w:r>
    </w:p>
    <w:p w14:paraId="75C5DF27" w14:textId="77777777" w:rsidR="00FF7491" w:rsidRPr="00FC6268" w:rsidRDefault="00FF7491" w:rsidP="00A023BD">
      <w:pPr>
        <w:pStyle w:val="TAMainText"/>
        <w:ind w:firstLine="284"/>
        <w:rPr>
          <w:rFonts w:ascii="Times New Roman" w:hAnsi="Times New Roman"/>
          <w:lang w:val="pt-BR"/>
        </w:rPr>
      </w:pPr>
    </w:p>
    <w:p w14:paraId="430EC6D7" w14:textId="77777777" w:rsidR="00FC6268" w:rsidRPr="00FC6268" w:rsidRDefault="00FC6268" w:rsidP="00265F1B">
      <w:pPr>
        <w:spacing w:line="240" w:lineRule="auto"/>
        <w:ind w:firstLine="284"/>
        <w:jc w:val="both"/>
        <w:rPr>
          <w:rFonts w:ascii="Times New Roman" w:eastAsia="Times New Roman" w:hAnsi="Times New Roman" w:cs="Times New Roman"/>
          <w:sz w:val="20"/>
          <w:szCs w:val="20"/>
          <w:lang w:eastAsia="pt-BR"/>
        </w:rPr>
      </w:pPr>
      <w:r w:rsidRPr="00FC6268">
        <w:rPr>
          <w:rFonts w:ascii="Times New Roman" w:eastAsia="Times New Roman" w:hAnsi="Times New Roman" w:cs="Times New Roman"/>
          <w:sz w:val="20"/>
          <w:szCs w:val="20"/>
          <w:lang w:eastAsia="pt-BR"/>
        </w:rPr>
        <w:t xml:space="preserve">Os resultados obtidos estão de acordo com o princípio de </w:t>
      </w:r>
      <w:r w:rsidR="00BB38BD">
        <w:rPr>
          <w:rFonts w:ascii="Times New Roman" w:eastAsia="Times New Roman" w:hAnsi="Times New Roman" w:cs="Times New Roman"/>
          <w:sz w:val="20"/>
          <w:szCs w:val="20"/>
          <w:lang w:eastAsia="pt-BR"/>
        </w:rPr>
        <w:t xml:space="preserve">Le </w:t>
      </w:r>
      <w:proofErr w:type="spellStart"/>
      <w:r w:rsidRPr="00FC6268">
        <w:rPr>
          <w:rFonts w:ascii="Times New Roman" w:eastAsia="Times New Roman" w:hAnsi="Times New Roman" w:cs="Times New Roman"/>
          <w:sz w:val="20"/>
          <w:szCs w:val="20"/>
          <w:lang w:eastAsia="pt-BR"/>
        </w:rPr>
        <w:t>Chatelier</w:t>
      </w:r>
      <w:proofErr w:type="spellEnd"/>
      <w:r w:rsidR="00BB38BD">
        <w:rPr>
          <w:rFonts w:ascii="Times New Roman" w:eastAsia="Times New Roman" w:hAnsi="Times New Roman" w:cs="Times New Roman"/>
          <w:sz w:val="20"/>
          <w:szCs w:val="20"/>
          <w:lang w:eastAsia="pt-BR"/>
        </w:rPr>
        <w:t>,</w:t>
      </w:r>
      <w:r w:rsidRPr="00FC6268">
        <w:rPr>
          <w:rFonts w:ascii="Times New Roman" w:eastAsia="Times New Roman" w:hAnsi="Times New Roman" w:cs="Times New Roman"/>
          <w:sz w:val="20"/>
          <w:szCs w:val="20"/>
          <w:lang w:eastAsia="pt-BR"/>
        </w:rPr>
        <w:t xml:space="preserve"> haja vista que a reação de formação do metanol procede por meio de uma contração de volume (CO</w:t>
      </w:r>
      <w:r w:rsidRPr="00FC6268">
        <w:rPr>
          <w:rFonts w:ascii="Times New Roman" w:eastAsia="Times New Roman" w:hAnsi="Times New Roman" w:cs="Times New Roman"/>
          <w:sz w:val="20"/>
          <w:szCs w:val="20"/>
          <w:vertAlign w:val="subscript"/>
          <w:lang w:eastAsia="pt-BR"/>
        </w:rPr>
        <w:t>2</w:t>
      </w:r>
      <w:r w:rsidRPr="00FC6268">
        <w:rPr>
          <w:rFonts w:ascii="Times New Roman" w:eastAsia="Times New Roman" w:hAnsi="Times New Roman" w:cs="Times New Roman"/>
          <w:sz w:val="20"/>
          <w:szCs w:val="20"/>
          <w:lang w:eastAsia="pt-BR"/>
        </w:rPr>
        <w:t xml:space="preserve"> + 3H</w:t>
      </w:r>
      <w:r w:rsidRPr="00FC6268">
        <w:rPr>
          <w:rFonts w:ascii="Times New Roman" w:eastAsia="Times New Roman" w:hAnsi="Times New Roman" w:cs="Times New Roman"/>
          <w:sz w:val="20"/>
          <w:szCs w:val="20"/>
          <w:vertAlign w:val="subscript"/>
          <w:lang w:eastAsia="pt-BR"/>
        </w:rPr>
        <w:t>2</w:t>
      </w:r>
      <w:r w:rsidRPr="00FC6268">
        <w:rPr>
          <w:rFonts w:ascii="Times New Roman" w:eastAsia="Times New Roman" w:hAnsi="Times New Roman" w:cs="Times New Roman"/>
          <w:sz w:val="20"/>
          <w:szCs w:val="20"/>
          <w:lang w:eastAsia="pt-BR"/>
        </w:rPr>
        <w:t xml:space="preserve"> </w:t>
      </w:r>
      <w:r w:rsidRPr="00FC6268">
        <w:rPr>
          <w:rFonts w:ascii="Times New Roman" w:eastAsia="Times New Roman" w:hAnsi="Times New Roman" w:cs="Times New Roman"/>
          <w:sz w:val="20"/>
          <w:szCs w:val="20"/>
          <w:lang w:eastAsia="pt-BR"/>
        </w:rPr>
        <w:sym w:font="Symbol" w:char="F0DB"/>
      </w:r>
      <w:r w:rsidRPr="00FC6268">
        <w:rPr>
          <w:rFonts w:ascii="Times New Roman" w:eastAsia="Times New Roman" w:hAnsi="Times New Roman" w:cs="Times New Roman"/>
          <w:sz w:val="20"/>
          <w:szCs w:val="20"/>
          <w:lang w:eastAsia="pt-BR"/>
        </w:rPr>
        <w:t xml:space="preserve"> CH</w:t>
      </w:r>
      <w:r w:rsidRPr="00FC6268">
        <w:rPr>
          <w:rFonts w:ascii="Times New Roman" w:eastAsia="Times New Roman" w:hAnsi="Times New Roman" w:cs="Times New Roman"/>
          <w:sz w:val="20"/>
          <w:szCs w:val="20"/>
          <w:vertAlign w:val="subscript"/>
          <w:lang w:eastAsia="pt-BR"/>
        </w:rPr>
        <w:t>3</w:t>
      </w:r>
      <w:r w:rsidRPr="00FC6268">
        <w:rPr>
          <w:rFonts w:ascii="Times New Roman" w:eastAsia="Times New Roman" w:hAnsi="Times New Roman" w:cs="Times New Roman"/>
          <w:sz w:val="20"/>
          <w:szCs w:val="20"/>
          <w:lang w:eastAsia="pt-BR"/>
        </w:rPr>
        <w:t>OH + H</w:t>
      </w:r>
      <w:r w:rsidRPr="00FC6268">
        <w:rPr>
          <w:rFonts w:ascii="Times New Roman" w:eastAsia="Times New Roman" w:hAnsi="Times New Roman" w:cs="Times New Roman"/>
          <w:sz w:val="20"/>
          <w:szCs w:val="20"/>
          <w:vertAlign w:val="subscript"/>
          <w:lang w:eastAsia="pt-BR"/>
        </w:rPr>
        <w:t>2</w:t>
      </w:r>
      <w:r w:rsidRPr="00FC6268">
        <w:rPr>
          <w:rFonts w:ascii="Times New Roman" w:eastAsia="Times New Roman" w:hAnsi="Times New Roman" w:cs="Times New Roman"/>
          <w:sz w:val="20"/>
          <w:szCs w:val="20"/>
          <w:lang w:eastAsia="pt-BR"/>
        </w:rPr>
        <w:t xml:space="preserve">O), </w:t>
      </w:r>
      <w:r w:rsidR="007F1DE6" w:rsidRPr="00FC6268">
        <w:rPr>
          <w:rFonts w:ascii="Times New Roman" w:eastAsia="Times New Roman" w:hAnsi="Times New Roman" w:cs="Times New Roman"/>
          <w:sz w:val="20"/>
          <w:szCs w:val="20"/>
          <w:lang w:eastAsia="pt-BR"/>
        </w:rPr>
        <w:t>sendo,</w:t>
      </w:r>
      <w:r w:rsidRPr="00FC6268">
        <w:rPr>
          <w:rFonts w:ascii="Times New Roman" w:eastAsia="Times New Roman" w:hAnsi="Times New Roman" w:cs="Times New Roman"/>
          <w:sz w:val="20"/>
          <w:szCs w:val="20"/>
          <w:lang w:eastAsia="pt-BR"/>
        </w:rPr>
        <w:t xml:space="preserve"> portanto</w:t>
      </w:r>
      <w:r>
        <w:rPr>
          <w:rFonts w:ascii="Times New Roman" w:eastAsia="Times New Roman" w:hAnsi="Times New Roman" w:cs="Times New Roman"/>
          <w:sz w:val="20"/>
          <w:szCs w:val="20"/>
          <w:lang w:eastAsia="pt-BR"/>
        </w:rPr>
        <w:t xml:space="preserve">, favorecida a altas pressões. </w:t>
      </w:r>
      <w:r w:rsidR="00421236">
        <w:rPr>
          <w:rFonts w:ascii="Times New Roman" w:eastAsia="Times New Roman" w:hAnsi="Times New Roman" w:cs="Times New Roman"/>
          <w:sz w:val="20"/>
          <w:szCs w:val="20"/>
          <w:lang w:eastAsia="pt-BR"/>
        </w:rPr>
        <w:t>Com relação à formação de CO, oriunda da reação reversa do deslocamento gás-água</w:t>
      </w:r>
      <w:r w:rsidR="007F1DE6">
        <w:rPr>
          <w:rFonts w:ascii="Times New Roman" w:eastAsia="Times New Roman" w:hAnsi="Times New Roman" w:cs="Times New Roman"/>
          <w:sz w:val="20"/>
          <w:szCs w:val="20"/>
          <w:lang w:eastAsia="pt-BR"/>
        </w:rPr>
        <w:t xml:space="preserve"> </w:t>
      </w:r>
      <w:r w:rsidR="007F1DE6" w:rsidRPr="00FC6268">
        <w:rPr>
          <w:rFonts w:ascii="Times New Roman" w:eastAsia="Times New Roman" w:hAnsi="Times New Roman" w:cs="Times New Roman"/>
          <w:sz w:val="20"/>
          <w:szCs w:val="20"/>
          <w:lang w:eastAsia="pt-BR"/>
        </w:rPr>
        <w:t>(CO</w:t>
      </w:r>
      <w:r w:rsidR="007F1DE6" w:rsidRPr="00FC6268">
        <w:rPr>
          <w:rFonts w:ascii="Times New Roman" w:eastAsia="Times New Roman" w:hAnsi="Times New Roman" w:cs="Times New Roman"/>
          <w:sz w:val="20"/>
          <w:szCs w:val="20"/>
          <w:vertAlign w:val="subscript"/>
          <w:lang w:eastAsia="pt-BR"/>
        </w:rPr>
        <w:t>2</w:t>
      </w:r>
      <w:r w:rsidR="007F1DE6" w:rsidRPr="00FC6268">
        <w:rPr>
          <w:rFonts w:ascii="Times New Roman" w:eastAsia="Times New Roman" w:hAnsi="Times New Roman" w:cs="Times New Roman"/>
          <w:sz w:val="20"/>
          <w:szCs w:val="20"/>
          <w:lang w:eastAsia="pt-BR"/>
        </w:rPr>
        <w:t xml:space="preserve"> + H</w:t>
      </w:r>
      <w:r w:rsidR="007F1DE6" w:rsidRPr="00FC6268">
        <w:rPr>
          <w:rFonts w:ascii="Times New Roman" w:eastAsia="Times New Roman" w:hAnsi="Times New Roman" w:cs="Times New Roman"/>
          <w:sz w:val="20"/>
          <w:szCs w:val="20"/>
          <w:vertAlign w:val="subscript"/>
          <w:lang w:eastAsia="pt-BR"/>
        </w:rPr>
        <w:t>2</w:t>
      </w:r>
      <w:r w:rsidR="007F1DE6" w:rsidRPr="00FC6268">
        <w:rPr>
          <w:rFonts w:ascii="Times New Roman" w:eastAsia="Times New Roman" w:hAnsi="Times New Roman" w:cs="Times New Roman"/>
          <w:sz w:val="20"/>
          <w:szCs w:val="20"/>
          <w:lang w:eastAsia="pt-BR"/>
        </w:rPr>
        <w:t xml:space="preserve"> </w:t>
      </w:r>
      <w:r w:rsidR="007F1DE6" w:rsidRPr="00FC6268">
        <w:rPr>
          <w:rFonts w:ascii="Times New Roman" w:eastAsia="Times New Roman" w:hAnsi="Times New Roman" w:cs="Times New Roman"/>
          <w:sz w:val="20"/>
          <w:szCs w:val="20"/>
          <w:lang w:eastAsia="pt-BR"/>
        </w:rPr>
        <w:sym w:font="Symbol" w:char="F0DB"/>
      </w:r>
      <w:r w:rsidR="007F1DE6" w:rsidRPr="00FC6268">
        <w:rPr>
          <w:rFonts w:ascii="Times New Roman" w:eastAsia="Times New Roman" w:hAnsi="Times New Roman" w:cs="Times New Roman"/>
          <w:sz w:val="20"/>
          <w:szCs w:val="20"/>
          <w:lang w:eastAsia="pt-BR"/>
        </w:rPr>
        <w:t xml:space="preserve"> </w:t>
      </w:r>
      <w:r w:rsidR="007F1DE6">
        <w:rPr>
          <w:rFonts w:ascii="Times New Roman" w:eastAsia="Times New Roman" w:hAnsi="Times New Roman" w:cs="Times New Roman"/>
          <w:sz w:val="20"/>
          <w:szCs w:val="20"/>
          <w:lang w:eastAsia="pt-BR"/>
        </w:rPr>
        <w:t>CO</w:t>
      </w:r>
      <w:r w:rsidR="007F1DE6" w:rsidRPr="00FC6268">
        <w:rPr>
          <w:rFonts w:ascii="Times New Roman" w:eastAsia="Times New Roman" w:hAnsi="Times New Roman" w:cs="Times New Roman"/>
          <w:sz w:val="20"/>
          <w:szCs w:val="20"/>
          <w:lang w:eastAsia="pt-BR"/>
        </w:rPr>
        <w:t xml:space="preserve"> + H</w:t>
      </w:r>
      <w:r w:rsidR="007F1DE6" w:rsidRPr="00FC6268">
        <w:rPr>
          <w:rFonts w:ascii="Times New Roman" w:eastAsia="Times New Roman" w:hAnsi="Times New Roman" w:cs="Times New Roman"/>
          <w:sz w:val="20"/>
          <w:szCs w:val="20"/>
          <w:vertAlign w:val="subscript"/>
          <w:lang w:eastAsia="pt-BR"/>
        </w:rPr>
        <w:t>2</w:t>
      </w:r>
      <w:r w:rsidR="007F1DE6" w:rsidRPr="00FC6268">
        <w:rPr>
          <w:rFonts w:ascii="Times New Roman" w:eastAsia="Times New Roman" w:hAnsi="Times New Roman" w:cs="Times New Roman"/>
          <w:sz w:val="20"/>
          <w:szCs w:val="20"/>
          <w:lang w:eastAsia="pt-BR"/>
        </w:rPr>
        <w:t>O)</w:t>
      </w:r>
      <w:r w:rsidR="00421236">
        <w:rPr>
          <w:rFonts w:ascii="Times New Roman" w:eastAsia="Times New Roman" w:hAnsi="Times New Roman" w:cs="Times New Roman"/>
          <w:sz w:val="20"/>
          <w:szCs w:val="20"/>
          <w:lang w:eastAsia="pt-BR"/>
        </w:rPr>
        <w:t xml:space="preserve">, os resultados também estão em acordo pois a formação do CO é favorecida a temperaturas superiores a 300 </w:t>
      </w:r>
      <w:r w:rsidR="008F4AB0">
        <w:rPr>
          <w:rFonts w:ascii="Times New Roman" w:eastAsia="Times New Roman" w:hAnsi="Times New Roman" w:cs="Times New Roman"/>
          <w:sz w:val="20"/>
          <w:szCs w:val="20"/>
          <w:lang w:eastAsia="pt-BR"/>
        </w:rPr>
        <w:t>º</w:t>
      </w:r>
      <w:r w:rsidR="00421236">
        <w:rPr>
          <w:rFonts w:ascii="Times New Roman" w:eastAsia="Times New Roman" w:hAnsi="Times New Roman" w:cs="Times New Roman"/>
          <w:sz w:val="20"/>
          <w:szCs w:val="20"/>
          <w:lang w:eastAsia="pt-BR"/>
        </w:rPr>
        <w:t>C. Com relação ao DME, este foi formado em quantidades ínfimas, sendo detectado apenas pelo espectrômetro de massas, o que é também justificável considerando a ausência de um catalisador ácido na reação. É relevante enfatizar que aspectos mecan</w:t>
      </w:r>
      <w:r w:rsidR="0062775C">
        <w:rPr>
          <w:rFonts w:ascii="Times New Roman" w:eastAsia="Times New Roman" w:hAnsi="Times New Roman" w:cs="Times New Roman"/>
          <w:sz w:val="20"/>
          <w:szCs w:val="20"/>
          <w:lang w:eastAsia="pt-BR"/>
        </w:rPr>
        <w:t>í</w:t>
      </w:r>
      <w:r w:rsidR="00421236">
        <w:rPr>
          <w:rFonts w:ascii="Times New Roman" w:eastAsia="Times New Roman" w:hAnsi="Times New Roman" w:cs="Times New Roman"/>
          <w:sz w:val="20"/>
          <w:szCs w:val="20"/>
          <w:lang w:eastAsia="pt-BR"/>
        </w:rPr>
        <w:t>st</w:t>
      </w:r>
      <w:r w:rsidR="0062775C">
        <w:rPr>
          <w:rFonts w:ascii="Times New Roman" w:eastAsia="Times New Roman" w:hAnsi="Times New Roman" w:cs="Times New Roman"/>
          <w:sz w:val="20"/>
          <w:szCs w:val="20"/>
          <w:lang w:eastAsia="pt-BR"/>
        </w:rPr>
        <w:t>i</w:t>
      </w:r>
      <w:r w:rsidR="00421236">
        <w:rPr>
          <w:rFonts w:ascii="Times New Roman" w:eastAsia="Times New Roman" w:hAnsi="Times New Roman" w:cs="Times New Roman"/>
          <w:sz w:val="20"/>
          <w:szCs w:val="20"/>
          <w:lang w:eastAsia="pt-BR"/>
        </w:rPr>
        <w:t xml:space="preserve">cos estão fora do escopo deste estudo, cujo objetivo principal foi o de avaliar a modificação microestrutural irreversível do catalisador sob as condições de reação. </w:t>
      </w:r>
    </w:p>
    <w:p w14:paraId="28EF00B2" w14:textId="77777777" w:rsidR="00F31DAE" w:rsidRDefault="00F31DAE" w:rsidP="00597162">
      <w:pPr>
        <w:pStyle w:val="TAMainText"/>
        <w:ind w:firstLine="0"/>
        <w:rPr>
          <w:rFonts w:ascii="Times New Roman" w:hAnsi="Times New Roman"/>
          <w:i/>
          <w:iCs/>
          <w:lang w:val="pt-BR"/>
        </w:rPr>
      </w:pPr>
    </w:p>
    <w:p w14:paraId="73FA774A" w14:textId="77777777" w:rsidR="00597162" w:rsidRDefault="00CA6CE3" w:rsidP="00597162">
      <w:pPr>
        <w:pStyle w:val="TAMainText"/>
        <w:ind w:firstLine="0"/>
        <w:rPr>
          <w:rFonts w:ascii="Times New Roman" w:hAnsi="Times New Roman"/>
          <w:i/>
          <w:iCs/>
          <w:lang w:val="pt-BR"/>
        </w:rPr>
      </w:pPr>
      <w:r w:rsidRPr="003D5987">
        <w:rPr>
          <w:rFonts w:ascii="Times New Roman" w:hAnsi="Times New Roman"/>
          <w:i/>
          <w:iCs/>
          <w:lang w:val="pt-BR"/>
        </w:rPr>
        <w:t>Caracterização das amostras usadas</w:t>
      </w:r>
    </w:p>
    <w:p w14:paraId="6ABF4EC9" w14:textId="77777777" w:rsidR="00421236" w:rsidRPr="00421236" w:rsidRDefault="00421236" w:rsidP="00771EC9">
      <w:pPr>
        <w:pStyle w:val="TAMainText"/>
        <w:ind w:firstLine="284"/>
        <w:rPr>
          <w:rFonts w:ascii="Times New Roman" w:hAnsi="Times New Roman"/>
          <w:iCs/>
          <w:lang w:val="pt-BR"/>
        </w:rPr>
      </w:pPr>
      <w:r>
        <w:rPr>
          <w:rFonts w:ascii="Times New Roman" w:hAnsi="Times New Roman"/>
          <w:iCs/>
          <w:lang w:val="pt-BR"/>
        </w:rPr>
        <w:t xml:space="preserve">Neste estudo, a caracterização dos catalisadores consistiu em uma ferramenta fundamental. Embora seja uma técnica </w:t>
      </w:r>
      <w:r w:rsidRPr="00E07880">
        <w:rPr>
          <w:rFonts w:ascii="Times New Roman" w:hAnsi="Times New Roman"/>
          <w:i/>
          <w:lang w:val="pt-BR"/>
        </w:rPr>
        <w:t>bulk</w:t>
      </w:r>
      <w:r w:rsidR="00E07880">
        <w:rPr>
          <w:rFonts w:ascii="Times New Roman" w:hAnsi="Times New Roman"/>
          <w:iCs/>
          <w:lang w:val="pt-BR"/>
        </w:rPr>
        <w:t>,</w:t>
      </w:r>
      <w:r>
        <w:rPr>
          <w:rFonts w:ascii="Times New Roman" w:hAnsi="Times New Roman"/>
          <w:iCs/>
          <w:lang w:val="pt-BR"/>
        </w:rPr>
        <w:t xml:space="preserve"> exibe a vantagem de não modificar o estado de oxidação dos catalisadores, o que pode ocorrer quando se usa técnicas de ultra alto vácuo. Desse modo, o DRX fornece relevantes aspectos relacionados a composição estrutura e seu intercâmbio, com subsequentes modificações. </w:t>
      </w:r>
      <w:r w:rsidR="00405B82" w:rsidRPr="009F62DD">
        <w:rPr>
          <w:rFonts w:ascii="Times New Roman" w:hAnsi="Times New Roman"/>
          <w:iCs/>
          <w:lang w:val="pt-BR"/>
        </w:rPr>
        <w:t>Todos os difratogramas são apresentados com as intensidades normalizadas.</w:t>
      </w:r>
    </w:p>
    <w:p w14:paraId="483E6D6E" w14:textId="77777777" w:rsidR="008A3837" w:rsidRDefault="00A3784A" w:rsidP="001242EB">
      <w:pPr>
        <w:pStyle w:val="TAMainText"/>
        <w:ind w:firstLine="284"/>
        <w:rPr>
          <w:rStyle w:val="fontstyle01"/>
          <w:rFonts w:ascii="Times New Roman" w:hAnsi="Times New Roman"/>
          <w:lang w:val="pt-BR"/>
        </w:rPr>
      </w:pPr>
      <w:r>
        <w:rPr>
          <w:rFonts w:ascii="Times New Roman" w:hAnsi="Times New Roman"/>
          <w:lang w:val="pt-BR"/>
        </w:rPr>
        <w:t>Com relação ao catalisador fresco</w:t>
      </w:r>
      <w:r w:rsidR="002F1F34">
        <w:rPr>
          <w:rFonts w:ascii="Times New Roman" w:hAnsi="Times New Roman"/>
          <w:lang w:val="pt-BR"/>
        </w:rPr>
        <w:t xml:space="preserve"> (Fig. 2)</w:t>
      </w:r>
      <w:r>
        <w:rPr>
          <w:rFonts w:ascii="Times New Roman" w:hAnsi="Times New Roman"/>
          <w:lang w:val="pt-BR"/>
        </w:rPr>
        <w:t xml:space="preserve">, observa-se linhas de difração correspondentes a estrutura lamelar de </w:t>
      </w:r>
      <w:proofErr w:type="spellStart"/>
      <w:r>
        <w:rPr>
          <w:rFonts w:ascii="Times New Roman" w:hAnsi="Times New Roman"/>
          <w:lang w:val="pt-BR"/>
        </w:rPr>
        <w:t>hidrotalcita</w:t>
      </w:r>
      <w:proofErr w:type="spellEnd"/>
      <w:r w:rsidR="00063569">
        <w:rPr>
          <w:rFonts w:ascii="Times New Roman" w:hAnsi="Times New Roman"/>
          <w:lang w:val="pt-BR"/>
        </w:rPr>
        <w:t xml:space="preserve"> (HT)</w:t>
      </w:r>
      <w:r>
        <w:rPr>
          <w:rFonts w:ascii="Times New Roman" w:hAnsi="Times New Roman"/>
          <w:lang w:val="pt-BR"/>
        </w:rPr>
        <w:t xml:space="preserve">, resultante do chamado efeito memória, no </w:t>
      </w:r>
      <w:r>
        <w:rPr>
          <w:rFonts w:ascii="Times New Roman" w:hAnsi="Times New Roman"/>
          <w:lang w:val="pt-BR"/>
        </w:rPr>
        <w:t>qual o CO</w:t>
      </w:r>
      <w:r w:rsidRPr="00A3784A">
        <w:rPr>
          <w:rFonts w:ascii="Times New Roman" w:hAnsi="Times New Roman"/>
          <w:vertAlign w:val="subscript"/>
          <w:lang w:val="pt-BR"/>
        </w:rPr>
        <w:t>2</w:t>
      </w:r>
      <w:r>
        <w:rPr>
          <w:rFonts w:ascii="Times New Roman" w:hAnsi="Times New Roman"/>
          <w:lang w:val="pt-BR"/>
        </w:rPr>
        <w:t xml:space="preserve"> e H</w:t>
      </w:r>
      <w:r w:rsidRPr="00A3784A">
        <w:rPr>
          <w:rFonts w:ascii="Times New Roman" w:hAnsi="Times New Roman"/>
          <w:vertAlign w:val="subscript"/>
          <w:lang w:val="pt-BR"/>
        </w:rPr>
        <w:t>2</w:t>
      </w:r>
      <w:r>
        <w:rPr>
          <w:rFonts w:ascii="Times New Roman" w:hAnsi="Times New Roman"/>
          <w:lang w:val="pt-BR"/>
        </w:rPr>
        <w:t>O eliminado</w:t>
      </w:r>
      <w:r w:rsidR="00F8011C">
        <w:rPr>
          <w:rFonts w:ascii="Times New Roman" w:hAnsi="Times New Roman"/>
          <w:lang w:val="pt-BR"/>
        </w:rPr>
        <w:t>s</w:t>
      </w:r>
      <w:r>
        <w:rPr>
          <w:rFonts w:ascii="Times New Roman" w:hAnsi="Times New Roman"/>
          <w:lang w:val="pt-BR"/>
        </w:rPr>
        <w:t xml:space="preserve"> durante a calcinação são reincorporados à estrutura</w:t>
      </w:r>
      <w:r w:rsidR="00F8011C">
        <w:rPr>
          <w:rFonts w:ascii="Times New Roman" w:hAnsi="Times New Roman"/>
          <w:lang w:val="pt-BR"/>
        </w:rPr>
        <w:t xml:space="preserve"> (</w:t>
      </w:r>
      <w:r w:rsidR="00B25C2A">
        <w:rPr>
          <w:rFonts w:ascii="Times New Roman" w:hAnsi="Times New Roman"/>
          <w:lang w:val="pt-BR"/>
        </w:rPr>
        <w:t>6</w:t>
      </w:r>
      <w:r w:rsidR="00F8011C">
        <w:rPr>
          <w:rFonts w:ascii="Times New Roman" w:hAnsi="Times New Roman"/>
          <w:lang w:val="pt-BR"/>
        </w:rPr>
        <w:t>)</w:t>
      </w:r>
      <w:r>
        <w:rPr>
          <w:rFonts w:ascii="Times New Roman" w:hAnsi="Times New Roman"/>
          <w:lang w:val="pt-BR"/>
        </w:rPr>
        <w:t xml:space="preserve">. O padrão de difração também apresenta linhas de difração correspondentes a </w:t>
      </w:r>
      <w:r w:rsidRPr="00A3784A">
        <w:rPr>
          <w:rStyle w:val="fontstyle01"/>
          <w:rFonts w:ascii="Times New Roman" w:hAnsi="Times New Roman"/>
        </w:rPr>
        <w:sym w:font="Symbol" w:char="F067"/>
      </w:r>
      <w:r w:rsidRPr="00A3784A">
        <w:rPr>
          <w:rStyle w:val="fontstyle01"/>
          <w:rFonts w:ascii="Times New Roman" w:hAnsi="Times New Roman"/>
          <w:lang w:val="pt-BR"/>
        </w:rPr>
        <w:t>-Al</w:t>
      </w:r>
      <w:r w:rsidRPr="00A3784A">
        <w:rPr>
          <w:rStyle w:val="fontstyle01"/>
          <w:rFonts w:ascii="Times New Roman" w:hAnsi="Times New Roman"/>
          <w:vertAlign w:val="subscript"/>
          <w:lang w:val="pt-BR"/>
        </w:rPr>
        <w:t>2</w:t>
      </w:r>
      <w:r w:rsidRPr="00A3784A">
        <w:rPr>
          <w:rStyle w:val="fontstyle01"/>
          <w:rFonts w:ascii="Times New Roman" w:hAnsi="Times New Roman"/>
          <w:lang w:val="pt-BR"/>
        </w:rPr>
        <w:t>O</w:t>
      </w:r>
      <w:r w:rsidRPr="00A3784A">
        <w:rPr>
          <w:rStyle w:val="fontstyle01"/>
          <w:rFonts w:ascii="Times New Roman" w:hAnsi="Times New Roman"/>
          <w:vertAlign w:val="subscript"/>
          <w:lang w:val="pt-BR"/>
        </w:rPr>
        <w:t>3</w:t>
      </w:r>
      <w:r w:rsidRPr="00A3784A">
        <w:rPr>
          <w:rStyle w:val="fontstyle01"/>
          <w:rFonts w:ascii="Times New Roman" w:hAnsi="Times New Roman"/>
          <w:lang w:val="pt-BR"/>
        </w:rPr>
        <w:t xml:space="preserve"> </w:t>
      </w:r>
      <w:r w:rsidR="00E637F9">
        <w:rPr>
          <w:rStyle w:val="fontstyle01"/>
          <w:rFonts w:ascii="Times New Roman" w:hAnsi="Times New Roman"/>
          <w:lang w:val="pt-BR"/>
        </w:rPr>
        <w:t>e carbono</w:t>
      </w:r>
      <w:r w:rsidRPr="00A3784A">
        <w:rPr>
          <w:rStyle w:val="fontstyle01"/>
          <w:rFonts w:ascii="Times New Roman" w:hAnsi="Times New Roman"/>
          <w:lang w:val="pt-BR"/>
        </w:rPr>
        <w:t>.</w:t>
      </w:r>
      <w:r>
        <w:rPr>
          <w:rStyle w:val="fontstyle01"/>
          <w:rFonts w:ascii="Times New Roman" w:hAnsi="Times New Roman"/>
          <w:lang w:val="pt-BR"/>
        </w:rPr>
        <w:t xml:space="preserve"> O carbono é oriundo do grafite utilizado no processo de </w:t>
      </w:r>
      <w:proofErr w:type="spellStart"/>
      <w:r>
        <w:rPr>
          <w:rStyle w:val="fontstyle01"/>
          <w:rFonts w:ascii="Times New Roman" w:hAnsi="Times New Roman"/>
          <w:lang w:val="pt-BR"/>
        </w:rPr>
        <w:t>peletização</w:t>
      </w:r>
      <w:proofErr w:type="spellEnd"/>
      <w:r>
        <w:rPr>
          <w:rStyle w:val="fontstyle01"/>
          <w:rFonts w:ascii="Times New Roman" w:hAnsi="Times New Roman"/>
          <w:lang w:val="pt-BR"/>
        </w:rPr>
        <w:t>.</w:t>
      </w:r>
      <w:r w:rsidR="008A3837">
        <w:rPr>
          <w:rStyle w:val="fontstyle01"/>
          <w:rFonts w:ascii="Times New Roman" w:hAnsi="Times New Roman"/>
          <w:lang w:val="pt-BR"/>
        </w:rPr>
        <w:t xml:space="preserve"> </w:t>
      </w:r>
      <w:r w:rsidR="00942A44">
        <w:rPr>
          <w:rStyle w:val="fontstyle01"/>
          <w:rFonts w:ascii="Times New Roman" w:hAnsi="Times New Roman"/>
          <w:lang w:val="pt-BR"/>
        </w:rPr>
        <w:t>Not</w:t>
      </w:r>
      <w:r w:rsidR="00D27DC4">
        <w:rPr>
          <w:rStyle w:val="fontstyle01"/>
          <w:rFonts w:ascii="Times New Roman" w:hAnsi="Times New Roman"/>
          <w:lang w:val="pt-BR"/>
        </w:rPr>
        <w:t>oriamente</w:t>
      </w:r>
      <w:r w:rsidR="00942A44">
        <w:rPr>
          <w:rStyle w:val="fontstyle01"/>
          <w:rFonts w:ascii="Times New Roman" w:hAnsi="Times New Roman"/>
          <w:lang w:val="pt-BR"/>
        </w:rPr>
        <w:t xml:space="preserve">, os padrões de difração coletados são complexos, com alto número de reflexões de Bragg, sobrepondo com importantes picos de Cu e/ou Zn, impossibilitando a indexação de todas as fases. Apesar disso, relevantes informações podem ser obtidas a partir dos difratogramas apresentados. </w:t>
      </w:r>
    </w:p>
    <w:p w14:paraId="1DF8EAD5" w14:textId="77777777" w:rsidR="009E5A42" w:rsidRDefault="009E5A42" w:rsidP="001242EB">
      <w:pPr>
        <w:pStyle w:val="TAMainText"/>
        <w:ind w:firstLine="284"/>
        <w:rPr>
          <w:rStyle w:val="fontstyle01"/>
          <w:rFonts w:ascii="Times New Roman" w:hAnsi="Times New Roman"/>
          <w:lang w:val="pt-BR"/>
        </w:rPr>
      </w:pPr>
    </w:p>
    <w:p w14:paraId="7155A6FF" w14:textId="77777777" w:rsidR="009E5A42" w:rsidRDefault="009E5A42" w:rsidP="009E5A42">
      <w:pPr>
        <w:jc w:val="center"/>
      </w:pPr>
      <w:r w:rsidRPr="00CB7851">
        <w:rPr>
          <w:noProof/>
          <w:lang w:eastAsia="pt-BR"/>
        </w:rPr>
        <w:drawing>
          <wp:inline distT="0" distB="0" distL="0" distR="0" wp14:anchorId="46AC8126" wp14:editId="62E35875">
            <wp:extent cx="2988000" cy="2556741"/>
            <wp:effectExtent l="0" t="0" r="0"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948" t="4109" r="5269" b="4951"/>
                    <a:stretch/>
                  </pic:blipFill>
                  <pic:spPr bwMode="auto">
                    <a:xfrm>
                      <a:off x="0" y="0"/>
                      <a:ext cx="2988000" cy="2556741"/>
                    </a:xfrm>
                    <a:prstGeom prst="rect">
                      <a:avLst/>
                    </a:prstGeom>
                    <a:noFill/>
                    <a:ln>
                      <a:noFill/>
                    </a:ln>
                    <a:extLst>
                      <a:ext uri="{53640926-AAD7-44D8-BBD7-CCE9431645EC}">
                        <a14:shadowObscured xmlns:a14="http://schemas.microsoft.com/office/drawing/2010/main"/>
                      </a:ext>
                    </a:extLst>
                  </pic:spPr>
                </pic:pic>
              </a:graphicData>
            </a:graphic>
          </wp:inline>
        </w:drawing>
      </w:r>
    </w:p>
    <w:p w14:paraId="7DF4789F" w14:textId="77777777" w:rsidR="009E5A42" w:rsidRPr="009E5A42" w:rsidRDefault="009E5A42" w:rsidP="009E5A42">
      <w:pPr>
        <w:tabs>
          <w:tab w:val="left" w:pos="0"/>
        </w:tabs>
        <w:autoSpaceDE w:val="0"/>
        <w:autoSpaceDN w:val="0"/>
        <w:adjustRightInd w:val="0"/>
        <w:spacing w:after="0" w:line="240" w:lineRule="auto"/>
        <w:ind w:right="90"/>
        <w:jc w:val="both"/>
        <w:rPr>
          <w:rFonts w:ascii="Times New Roman" w:hAnsi="Times New Roman" w:cs="Times New Roman"/>
          <w:sz w:val="18"/>
          <w:szCs w:val="18"/>
        </w:rPr>
      </w:pPr>
      <w:r w:rsidRPr="009E5A42">
        <w:rPr>
          <w:rFonts w:ascii="Times New Roman" w:hAnsi="Times New Roman" w:cs="Times New Roman"/>
          <w:b/>
          <w:bCs/>
          <w:sz w:val="18"/>
          <w:szCs w:val="18"/>
        </w:rPr>
        <w:t xml:space="preserve">Figura 2. </w:t>
      </w:r>
      <w:proofErr w:type="spellStart"/>
      <w:r w:rsidRPr="009E5A42">
        <w:rPr>
          <w:rFonts w:ascii="Times New Roman" w:hAnsi="Times New Roman" w:cs="Times New Roman"/>
          <w:sz w:val="18"/>
          <w:szCs w:val="18"/>
        </w:rPr>
        <w:t>Difratograma</w:t>
      </w:r>
      <w:proofErr w:type="spellEnd"/>
      <w:r w:rsidRPr="009E5A42">
        <w:rPr>
          <w:rFonts w:ascii="Times New Roman" w:hAnsi="Times New Roman" w:cs="Times New Roman"/>
          <w:sz w:val="18"/>
          <w:szCs w:val="18"/>
        </w:rPr>
        <w:t xml:space="preserve"> obtido com a amostra CZA fresca. HT = </w:t>
      </w:r>
      <w:proofErr w:type="spellStart"/>
      <w:r w:rsidRPr="009E5A42">
        <w:rPr>
          <w:rFonts w:ascii="Times New Roman" w:hAnsi="Times New Roman" w:cs="Times New Roman"/>
          <w:sz w:val="18"/>
          <w:szCs w:val="18"/>
        </w:rPr>
        <w:t>hidrotalcita</w:t>
      </w:r>
      <w:proofErr w:type="spellEnd"/>
      <w:r w:rsidRPr="009E5A42">
        <w:rPr>
          <w:rFonts w:ascii="Times New Roman" w:hAnsi="Times New Roman" w:cs="Times New Roman"/>
          <w:sz w:val="18"/>
          <w:szCs w:val="18"/>
        </w:rPr>
        <w:t xml:space="preserve"> (</w:t>
      </w:r>
      <w:proofErr w:type="spellStart"/>
      <w:r w:rsidRPr="009E5A42">
        <w:rPr>
          <w:rFonts w:ascii="Times New Roman" w:hAnsi="Times New Roman" w:cs="Times New Roman"/>
          <w:sz w:val="18"/>
          <w:szCs w:val="18"/>
        </w:rPr>
        <w:t>pdf</w:t>
      </w:r>
      <w:proofErr w:type="spellEnd"/>
      <w:r w:rsidRPr="009E5A42">
        <w:rPr>
          <w:rFonts w:ascii="Times New Roman" w:hAnsi="Times New Roman" w:cs="Times New Roman"/>
          <w:sz w:val="18"/>
          <w:szCs w:val="18"/>
        </w:rPr>
        <w:t xml:space="preserve"> 00.038.0487).</w:t>
      </w:r>
    </w:p>
    <w:p w14:paraId="26C472DC" w14:textId="77777777" w:rsidR="009E5A42" w:rsidRDefault="009E5A42" w:rsidP="001242EB">
      <w:pPr>
        <w:pStyle w:val="TAMainText"/>
        <w:ind w:firstLine="284"/>
        <w:rPr>
          <w:rStyle w:val="fontstyle01"/>
          <w:rFonts w:ascii="Times New Roman" w:hAnsi="Times New Roman"/>
          <w:lang w:val="pt-BR"/>
        </w:rPr>
      </w:pPr>
    </w:p>
    <w:p w14:paraId="59772894" w14:textId="77777777" w:rsidR="000D43B6" w:rsidRDefault="00300096" w:rsidP="000D43B6">
      <w:pPr>
        <w:pStyle w:val="TAMainText"/>
        <w:ind w:firstLine="284"/>
        <w:rPr>
          <w:rStyle w:val="fontstyle01"/>
          <w:rFonts w:ascii="Times New Roman" w:hAnsi="Times New Roman"/>
          <w:lang w:val="pt-BR"/>
        </w:rPr>
      </w:pPr>
      <w:r>
        <w:rPr>
          <w:rStyle w:val="fontstyle01"/>
          <w:rFonts w:ascii="Times New Roman" w:hAnsi="Times New Roman"/>
          <w:lang w:val="pt-BR"/>
        </w:rPr>
        <w:t xml:space="preserve">As Figuras 3 e 4 apresentam regiões ampliadas dos difratogramas obtidos com as amostras usadas nas reações sob diferentes pressões, sendo denotadas CZA-X, onde X é a pressão utilizada (1, 10, 20 e 30 bar). </w:t>
      </w:r>
      <w:r w:rsidR="00942A44">
        <w:rPr>
          <w:rStyle w:val="fontstyle01"/>
          <w:rFonts w:ascii="Times New Roman" w:hAnsi="Times New Roman"/>
          <w:lang w:val="pt-BR"/>
        </w:rPr>
        <w:t xml:space="preserve">Os difratogramas em escala ampliada, compreendendo as regiões de </w:t>
      </w:r>
      <w:r w:rsidR="00942A44" w:rsidRPr="00942A44">
        <w:rPr>
          <w:rStyle w:val="fontstyle01"/>
          <w:rFonts w:ascii="Times New Roman" w:hAnsi="Times New Roman"/>
          <w:lang w:val="pt-BR"/>
        </w:rPr>
        <w:t xml:space="preserve">32° </w:t>
      </w:r>
      <w:r w:rsidR="00942A44">
        <w:rPr>
          <w:rStyle w:val="fontstyle01"/>
          <w:rFonts w:ascii="Times New Roman" w:hAnsi="Times New Roman"/>
          <w:lang w:val="pt-BR"/>
        </w:rPr>
        <w:t>a</w:t>
      </w:r>
      <w:r w:rsidR="00942A44" w:rsidRPr="00942A44">
        <w:rPr>
          <w:rStyle w:val="fontstyle01"/>
          <w:rFonts w:ascii="Times New Roman" w:hAnsi="Times New Roman"/>
          <w:lang w:val="pt-BR"/>
        </w:rPr>
        <w:t xml:space="preserve"> </w:t>
      </w:r>
      <w:r w:rsidR="00127B6A">
        <w:rPr>
          <w:rStyle w:val="fontstyle01"/>
          <w:rFonts w:ascii="Times New Roman" w:hAnsi="Times New Roman"/>
          <w:lang w:val="pt-BR"/>
        </w:rPr>
        <w:t>40</w:t>
      </w:r>
      <w:r w:rsidR="00942A44" w:rsidRPr="00942A44">
        <w:rPr>
          <w:rStyle w:val="fontstyle01"/>
          <w:rFonts w:ascii="Times New Roman" w:hAnsi="Times New Roman"/>
          <w:lang w:val="pt-BR"/>
        </w:rPr>
        <w:t>°</w:t>
      </w:r>
      <w:r w:rsidR="005C339C">
        <w:rPr>
          <w:rStyle w:val="fontstyle01"/>
          <w:rFonts w:ascii="Times New Roman" w:hAnsi="Times New Roman"/>
          <w:lang w:val="pt-BR"/>
        </w:rPr>
        <w:t xml:space="preserve"> (Fig. 3)</w:t>
      </w:r>
      <w:r w:rsidR="00942A44" w:rsidRPr="00942A44">
        <w:rPr>
          <w:rStyle w:val="fontstyle01"/>
          <w:rFonts w:ascii="Times New Roman" w:hAnsi="Times New Roman"/>
          <w:lang w:val="pt-BR"/>
        </w:rPr>
        <w:t xml:space="preserve"> </w:t>
      </w:r>
      <w:r w:rsidR="00942A44">
        <w:rPr>
          <w:rStyle w:val="fontstyle01"/>
          <w:rFonts w:ascii="Times New Roman" w:hAnsi="Times New Roman"/>
          <w:lang w:val="pt-BR"/>
        </w:rPr>
        <w:t>e</w:t>
      </w:r>
      <w:r w:rsidR="00942A44" w:rsidRPr="00942A44">
        <w:rPr>
          <w:rStyle w:val="fontstyle01"/>
          <w:rFonts w:ascii="Times New Roman" w:hAnsi="Times New Roman"/>
          <w:lang w:val="pt-BR"/>
        </w:rPr>
        <w:t xml:space="preserve"> 40 </w:t>
      </w:r>
      <w:r w:rsidR="00942A44">
        <w:rPr>
          <w:rStyle w:val="fontstyle01"/>
          <w:rFonts w:ascii="Times New Roman" w:hAnsi="Times New Roman"/>
          <w:lang w:val="pt-BR"/>
        </w:rPr>
        <w:t>a</w:t>
      </w:r>
      <w:r w:rsidR="00942A44" w:rsidRPr="00942A44">
        <w:rPr>
          <w:rStyle w:val="fontstyle01"/>
          <w:rFonts w:ascii="Times New Roman" w:hAnsi="Times New Roman"/>
          <w:lang w:val="pt-BR"/>
        </w:rPr>
        <w:t xml:space="preserve"> 56°</w:t>
      </w:r>
      <w:r w:rsidR="005C339C">
        <w:rPr>
          <w:rStyle w:val="fontstyle01"/>
          <w:rFonts w:ascii="Times New Roman" w:hAnsi="Times New Roman"/>
          <w:lang w:val="pt-BR"/>
        </w:rPr>
        <w:t xml:space="preserve"> (</w:t>
      </w:r>
      <w:proofErr w:type="spellStart"/>
      <w:r w:rsidR="005C339C">
        <w:rPr>
          <w:rStyle w:val="fontstyle01"/>
          <w:rFonts w:ascii="Times New Roman" w:hAnsi="Times New Roman"/>
          <w:lang w:val="pt-BR"/>
        </w:rPr>
        <w:t>Fig</w:t>
      </w:r>
      <w:proofErr w:type="spellEnd"/>
      <w:r w:rsidR="005C339C">
        <w:rPr>
          <w:rStyle w:val="fontstyle01"/>
          <w:rFonts w:ascii="Times New Roman" w:hAnsi="Times New Roman"/>
          <w:lang w:val="pt-BR"/>
        </w:rPr>
        <w:t xml:space="preserve"> 4.)</w:t>
      </w:r>
      <w:r w:rsidR="00942A44" w:rsidRPr="00942A44">
        <w:rPr>
          <w:rStyle w:val="fontstyle01"/>
          <w:rFonts w:ascii="Times New Roman" w:hAnsi="Times New Roman"/>
          <w:lang w:val="pt-BR"/>
        </w:rPr>
        <w:t>,</w:t>
      </w:r>
      <w:r w:rsidR="00942A44">
        <w:rPr>
          <w:rStyle w:val="fontstyle01"/>
          <w:rFonts w:ascii="Times New Roman" w:hAnsi="Times New Roman"/>
          <w:lang w:val="pt-BR"/>
        </w:rPr>
        <w:t xml:space="preserve"> mostram a presença de linhas de difração associadas ao CuAlO</w:t>
      </w:r>
      <w:r w:rsidR="00942A44">
        <w:rPr>
          <w:rStyle w:val="fontstyle01"/>
          <w:rFonts w:ascii="Times New Roman" w:hAnsi="Times New Roman"/>
          <w:vertAlign w:val="subscript"/>
          <w:lang w:val="pt-BR"/>
        </w:rPr>
        <w:t>2</w:t>
      </w:r>
      <w:r w:rsidR="00942A44">
        <w:rPr>
          <w:rStyle w:val="fontstyle01"/>
          <w:rFonts w:ascii="Times New Roman" w:hAnsi="Times New Roman"/>
          <w:lang w:val="pt-BR"/>
        </w:rPr>
        <w:t xml:space="preserve"> (</w:t>
      </w:r>
      <w:proofErr w:type="spellStart"/>
      <w:r w:rsidR="00942A44">
        <w:rPr>
          <w:rStyle w:val="fontstyle01"/>
          <w:rFonts w:ascii="Times New Roman" w:hAnsi="Times New Roman"/>
          <w:lang w:val="pt-BR"/>
        </w:rPr>
        <w:t>pdf</w:t>
      </w:r>
      <w:proofErr w:type="spellEnd"/>
      <w:r w:rsidR="00942A44">
        <w:rPr>
          <w:rStyle w:val="fontstyle01"/>
          <w:rFonts w:ascii="Times New Roman" w:hAnsi="Times New Roman"/>
          <w:lang w:val="pt-BR"/>
        </w:rPr>
        <w:t xml:space="preserve"> </w:t>
      </w:r>
      <w:r w:rsidR="00942A44" w:rsidRPr="00942A44">
        <w:rPr>
          <w:rStyle w:val="fontstyle01"/>
          <w:rFonts w:ascii="Times New Roman" w:hAnsi="Times New Roman"/>
          <w:lang w:val="pt-BR"/>
        </w:rPr>
        <w:t>01.075.2359</w:t>
      </w:r>
      <w:r w:rsidR="00942A44">
        <w:rPr>
          <w:rStyle w:val="fontstyle01"/>
          <w:rFonts w:ascii="Times New Roman" w:hAnsi="Times New Roman"/>
          <w:lang w:val="pt-BR"/>
        </w:rPr>
        <w:t>, 2</w:t>
      </w:r>
      <w:r w:rsidR="00942A44">
        <w:rPr>
          <w:rStyle w:val="fontstyle01"/>
          <w:rFonts w:ascii="Times New Roman" w:hAnsi="Times New Roman"/>
          <w:lang w:val="pt-BR"/>
        </w:rPr>
        <w:sym w:font="Symbol" w:char="F071"/>
      </w:r>
      <w:r w:rsidR="00942A44" w:rsidRPr="00942A44">
        <w:rPr>
          <w:rStyle w:val="fontstyle01"/>
          <w:rFonts w:ascii="Times New Roman" w:hAnsi="Times New Roman"/>
          <w:lang w:val="pt-BR"/>
        </w:rPr>
        <w:t xml:space="preserve"> = 37</w:t>
      </w:r>
      <w:r w:rsidR="00942A44">
        <w:rPr>
          <w:rStyle w:val="fontstyle01"/>
          <w:rFonts w:ascii="Times New Roman" w:hAnsi="Times New Roman"/>
          <w:lang w:val="pt-BR"/>
        </w:rPr>
        <w:t>,</w:t>
      </w:r>
      <w:r w:rsidR="00942A44" w:rsidRPr="00942A44">
        <w:rPr>
          <w:rStyle w:val="fontstyle01"/>
          <w:rFonts w:ascii="Times New Roman" w:hAnsi="Times New Roman"/>
          <w:lang w:val="pt-BR"/>
        </w:rPr>
        <w:t xml:space="preserve">6 </w:t>
      </w:r>
      <w:r w:rsidR="00942A44">
        <w:rPr>
          <w:rStyle w:val="fontstyle01"/>
          <w:rFonts w:ascii="Times New Roman" w:hAnsi="Times New Roman"/>
          <w:lang w:val="pt-BR"/>
        </w:rPr>
        <w:t>e</w:t>
      </w:r>
      <w:r w:rsidR="00942A44" w:rsidRPr="00942A44">
        <w:rPr>
          <w:rStyle w:val="fontstyle01"/>
          <w:rFonts w:ascii="Times New Roman" w:hAnsi="Times New Roman"/>
          <w:lang w:val="pt-BR"/>
        </w:rPr>
        <w:t xml:space="preserve"> 31</w:t>
      </w:r>
      <w:r w:rsidR="00942A44">
        <w:rPr>
          <w:rStyle w:val="fontstyle01"/>
          <w:rFonts w:ascii="Times New Roman" w:hAnsi="Times New Roman"/>
          <w:lang w:val="pt-BR"/>
        </w:rPr>
        <w:t>,</w:t>
      </w:r>
      <w:r w:rsidR="00942A44" w:rsidRPr="00942A44">
        <w:rPr>
          <w:rStyle w:val="fontstyle01"/>
          <w:rFonts w:ascii="Times New Roman" w:hAnsi="Times New Roman"/>
          <w:lang w:val="pt-BR"/>
        </w:rPr>
        <w:t>6°</w:t>
      </w:r>
      <w:r w:rsidR="00942A44">
        <w:rPr>
          <w:rStyle w:val="fontstyle01"/>
          <w:rFonts w:ascii="Times New Roman" w:hAnsi="Times New Roman"/>
          <w:lang w:val="pt-BR"/>
        </w:rPr>
        <w:t>), Cu</w:t>
      </w:r>
      <w:r w:rsidR="00942A44">
        <w:rPr>
          <w:rStyle w:val="fontstyle01"/>
          <w:rFonts w:ascii="Times New Roman" w:hAnsi="Times New Roman"/>
          <w:vertAlign w:val="superscript"/>
          <w:lang w:val="pt-BR"/>
        </w:rPr>
        <w:t>0</w:t>
      </w:r>
      <w:r w:rsidR="00942A44">
        <w:rPr>
          <w:rStyle w:val="fontstyle01"/>
          <w:rFonts w:ascii="Times New Roman" w:hAnsi="Times New Roman"/>
          <w:lang w:val="pt-BR"/>
        </w:rPr>
        <w:t xml:space="preserve"> </w:t>
      </w:r>
      <w:r w:rsidR="00942A44" w:rsidRPr="00942A44">
        <w:rPr>
          <w:rStyle w:val="fontstyle01"/>
          <w:rFonts w:ascii="Times New Roman" w:hAnsi="Times New Roman"/>
          <w:lang w:val="pt-BR"/>
        </w:rPr>
        <w:t>(</w:t>
      </w:r>
      <w:proofErr w:type="spellStart"/>
      <w:r w:rsidR="00942A44" w:rsidRPr="00942A44">
        <w:rPr>
          <w:rStyle w:val="fontstyle01"/>
          <w:rFonts w:ascii="Times New Roman" w:hAnsi="Times New Roman"/>
          <w:lang w:val="pt-BR"/>
        </w:rPr>
        <w:t>pdf</w:t>
      </w:r>
      <w:proofErr w:type="spellEnd"/>
      <w:r w:rsidR="00942A44" w:rsidRPr="00942A44">
        <w:rPr>
          <w:rStyle w:val="fontstyle01"/>
          <w:rFonts w:ascii="Times New Roman" w:hAnsi="Times New Roman"/>
          <w:lang w:val="pt-BR"/>
        </w:rPr>
        <w:t xml:space="preserve"> 01-085-1326</w:t>
      </w:r>
      <w:r w:rsidR="00942A44">
        <w:rPr>
          <w:rStyle w:val="fontstyle01"/>
          <w:rFonts w:ascii="Times New Roman" w:hAnsi="Times New Roman"/>
          <w:lang w:val="pt-BR"/>
        </w:rPr>
        <w:t>, 2</w:t>
      </w:r>
      <w:r w:rsidR="00942A44">
        <w:rPr>
          <w:rStyle w:val="fontstyle01"/>
          <w:rFonts w:ascii="Times New Roman" w:hAnsi="Times New Roman"/>
          <w:lang w:val="pt-BR"/>
        </w:rPr>
        <w:sym w:font="Symbol" w:char="F071"/>
      </w:r>
      <w:r w:rsidR="00942A44" w:rsidRPr="00942A44">
        <w:rPr>
          <w:rStyle w:val="fontstyle01"/>
          <w:rFonts w:ascii="Times New Roman" w:hAnsi="Times New Roman"/>
          <w:lang w:val="pt-BR"/>
        </w:rPr>
        <w:t xml:space="preserve"> = 43</w:t>
      </w:r>
      <w:r w:rsidR="00942A44">
        <w:rPr>
          <w:rStyle w:val="fontstyle01"/>
          <w:rFonts w:ascii="Times New Roman" w:hAnsi="Times New Roman"/>
          <w:lang w:val="pt-BR"/>
        </w:rPr>
        <w:t>,</w:t>
      </w:r>
      <w:r w:rsidR="00942A44" w:rsidRPr="00942A44">
        <w:rPr>
          <w:rStyle w:val="fontstyle01"/>
          <w:rFonts w:ascii="Times New Roman" w:hAnsi="Times New Roman"/>
          <w:lang w:val="pt-BR"/>
        </w:rPr>
        <w:t xml:space="preserve">2° </w:t>
      </w:r>
      <w:r w:rsidR="00942A44">
        <w:rPr>
          <w:rStyle w:val="fontstyle01"/>
          <w:rFonts w:ascii="Times New Roman" w:hAnsi="Times New Roman"/>
          <w:lang w:val="pt-BR"/>
        </w:rPr>
        <w:t>e</w:t>
      </w:r>
      <w:r w:rsidR="00942A44" w:rsidRPr="00942A44">
        <w:rPr>
          <w:rStyle w:val="fontstyle01"/>
          <w:rFonts w:ascii="Times New Roman" w:hAnsi="Times New Roman"/>
          <w:lang w:val="pt-BR"/>
        </w:rPr>
        <w:t xml:space="preserve"> 50</w:t>
      </w:r>
      <w:r w:rsidR="00942A44">
        <w:rPr>
          <w:rStyle w:val="fontstyle01"/>
          <w:rFonts w:ascii="Times New Roman" w:hAnsi="Times New Roman"/>
          <w:lang w:val="pt-BR"/>
        </w:rPr>
        <w:t>,</w:t>
      </w:r>
      <w:r w:rsidR="00942A44" w:rsidRPr="00942A44">
        <w:rPr>
          <w:rStyle w:val="fontstyle01"/>
          <w:rFonts w:ascii="Times New Roman" w:hAnsi="Times New Roman"/>
          <w:lang w:val="pt-BR"/>
        </w:rPr>
        <w:t>3°).</w:t>
      </w:r>
      <w:r w:rsidR="00942A44">
        <w:rPr>
          <w:rStyle w:val="fontstyle01"/>
          <w:rFonts w:ascii="Times New Roman" w:hAnsi="Times New Roman"/>
          <w:lang w:val="pt-BR"/>
        </w:rPr>
        <w:t xml:space="preserve"> O</w:t>
      </w:r>
      <w:r w:rsidR="00F8011C">
        <w:rPr>
          <w:rStyle w:val="fontstyle01"/>
          <w:rFonts w:ascii="Times New Roman" w:hAnsi="Times New Roman"/>
          <w:lang w:val="pt-BR"/>
        </w:rPr>
        <w:t>s</w:t>
      </w:r>
      <w:r w:rsidR="00942A44">
        <w:rPr>
          <w:rStyle w:val="fontstyle01"/>
          <w:rFonts w:ascii="Times New Roman" w:hAnsi="Times New Roman"/>
          <w:lang w:val="pt-BR"/>
        </w:rPr>
        <w:t xml:space="preserve"> pico</w:t>
      </w:r>
      <w:r w:rsidR="00F8011C">
        <w:rPr>
          <w:rStyle w:val="fontstyle01"/>
          <w:rFonts w:ascii="Times New Roman" w:hAnsi="Times New Roman"/>
          <w:lang w:val="pt-BR"/>
        </w:rPr>
        <w:t>s</w:t>
      </w:r>
      <w:r w:rsidR="00942A44">
        <w:rPr>
          <w:rStyle w:val="fontstyle01"/>
          <w:rFonts w:ascii="Times New Roman" w:hAnsi="Times New Roman"/>
          <w:lang w:val="pt-BR"/>
        </w:rPr>
        <w:t xml:space="preserve"> relacionado</w:t>
      </w:r>
      <w:r w:rsidR="00B25C2A">
        <w:rPr>
          <w:rStyle w:val="fontstyle01"/>
          <w:rFonts w:ascii="Times New Roman" w:hAnsi="Times New Roman"/>
          <w:lang w:val="pt-BR"/>
        </w:rPr>
        <w:t>s</w:t>
      </w:r>
      <w:r w:rsidR="00942A44">
        <w:rPr>
          <w:rStyle w:val="fontstyle01"/>
          <w:rFonts w:ascii="Times New Roman" w:hAnsi="Times New Roman"/>
          <w:lang w:val="pt-BR"/>
        </w:rPr>
        <w:t xml:space="preserve"> a Cu</w:t>
      </w:r>
      <w:r w:rsidR="00942A44">
        <w:rPr>
          <w:rStyle w:val="fontstyle01"/>
          <w:rFonts w:ascii="Times New Roman" w:hAnsi="Times New Roman"/>
          <w:vertAlign w:val="superscript"/>
          <w:lang w:val="pt-BR"/>
        </w:rPr>
        <w:t>0</w:t>
      </w:r>
      <w:r w:rsidR="00942A44">
        <w:rPr>
          <w:rStyle w:val="fontstyle01"/>
          <w:rFonts w:ascii="Times New Roman" w:hAnsi="Times New Roman"/>
          <w:lang w:val="pt-BR"/>
        </w:rPr>
        <w:t xml:space="preserve"> apresenta</w:t>
      </w:r>
      <w:r w:rsidR="00F8011C">
        <w:rPr>
          <w:rStyle w:val="fontstyle01"/>
          <w:rFonts w:ascii="Times New Roman" w:hAnsi="Times New Roman"/>
          <w:lang w:val="pt-BR"/>
        </w:rPr>
        <w:t>m</w:t>
      </w:r>
      <w:r w:rsidR="00942A44">
        <w:rPr>
          <w:rStyle w:val="fontstyle01"/>
          <w:rFonts w:ascii="Times New Roman" w:hAnsi="Times New Roman"/>
          <w:lang w:val="pt-BR"/>
        </w:rPr>
        <w:t xml:space="preserve"> um alargamento significativo, podendo abranger também Cu</w:t>
      </w:r>
      <w:r w:rsidR="00942A44">
        <w:rPr>
          <w:rStyle w:val="fontstyle01"/>
          <w:rFonts w:ascii="Times New Roman" w:hAnsi="Times New Roman"/>
          <w:vertAlign w:val="superscript"/>
          <w:lang w:val="pt-BR"/>
        </w:rPr>
        <w:t>2+</w:t>
      </w:r>
      <w:r w:rsidR="00942A44">
        <w:rPr>
          <w:rStyle w:val="fontstyle01"/>
          <w:rFonts w:ascii="Times New Roman" w:hAnsi="Times New Roman"/>
          <w:lang w:val="pt-BR"/>
        </w:rPr>
        <w:t xml:space="preserve"> </w:t>
      </w:r>
      <w:r w:rsidR="00942A44" w:rsidRPr="00942A44">
        <w:rPr>
          <w:rStyle w:val="fontstyle01"/>
          <w:rFonts w:ascii="Times New Roman" w:hAnsi="Times New Roman"/>
          <w:lang w:val="pt-BR"/>
        </w:rPr>
        <w:t>(</w:t>
      </w:r>
      <w:proofErr w:type="spellStart"/>
      <w:r w:rsidR="00942A44" w:rsidRPr="00942A44">
        <w:rPr>
          <w:rStyle w:val="fontstyle01"/>
          <w:rFonts w:ascii="Times New Roman" w:hAnsi="Times New Roman"/>
          <w:lang w:val="pt-BR"/>
        </w:rPr>
        <w:t>pdf</w:t>
      </w:r>
      <w:proofErr w:type="spellEnd"/>
      <w:r w:rsidR="00942A44" w:rsidRPr="00942A44">
        <w:rPr>
          <w:rStyle w:val="fontstyle01"/>
          <w:rFonts w:ascii="Times New Roman" w:hAnsi="Times New Roman"/>
          <w:lang w:val="pt-BR"/>
        </w:rPr>
        <w:t xml:space="preserve"> 01-078-0428) </w:t>
      </w:r>
      <w:r w:rsidR="00942A44">
        <w:rPr>
          <w:rStyle w:val="fontstyle01"/>
          <w:rFonts w:ascii="Times New Roman" w:hAnsi="Times New Roman"/>
          <w:lang w:val="pt-BR"/>
        </w:rPr>
        <w:t>e</w:t>
      </w:r>
      <w:r w:rsidR="00942A44" w:rsidRPr="00942A44">
        <w:rPr>
          <w:rStyle w:val="fontstyle01"/>
          <w:rFonts w:ascii="Times New Roman" w:hAnsi="Times New Roman"/>
          <w:lang w:val="pt-BR"/>
        </w:rPr>
        <w:t xml:space="preserve"> Cu</w:t>
      </w:r>
      <w:r w:rsidR="00942A44" w:rsidRPr="00942A44">
        <w:rPr>
          <w:rStyle w:val="fontstyle01"/>
          <w:rFonts w:ascii="Times New Roman" w:hAnsi="Times New Roman"/>
          <w:vertAlign w:val="superscript"/>
          <w:lang w:val="pt-BR"/>
        </w:rPr>
        <w:t>+1</w:t>
      </w:r>
      <w:r w:rsidR="002E7254">
        <w:rPr>
          <w:rStyle w:val="fontstyle01"/>
          <w:rFonts w:ascii="Times New Roman" w:hAnsi="Times New Roman"/>
          <w:lang w:val="pt-BR"/>
        </w:rPr>
        <w:t xml:space="preserve"> (01-077-0199).  Com relação ao Cu</w:t>
      </w:r>
      <w:r w:rsidR="002E7254">
        <w:rPr>
          <w:rStyle w:val="fontstyle01"/>
          <w:rFonts w:ascii="Times New Roman" w:hAnsi="Times New Roman"/>
          <w:vertAlign w:val="superscript"/>
          <w:lang w:val="pt-BR"/>
        </w:rPr>
        <w:t>0</w:t>
      </w:r>
      <w:r w:rsidR="002E7254">
        <w:rPr>
          <w:rStyle w:val="fontstyle01"/>
          <w:rFonts w:ascii="Times New Roman" w:hAnsi="Times New Roman"/>
          <w:lang w:val="pt-BR"/>
        </w:rPr>
        <w:t xml:space="preserve">, observa-se um aumento na intensidade com o aumento da pressão, demonstrando que a coalescência da fase </w:t>
      </w:r>
      <w:r w:rsidR="002E7254" w:rsidRPr="002E7254">
        <w:rPr>
          <w:rFonts w:ascii="Times New Roman" w:hAnsi="Times New Roman"/>
          <w:lang w:val="pt-BR"/>
        </w:rPr>
        <w:t>Cu</w:t>
      </w:r>
      <w:r w:rsidR="002E7254" w:rsidRPr="002E7254">
        <w:rPr>
          <w:rFonts w:ascii="Times New Roman" w:hAnsi="Times New Roman"/>
          <w:vertAlign w:val="superscript"/>
          <w:lang w:val="pt-BR"/>
        </w:rPr>
        <w:t>0</w:t>
      </w:r>
      <w:r w:rsidR="002E7254">
        <w:rPr>
          <w:rStyle w:val="fontstyle01"/>
          <w:rFonts w:ascii="Times New Roman" w:hAnsi="Times New Roman"/>
          <w:lang w:val="pt-BR"/>
        </w:rPr>
        <w:t xml:space="preserve"> é promovida pelo aumento da pressão de reação. Adicionalmente, são observados picos de difração correspondentes ao </w:t>
      </w:r>
      <w:proofErr w:type="spellStart"/>
      <w:r w:rsidR="002E7254">
        <w:rPr>
          <w:rStyle w:val="fontstyle01"/>
          <w:rFonts w:ascii="Times New Roman" w:hAnsi="Times New Roman"/>
          <w:lang w:val="pt-BR"/>
        </w:rPr>
        <w:t>ZnO</w:t>
      </w:r>
      <w:proofErr w:type="spellEnd"/>
      <w:r w:rsidR="002E7254">
        <w:rPr>
          <w:rStyle w:val="fontstyle01"/>
          <w:rFonts w:ascii="Times New Roman" w:hAnsi="Times New Roman"/>
          <w:lang w:val="pt-BR"/>
        </w:rPr>
        <w:t xml:space="preserve"> (</w:t>
      </w:r>
      <w:r w:rsidR="002E7254" w:rsidRPr="002E7254">
        <w:rPr>
          <w:rStyle w:val="fontstyle01"/>
          <w:rFonts w:ascii="Times New Roman" w:hAnsi="Times New Roman"/>
          <w:lang w:val="pt-BR"/>
        </w:rPr>
        <w:t>2</w:t>
      </w:r>
      <w:r w:rsidR="002E7254" w:rsidRPr="002E7254">
        <w:rPr>
          <w:rStyle w:val="fontstyle01"/>
          <w:rFonts w:ascii="Times New Roman" w:hAnsi="Times New Roman"/>
          <w:lang w:val="pt-BR"/>
        </w:rPr>
        <w:sym w:font="Symbol" w:char="F071"/>
      </w:r>
      <w:r w:rsidR="002E7254" w:rsidRPr="002E7254">
        <w:rPr>
          <w:rStyle w:val="fontstyle01"/>
          <w:rFonts w:ascii="Times New Roman" w:hAnsi="Times New Roman"/>
          <w:lang w:val="pt-BR"/>
        </w:rPr>
        <w:t xml:space="preserve"> = 34</w:t>
      </w:r>
      <w:r w:rsidR="002E7254">
        <w:rPr>
          <w:rStyle w:val="fontstyle01"/>
          <w:rFonts w:ascii="Times New Roman" w:hAnsi="Times New Roman"/>
          <w:lang w:val="pt-BR"/>
        </w:rPr>
        <w:t>,</w:t>
      </w:r>
      <w:r w:rsidR="002E7254" w:rsidRPr="002E7254">
        <w:rPr>
          <w:rStyle w:val="fontstyle01"/>
          <w:rFonts w:ascii="Times New Roman" w:hAnsi="Times New Roman"/>
          <w:lang w:val="pt-BR"/>
        </w:rPr>
        <w:t xml:space="preserve">2°, 31.9° </w:t>
      </w:r>
      <w:r w:rsidR="002E7254">
        <w:rPr>
          <w:rStyle w:val="fontstyle01"/>
          <w:rFonts w:ascii="Times New Roman" w:hAnsi="Times New Roman"/>
          <w:lang w:val="pt-BR"/>
        </w:rPr>
        <w:t>e</w:t>
      </w:r>
      <w:r w:rsidR="002E7254" w:rsidRPr="002E7254">
        <w:rPr>
          <w:rStyle w:val="fontstyle01"/>
          <w:rFonts w:ascii="Times New Roman" w:hAnsi="Times New Roman"/>
          <w:lang w:val="pt-BR"/>
        </w:rPr>
        <w:t xml:space="preserve"> 54</w:t>
      </w:r>
      <w:r w:rsidR="002E7254">
        <w:rPr>
          <w:rStyle w:val="fontstyle01"/>
          <w:rFonts w:ascii="Times New Roman" w:hAnsi="Times New Roman"/>
          <w:lang w:val="pt-BR"/>
        </w:rPr>
        <w:t>,</w:t>
      </w:r>
      <w:r w:rsidR="002E7254" w:rsidRPr="002E7254">
        <w:rPr>
          <w:rStyle w:val="fontstyle01"/>
          <w:rFonts w:ascii="Times New Roman" w:hAnsi="Times New Roman"/>
          <w:lang w:val="pt-BR"/>
        </w:rPr>
        <w:t>7°</w:t>
      </w:r>
      <w:r w:rsidR="002E7254">
        <w:rPr>
          <w:rStyle w:val="fontstyle01"/>
          <w:rFonts w:ascii="Times New Roman" w:hAnsi="Times New Roman"/>
          <w:lang w:val="pt-BR"/>
        </w:rPr>
        <w:t xml:space="preserve">) embora o primeiro pico seja coincidente com o do </w:t>
      </w:r>
      <w:proofErr w:type="spellStart"/>
      <w:r w:rsidR="002E7254">
        <w:rPr>
          <w:rStyle w:val="fontstyle01"/>
          <w:rFonts w:ascii="Times New Roman" w:hAnsi="Times New Roman"/>
          <w:lang w:val="pt-BR"/>
        </w:rPr>
        <w:t>SiC</w:t>
      </w:r>
      <w:proofErr w:type="spellEnd"/>
      <w:r w:rsidR="002E7254">
        <w:rPr>
          <w:rStyle w:val="fontstyle01"/>
          <w:rFonts w:ascii="Times New Roman" w:hAnsi="Times New Roman"/>
          <w:lang w:val="pt-BR"/>
        </w:rPr>
        <w:t xml:space="preserve"> na amostra C</w:t>
      </w:r>
      <w:r w:rsidR="0089333F">
        <w:rPr>
          <w:rStyle w:val="fontstyle01"/>
          <w:rFonts w:ascii="Times New Roman" w:hAnsi="Times New Roman"/>
          <w:lang w:val="pt-BR"/>
        </w:rPr>
        <w:t>ZA</w:t>
      </w:r>
      <w:r w:rsidR="002E7254">
        <w:rPr>
          <w:rStyle w:val="fontstyle01"/>
          <w:rFonts w:ascii="Times New Roman" w:hAnsi="Times New Roman"/>
          <w:lang w:val="pt-BR"/>
        </w:rPr>
        <w:t>-1.</w:t>
      </w:r>
      <w:r w:rsidR="000D43B6" w:rsidRPr="000D43B6">
        <w:rPr>
          <w:rStyle w:val="fontstyle01"/>
          <w:rFonts w:ascii="Times" w:hAnsi="Times"/>
          <w:color w:val="auto"/>
          <w:lang w:val="pt-BR"/>
        </w:rPr>
        <w:t xml:space="preserve"> </w:t>
      </w:r>
    </w:p>
    <w:p w14:paraId="4B5C9A9E" w14:textId="77777777" w:rsidR="00205070" w:rsidRDefault="00205070" w:rsidP="00DF48CD">
      <w:pPr>
        <w:pStyle w:val="TAMainText"/>
        <w:ind w:firstLine="284"/>
        <w:rPr>
          <w:rFonts w:ascii="Times New Roman" w:hAnsi="Times New Roman"/>
          <w:lang w:val="pt-BR"/>
        </w:rPr>
      </w:pPr>
    </w:p>
    <w:p w14:paraId="3AA48BF8" w14:textId="77777777" w:rsidR="000D43B6" w:rsidRDefault="000D43B6" w:rsidP="00DF48CD">
      <w:pPr>
        <w:pStyle w:val="TAMainText"/>
        <w:ind w:firstLine="284"/>
        <w:rPr>
          <w:rFonts w:ascii="Times New Roman" w:hAnsi="Times New Roman"/>
          <w:lang w:val="pt-BR"/>
        </w:rPr>
      </w:pPr>
    </w:p>
    <w:p w14:paraId="559A8A80" w14:textId="77777777" w:rsidR="000D43B6" w:rsidRDefault="000D43B6" w:rsidP="000D43B6">
      <w:pPr>
        <w:tabs>
          <w:tab w:val="left" w:pos="0"/>
        </w:tabs>
        <w:autoSpaceDE w:val="0"/>
        <w:autoSpaceDN w:val="0"/>
        <w:adjustRightInd w:val="0"/>
        <w:spacing w:after="0" w:line="240" w:lineRule="auto"/>
        <w:ind w:right="-52"/>
        <w:jc w:val="center"/>
        <w:rPr>
          <w:rFonts w:ascii="Times New Roman" w:eastAsia="+mn-ea" w:hAnsi="Times New Roman" w:cs="Times New Roman"/>
          <w:color w:val="FF0000"/>
          <w:kern w:val="24"/>
          <w:sz w:val="20"/>
          <w:szCs w:val="20"/>
        </w:rPr>
      </w:pPr>
      <w:r w:rsidRPr="000D43B6">
        <w:rPr>
          <w:noProof/>
          <w:lang w:eastAsia="pt-BR"/>
        </w:rPr>
        <w:lastRenderedPageBreak/>
        <w:drawing>
          <wp:inline distT="0" distB="0" distL="0" distR="0" wp14:anchorId="46C56F8C" wp14:editId="1F552F0B">
            <wp:extent cx="3096000" cy="2642041"/>
            <wp:effectExtent l="0" t="0" r="0" b="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1440" t="9903" r="10530" b="2751"/>
                    <a:stretch/>
                  </pic:blipFill>
                  <pic:spPr bwMode="auto">
                    <a:xfrm>
                      <a:off x="0" y="0"/>
                      <a:ext cx="3096000" cy="2642041"/>
                    </a:xfrm>
                    <a:prstGeom prst="rect">
                      <a:avLst/>
                    </a:prstGeom>
                    <a:noFill/>
                    <a:ln>
                      <a:noFill/>
                    </a:ln>
                    <a:extLst>
                      <a:ext uri="{53640926-AAD7-44D8-BBD7-CCE9431645EC}">
                        <a14:shadowObscured xmlns:a14="http://schemas.microsoft.com/office/drawing/2010/main"/>
                      </a:ext>
                    </a:extLst>
                  </pic:spPr>
                </pic:pic>
              </a:graphicData>
            </a:graphic>
          </wp:inline>
        </w:drawing>
      </w:r>
    </w:p>
    <w:p w14:paraId="24C02F70" w14:textId="77777777" w:rsidR="000D43B6" w:rsidRDefault="000D43B6" w:rsidP="000D43B6">
      <w:pPr>
        <w:tabs>
          <w:tab w:val="left" w:pos="0"/>
        </w:tabs>
        <w:autoSpaceDE w:val="0"/>
        <w:autoSpaceDN w:val="0"/>
        <w:adjustRightInd w:val="0"/>
        <w:spacing w:after="0" w:line="240" w:lineRule="auto"/>
        <w:ind w:right="-52"/>
        <w:jc w:val="center"/>
        <w:rPr>
          <w:rFonts w:ascii="Times New Roman" w:eastAsia="+mn-ea" w:hAnsi="Times New Roman" w:cs="Times New Roman"/>
          <w:color w:val="FF0000"/>
          <w:kern w:val="24"/>
          <w:sz w:val="20"/>
          <w:szCs w:val="20"/>
        </w:rPr>
      </w:pPr>
    </w:p>
    <w:p w14:paraId="7BE8947B" w14:textId="77777777" w:rsidR="000D43B6" w:rsidRPr="009E5A42" w:rsidRDefault="000D43B6" w:rsidP="000D43B6">
      <w:pPr>
        <w:tabs>
          <w:tab w:val="left" w:pos="0"/>
        </w:tabs>
        <w:autoSpaceDE w:val="0"/>
        <w:autoSpaceDN w:val="0"/>
        <w:adjustRightInd w:val="0"/>
        <w:spacing w:after="0" w:line="240" w:lineRule="auto"/>
        <w:ind w:right="90"/>
        <w:jc w:val="both"/>
        <w:rPr>
          <w:rFonts w:ascii="Times New Roman" w:hAnsi="Times New Roman" w:cs="Times New Roman"/>
          <w:sz w:val="18"/>
          <w:szCs w:val="18"/>
        </w:rPr>
      </w:pPr>
      <w:r w:rsidRPr="009E5A42">
        <w:rPr>
          <w:rFonts w:ascii="Times New Roman" w:hAnsi="Times New Roman" w:cs="Times New Roman"/>
          <w:b/>
          <w:bCs/>
          <w:sz w:val="18"/>
          <w:szCs w:val="18"/>
        </w:rPr>
        <w:t xml:space="preserve">Figura </w:t>
      </w:r>
      <w:r>
        <w:rPr>
          <w:rFonts w:ascii="Times New Roman" w:hAnsi="Times New Roman" w:cs="Times New Roman"/>
          <w:b/>
          <w:bCs/>
          <w:sz w:val="18"/>
          <w:szCs w:val="18"/>
        </w:rPr>
        <w:t>3</w:t>
      </w:r>
      <w:r w:rsidRPr="009E5A42">
        <w:rPr>
          <w:rFonts w:ascii="Times New Roman" w:hAnsi="Times New Roman" w:cs="Times New Roman"/>
          <w:b/>
          <w:bCs/>
          <w:sz w:val="18"/>
          <w:szCs w:val="18"/>
        </w:rPr>
        <w:t xml:space="preserve">. </w:t>
      </w:r>
      <w:r>
        <w:rPr>
          <w:rFonts w:ascii="Times New Roman" w:hAnsi="Times New Roman" w:cs="Times New Roman"/>
          <w:sz w:val="18"/>
          <w:szCs w:val="18"/>
        </w:rPr>
        <w:t>Região ampliada entre 32 e 40º dos difratogramas obt</w:t>
      </w:r>
      <w:r w:rsidR="00B25C2A">
        <w:rPr>
          <w:rFonts w:ascii="Times New Roman" w:hAnsi="Times New Roman" w:cs="Times New Roman"/>
          <w:sz w:val="18"/>
          <w:szCs w:val="18"/>
        </w:rPr>
        <w:t>i</w:t>
      </w:r>
      <w:r>
        <w:rPr>
          <w:rFonts w:ascii="Times New Roman" w:hAnsi="Times New Roman" w:cs="Times New Roman"/>
          <w:sz w:val="18"/>
          <w:szCs w:val="18"/>
        </w:rPr>
        <w:t>dos para as amostras usadas em reação sob pressões entre 1 e 30 bar</w:t>
      </w:r>
      <w:r w:rsidRPr="009E5A42">
        <w:rPr>
          <w:rFonts w:ascii="Times New Roman" w:hAnsi="Times New Roman" w:cs="Times New Roman"/>
          <w:sz w:val="18"/>
          <w:szCs w:val="18"/>
        </w:rPr>
        <w:t>.</w:t>
      </w:r>
    </w:p>
    <w:p w14:paraId="249526C0" w14:textId="77777777" w:rsidR="000D43B6" w:rsidRDefault="000D43B6" w:rsidP="000D43B6">
      <w:pPr>
        <w:pStyle w:val="TAMainText"/>
        <w:ind w:firstLine="0"/>
        <w:rPr>
          <w:rFonts w:ascii="Times New Roman" w:hAnsi="Times New Roman"/>
          <w:lang w:val="pt-BR"/>
        </w:rPr>
      </w:pPr>
    </w:p>
    <w:p w14:paraId="08FC552B" w14:textId="77777777" w:rsidR="00203978" w:rsidRDefault="000D43B6" w:rsidP="00DF48CD">
      <w:pPr>
        <w:pStyle w:val="TAMainText"/>
        <w:ind w:firstLine="284"/>
        <w:rPr>
          <w:rStyle w:val="fontstyle01"/>
          <w:rFonts w:ascii="Times New Roman" w:hAnsi="Times New Roman"/>
          <w:lang w:val="pt-BR"/>
        </w:rPr>
      </w:pPr>
      <w:r w:rsidRPr="00063569">
        <w:rPr>
          <w:rStyle w:val="fontstyle01"/>
          <w:rFonts w:ascii="Times New Roman" w:hAnsi="Times New Roman"/>
          <w:lang w:val="pt-BR"/>
        </w:rPr>
        <w:t>Notadamente, sob o aumento da pressão de reação, o pico em 54,7º sofreu um alargamento, juntamente com a divisão do pico em dois, com máximos em 2</w:t>
      </w:r>
      <w:r w:rsidRPr="00063569">
        <w:rPr>
          <w:rStyle w:val="fontstyle01"/>
          <w:rFonts w:ascii="Times New Roman" w:hAnsi="Times New Roman"/>
          <w:lang w:val="pt-BR"/>
        </w:rPr>
        <w:sym w:font="Symbol" w:char="F071"/>
      </w:r>
      <w:r w:rsidRPr="00063569">
        <w:rPr>
          <w:rStyle w:val="fontstyle01"/>
          <w:rFonts w:ascii="Times New Roman" w:hAnsi="Times New Roman"/>
          <w:lang w:val="pt-BR"/>
        </w:rPr>
        <w:t xml:space="preserve"> = 54,5° e </w:t>
      </w:r>
      <w:r w:rsidRPr="00063569">
        <w:rPr>
          <w:rFonts w:ascii="Times New Roman" w:hAnsi="Times New Roman"/>
          <w:lang w:val="pt-BR"/>
        </w:rPr>
        <w:t>54,7</w:t>
      </w:r>
      <w:r w:rsidRPr="00063569">
        <w:rPr>
          <w:rStyle w:val="fontstyle01"/>
          <w:rFonts w:ascii="Times New Roman" w:hAnsi="Times New Roman"/>
          <w:lang w:val="pt-BR"/>
        </w:rPr>
        <w:t xml:space="preserve">°, evidenciando a coalescência das fases de </w:t>
      </w:r>
      <w:proofErr w:type="spellStart"/>
      <w:r w:rsidRPr="00063569">
        <w:rPr>
          <w:rStyle w:val="fontstyle01"/>
          <w:rFonts w:ascii="Times New Roman" w:hAnsi="Times New Roman"/>
          <w:lang w:val="pt-BR"/>
        </w:rPr>
        <w:t>ZnO</w:t>
      </w:r>
      <w:proofErr w:type="spellEnd"/>
      <w:r w:rsidRPr="00063569">
        <w:rPr>
          <w:rStyle w:val="fontstyle01"/>
          <w:rFonts w:ascii="Times New Roman" w:hAnsi="Times New Roman"/>
          <w:lang w:val="pt-BR"/>
        </w:rPr>
        <w:t xml:space="preserve">. A segregação da </w:t>
      </w:r>
      <w:r w:rsidRPr="00063569">
        <w:rPr>
          <w:rFonts w:ascii="Times New Roman" w:hAnsi="Times New Roman"/>
          <w:lang w:val="pt-BR"/>
        </w:rPr>
        <w:t>Al</w:t>
      </w:r>
      <w:r w:rsidRPr="00063569">
        <w:rPr>
          <w:rFonts w:ascii="Times New Roman" w:hAnsi="Times New Roman"/>
          <w:vertAlign w:val="subscript"/>
          <w:lang w:val="pt-BR"/>
        </w:rPr>
        <w:t>2</w:t>
      </w:r>
      <w:r w:rsidRPr="00063569">
        <w:rPr>
          <w:rFonts w:ascii="Times New Roman" w:hAnsi="Times New Roman"/>
          <w:lang w:val="pt-BR"/>
        </w:rPr>
        <w:t>O</w:t>
      </w:r>
      <w:r w:rsidRPr="00063569">
        <w:rPr>
          <w:rFonts w:ascii="Times New Roman" w:hAnsi="Times New Roman"/>
          <w:vertAlign w:val="subscript"/>
          <w:lang w:val="pt-BR"/>
        </w:rPr>
        <w:t>3</w:t>
      </w:r>
      <w:r w:rsidRPr="00063569">
        <w:rPr>
          <w:rFonts w:ascii="Times New Roman" w:hAnsi="Times New Roman"/>
          <w:vertAlign w:val="superscript"/>
          <w:lang w:val="pt-BR"/>
        </w:rPr>
        <w:t xml:space="preserve"> </w:t>
      </w:r>
      <w:r w:rsidRPr="00063569">
        <w:rPr>
          <w:rFonts w:ascii="Times New Roman" w:hAnsi="Times New Roman"/>
          <w:lang w:val="pt-BR"/>
        </w:rPr>
        <w:t xml:space="preserve">é demonstrada pelo aparecimento do pico em </w:t>
      </w:r>
      <w:r w:rsidRPr="00063569">
        <w:rPr>
          <w:rStyle w:val="fontstyle01"/>
          <w:rFonts w:ascii="Times New Roman" w:hAnsi="Times New Roman"/>
          <w:lang w:val="pt-BR"/>
        </w:rPr>
        <w:t>2</w:t>
      </w:r>
      <w:r w:rsidRPr="00063569">
        <w:rPr>
          <w:rStyle w:val="fontstyle01"/>
          <w:rFonts w:ascii="Times New Roman" w:hAnsi="Times New Roman"/>
          <w:lang w:val="pt-BR"/>
        </w:rPr>
        <w:sym w:font="Symbol" w:char="F071"/>
      </w:r>
      <w:r w:rsidRPr="00063569">
        <w:rPr>
          <w:rStyle w:val="fontstyle01"/>
          <w:rFonts w:ascii="Times New Roman" w:hAnsi="Times New Roman"/>
          <w:lang w:val="pt-BR"/>
        </w:rPr>
        <w:t xml:space="preserve"> = 37,4°. O pico de difração em 2</w:t>
      </w:r>
      <w:r w:rsidRPr="00063569">
        <w:rPr>
          <w:rStyle w:val="fontstyle01"/>
          <w:rFonts w:ascii="Times New Roman" w:hAnsi="Times New Roman"/>
          <w:lang w:val="pt-BR"/>
        </w:rPr>
        <w:sym w:font="Symbol" w:char="F071"/>
      </w:r>
      <w:r w:rsidRPr="00063569">
        <w:rPr>
          <w:rStyle w:val="fontstyle01"/>
          <w:rFonts w:ascii="Times New Roman" w:hAnsi="Times New Roman"/>
          <w:lang w:val="pt-BR"/>
        </w:rPr>
        <w:t xml:space="preserve"> = 37,6° corresponde ao CuAlO</w:t>
      </w:r>
      <w:r w:rsidRPr="00063569">
        <w:rPr>
          <w:rStyle w:val="fontstyle01"/>
          <w:rFonts w:ascii="Times New Roman" w:hAnsi="Times New Roman"/>
          <w:vertAlign w:val="subscript"/>
          <w:lang w:val="pt-BR"/>
        </w:rPr>
        <w:t>2</w:t>
      </w:r>
      <w:r w:rsidRPr="00063569">
        <w:rPr>
          <w:rStyle w:val="fontstyle01"/>
          <w:rFonts w:ascii="Times New Roman" w:hAnsi="Times New Roman"/>
          <w:lang w:val="pt-BR"/>
        </w:rPr>
        <w:t xml:space="preserve"> resultante da migração de fases da estrutura Cu/</w:t>
      </w:r>
      <w:proofErr w:type="spellStart"/>
      <w:r w:rsidRPr="00063569">
        <w:rPr>
          <w:rStyle w:val="fontstyle01"/>
          <w:rFonts w:ascii="Times New Roman" w:hAnsi="Times New Roman"/>
          <w:lang w:val="pt-BR"/>
        </w:rPr>
        <w:t>ZnO</w:t>
      </w:r>
      <w:proofErr w:type="spellEnd"/>
      <w:r w:rsidRPr="00063569">
        <w:rPr>
          <w:rStyle w:val="fontstyle01"/>
          <w:rFonts w:ascii="Times New Roman" w:hAnsi="Times New Roman"/>
          <w:lang w:val="pt-BR"/>
        </w:rPr>
        <w:t>/Al</w:t>
      </w:r>
      <w:r w:rsidRPr="00063569">
        <w:rPr>
          <w:rStyle w:val="fontstyle01"/>
          <w:rFonts w:ascii="Times New Roman" w:hAnsi="Times New Roman"/>
          <w:vertAlign w:val="subscript"/>
          <w:lang w:val="pt-BR"/>
        </w:rPr>
        <w:t>2</w:t>
      </w:r>
      <w:r w:rsidRPr="00063569">
        <w:rPr>
          <w:rStyle w:val="fontstyle01"/>
          <w:rFonts w:ascii="Times New Roman" w:hAnsi="Times New Roman"/>
          <w:lang w:val="pt-BR"/>
        </w:rPr>
        <w:t>O</w:t>
      </w:r>
      <w:r w:rsidRPr="00063569">
        <w:rPr>
          <w:rStyle w:val="fontstyle01"/>
          <w:rFonts w:ascii="Times New Roman" w:hAnsi="Times New Roman"/>
          <w:vertAlign w:val="subscript"/>
          <w:lang w:val="pt-BR"/>
        </w:rPr>
        <w:t>3</w:t>
      </w:r>
      <w:r w:rsidRPr="00063569">
        <w:rPr>
          <w:rStyle w:val="fontstyle01"/>
          <w:rFonts w:ascii="Times New Roman" w:hAnsi="Times New Roman"/>
          <w:lang w:val="pt-BR"/>
        </w:rPr>
        <w:t>. A agregação de fases de Cu é corroborada pelo aparecimento de outro pico ao redor de 2</w:t>
      </w:r>
      <w:r w:rsidRPr="00063569">
        <w:rPr>
          <w:rStyle w:val="fontstyle01"/>
          <w:rFonts w:ascii="Times New Roman" w:hAnsi="Times New Roman"/>
          <w:lang w:val="pt-BR"/>
        </w:rPr>
        <w:sym w:font="Symbol" w:char="F071"/>
      </w:r>
      <w:r w:rsidRPr="00063569">
        <w:rPr>
          <w:rStyle w:val="fontstyle01"/>
          <w:rFonts w:ascii="Times New Roman" w:hAnsi="Times New Roman"/>
          <w:lang w:val="pt-BR"/>
        </w:rPr>
        <w:t xml:space="preserve"> = 38,7</w:t>
      </w:r>
      <w:r w:rsidRPr="00063569">
        <w:rPr>
          <w:rFonts w:ascii="Times New Roman" w:hAnsi="Times New Roman"/>
          <w:lang w:val="pt-BR"/>
        </w:rPr>
        <w:t xml:space="preserve">° </w:t>
      </w:r>
      <w:r w:rsidRPr="00063569">
        <w:rPr>
          <w:rStyle w:val="fontstyle01"/>
          <w:rFonts w:ascii="Times New Roman" w:hAnsi="Times New Roman"/>
          <w:lang w:val="pt-BR"/>
        </w:rPr>
        <w:t>nos catalisadores CZA-20 e CZA-30, o qual não é bem definido nos difratogramas correspondentes às amostras CZA-20 e CZA-30 e está relacionado ao Cu</w:t>
      </w:r>
      <w:r w:rsidRPr="00063569">
        <w:rPr>
          <w:rStyle w:val="fontstyle01"/>
          <w:rFonts w:ascii="Times New Roman" w:hAnsi="Times New Roman"/>
          <w:vertAlign w:val="superscript"/>
          <w:lang w:val="pt-BR"/>
        </w:rPr>
        <w:t>2+</w:t>
      </w:r>
      <w:r w:rsidRPr="00063569">
        <w:rPr>
          <w:rStyle w:val="fontstyle01"/>
          <w:rFonts w:ascii="Times New Roman" w:hAnsi="Times New Roman"/>
          <w:lang w:val="pt-BR"/>
        </w:rPr>
        <w:t xml:space="preserve"> (</w:t>
      </w:r>
      <w:proofErr w:type="spellStart"/>
      <w:r w:rsidRPr="00063569">
        <w:rPr>
          <w:rStyle w:val="fontstyle01"/>
          <w:rFonts w:ascii="Times New Roman" w:hAnsi="Times New Roman"/>
          <w:lang w:val="pt-BR"/>
        </w:rPr>
        <w:t>pdf</w:t>
      </w:r>
      <w:proofErr w:type="spellEnd"/>
      <w:r w:rsidRPr="00063569">
        <w:rPr>
          <w:rStyle w:val="fontstyle01"/>
          <w:rFonts w:ascii="Times New Roman" w:hAnsi="Times New Roman"/>
          <w:lang w:val="pt-BR"/>
        </w:rPr>
        <w:t xml:space="preserve"> 00-041-0254). </w:t>
      </w:r>
    </w:p>
    <w:p w14:paraId="535BF5B0" w14:textId="77777777" w:rsidR="00DF48CD" w:rsidRDefault="000D43B6" w:rsidP="00DF48CD">
      <w:pPr>
        <w:pStyle w:val="TAMainText"/>
        <w:ind w:firstLine="284"/>
        <w:rPr>
          <w:rFonts w:ascii="Times New Roman" w:hAnsi="Times New Roman"/>
          <w:lang w:val="pt-BR"/>
        </w:rPr>
      </w:pPr>
      <w:r w:rsidRPr="00063569">
        <w:rPr>
          <w:rStyle w:val="fontstyle01"/>
          <w:rFonts w:ascii="Times New Roman" w:hAnsi="Times New Roman"/>
          <w:lang w:val="pt-BR"/>
        </w:rPr>
        <w:t xml:space="preserve">De acordo com os resultados de DRX apresentados, conclui-se que houve uma drástica modificação da microestrutura do catalisador, com perdas nos sítios ativos de Cu pela formação de fases inativas como aluminato, segregação e agregação das fases constituintes do catalisador, Cu, </w:t>
      </w:r>
      <w:proofErr w:type="spellStart"/>
      <w:r w:rsidRPr="00063569">
        <w:rPr>
          <w:rStyle w:val="fontstyle01"/>
          <w:rFonts w:ascii="Times New Roman" w:hAnsi="Times New Roman"/>
          <w:lang w:val="pt-BR"/>
        </w:rPr>
        <w:t>ZnO</w:t>
      </w:r>
      <w:proofErr w:type="spellEnd"/>
      <w:r w:rsidRPr="00063569">
        <w:rPr>
          <w:rStyle w:val="fontstyle01"/>
          <w:rFonts w:ascii="Times New Roman" w:hAnsi="Times New Roman"/>
          <w:lang w:val="pt-BR"/>
        </w:rPr>
        <w:t xml:space="preserve"> e </w:t>
      </w:r>
      <w:r w:rsidRPr="00063569">
        <w:rPr>
          <w:rFonts w:ascii="Times New Roman" w:hAnsi="Times New Roman"/>
          <w:lang w:val="pt-BR"/>
        </w:rPr>
        <w:t>Al</w:t>
      </w:r>
      <w:r w:rsidRPr="00063569">
        <w:rPr>
          <w:rFonts w:ascii="Times New Roman" w:hAnsi="Times New Roman"/>
          <w:vertAlign w:val="subscript"/>
          <w:lang w:val="pt-BR"/>
        </w:rPr>
        <w:t>2</w:t>
      </w:r>
      <w:r w:rsidRPr="00063569">
        <w:rPr>
          <w:rFonts w:ascii="Times New Roman" w:hAnsi="Times New Roman"/>
          <w:lang w:val="pt-BR"/>
        </w:rPr>
        <w:t>O</w:t>
      </w:r>
      <w:r w:rsidRPr="00063569">
        <w:rPr>
          <w:rFonts w:ascii="Times New Roman" w:hAnsi="Times New Roman"/>
          <w:vertAlign w:val="subscript"/>
          <w:lang w:val="pt-BR"/>
        </w:rPr>
        <w:t>3</w:t>
      </w:r>
      <w:r w:rsidRPr="00063569">
        <w:rPr>
          <w:rFonts w:ascii="Times New Roman" w:hAnsi="Times New Roman"/>
          <w:lang w:val="pt-BR"/>
        </w:rPr>
        <w:t xml:space="preserve"> sob as condições reacionais.</w:t>
      </w:r>
    </w:p>
    <w:p w14:paraId="09ED3B14" w14:textId="105B0E75" w:rsidR="00203978" w:rsidRDefault="00203978" w:rsidP="00203978">
      <w:pPr>
        <w:tabs>
          <w:tab w:val="left" w:pos="0"/>
        </w:tabs>
        <w:autoSpaceDE w:val="0"/>
        <w:autoSpaceDN w:val="0"/>
        <w:adjustRightInd w:val="0"/>
        <w:spacing w:after="0" w:line="240" w:lineRule="auto"/>
        <w:ind w:right="90" w:firstLine="284"/>
        <w:jc w:val="both"/>
        <w:rPr>
          <w:rFonts w:ascii="Times New Roman" w:hAnsi="Times New Roman" w:cs="Times New Roman"/>
          <w:sz w:val="20"/>
          <w:szCs w:val="20"/>
        </w:rPr>
      </w:pPr>
      <w:r>
        <w:rPr>
          <w:rFonts w:ascii="Times New Roman" w:eastAsia="+mn-ea" w:hAnsi="Times New Roman" w:cs="Times New Roman"/>
          <w:color w:val="000000" w:themeColor="text1"/>
          <w:kern w:val="24"/>
          <w:sz w:val="20"/>
          <w:szCs w:val="20"/>
        </w:rPr>
        <w:t xml:space="preserve">Os resultados de espectroscopia Raman </w:t>
      </w:r>
      <w:r w:rsidR="00705256">
        <w:rPr>
          <w:rFonts w:ascii="Times New Roman" w:eastAsia="+mn-ea" w:hAnsi="Times New Roman" w:cs="Times New Roman"/>
          <w:color w:val="000000" w:themeColor="text1"/>
          <w:kern w:val="24"/>
          <w:sz w:val="20"/>
          <w:szCs w:val="20"/>
        </w:rPr>
        <w:t xml:space="preserve">(Fig. 5) </w:t>
      </w:r>
      <w:r>
        <w:rPr>
          <w:rFonts w:ascii="Times New Roman" w:eastAsia="+mn-ea" w:hAnsi="Times New Roman" w:cs="Times New Roman"/>
          <w:color w:val="000000" w:themeColor="text1"/>
          <w:kern w:val="24"/>
          <w:sz w:val="20"/>
          <w:szCs w:val="20"/>
        </w:rPr>
        <w:t xml:space="preserve">estão em acordo com os resultados de DRX, evidenciando, na amostra fresca, bandas associadas a grupos carbonatos </w:t>
      </w:r>
      <w:r w:rsidRPr="007C4D9A">
        <w:rPr>
          <w:rFonts w:ascii="Times New Roman" w:eastAsia="+mn-ea" w:hAnsi="Times New Roman" w:cs="Times New Roman"/>
          <w:color w:val="000000" w:themeColor="text1"/>
          <w:kern w:val="24"/>
          <w:sz w:val="20"/>
          <w:szCs w:val="20"/>
        </w:rPr>
        <w:t>(</w:t>
      </w:r>
      <w:r w:rsidRPr="007C4D9A">
        <w:rPr>
          <w:rFonts w:ascii="Times New Roman" w:hAnsi="Times New Roman" w:cs="Times New Roman"/>
          <w:sz w:val="20"/>
          <w:szCs w:val="20"/>
        </w:rPr>
        <w:t xml:space="preserve">1100, 1400 </w:t>
      </w:r>
      <w:r>
        <w:rPr>
          <w:rFonts w:ascii="Times New Roman" w:hAnsi="Times New Roman" w:cs="Times New Roman"/>
          <w:sz w:val="20"/>
          <w:szCs w:val="20"/>
        </w:rPr>
        <w:t>e</w:t>
      </w:r>
      <w:r w:rsidRPr="007C4D9A">
        <w:rPr>
          <w:rFonts w:ascii="Times New Roman" w:hAnsi="Times New Roman" w:cs="Times New Roman"/>
          <w:sz w:val="20"/>
          <w:szCs w:val="20"/>
        </w:rPr>
        <w:t xml:space="preserve"> 700 cm</w:t>
      </w:r>
      <w:r w:rsidRPr="007C4D9A">
        <w:rPr>
          <w:rFonts w:ascii="Times New Roman" w:hAnsi="Times New Roman" w:cs="Times New Roman"/>
          <w:sz w:val="20"/>
          <w:szCs w:val="20"/>
          <w:vertAlign w:val="superscript"/>
        </w:rPr>
        <w:t>-1</w:t>
      </w:r>
      <w:r w:rsidRPr="007C4D9A">
        <w:rPr>
          <w:rFonts w:ascii="Times New Roman" w:hAnsi="Times New Roman" w:cs="Times New Roman"/>
          <w:sz w:val="20"/>
          <w:szCs w:val="20"/>
        </w:rPr>
        <w:t>)</w:t>
      </w:r>
      <w:r>
        <w:rPr>
          <w:rFonts w:ascii="Times New Roman" w:hAnsi="Times New Roman" w:cs="Times New Roman"/>
          <w:sz w:val="20"/>
          <w:szCs w:val="20"/>
        </w:rPr>
        <w:t xml:space="preserve"> e a Zn-Al e </w:t>
      </w:r>
      <w:proofErr w:type="spellStart"/>
      <w:r>
        <w:rPr>
          <w:rFonts w:ascii="Times New Roman" w:hAnsi="Times New Roman" w:cs="Times New Roman"/>
          <w:sz w:val="20"/>
          <w:szCs w:val="20"/>
        </w:rPr>
        <w:t>Cu-Al</w:t>
      </w:r>
      <w:proofErr w:type="spellEnd"/>
      <w:r>
        <w:rPr>
          <w:rFonts w:ascii="Times New Roman" w:hAnsi="Times New Roman" w:cs="Times New Roman"/>
          <w:sz w:val="20"/>
          <w:szCs w:val="20"/>
        </w:rPr>
        <w:t xml:space="preserve"> relativos </w:t>
      </w:r>
      <w:proofErr w:type="gramStart"/>
      <w:r>
        <w:rPr>
          <w:rFonts w:ascii="Times New Roman" w:hAnsi="Times New Roman" w:cs="Times New Roman"/>
          <w:sz w:val="20"/>
          <w:szCs w:val="20"/>
        </w:rPr>
        <w:t>a</w:t>
      </w:r>
      <w:proofErr w:type="gramEnd"/>
      <w:r>
        <w:rPr>
          <w:rFonts w:ascii="Times New Roman" w:hAnsi="Times New Roman" w:cs="Times New Roman"/>
          <w:sz w:val="20"/>
          <w:szCs w:val="20"/>
        </w:rPr>
        <w:t xml:space="preserve"> estrutura HT em </w:t>
      </w:r>
      <w:r w:rsidRPr="007C4D9A">
        <w:rPr>
          <w:rFonts w:ascii="Times New Roman" w:hAnsi="Times New Roman" w:cs="Times New Roman"/>
          <w:sz w:val="20"/>
          <w:szCs w:val="20"/>
        </w:rPr>
        <w:t xml:space="preserve">1050 </w:t>
      </w:r>
      <w:r>
        <w:rPr>
          <w:rFonts w:ascii="Times New Roman" w:hAnsi="Times New Roman" w:cs="Times New Roman"/>
          <w:sz w:val="20"/>
          <w:szCs w:val="20"/>
        </w:rPr>
        <w:t>e</w:t>
      </w:r>
      <w:r w:rsidRPr="007C4D9A">
        <w:rPr>
          <w:rFonts w:ascii="Times New Roman" w:hAnsi="Times New Roman" w:cs="Times New Roman"/>
          <w:sz w:val="20"/>
          <w:szCs w:val="20"/>
        </w:rPr>
        <w:t xml:space="preserve"> 1100 cm</w:t>
      </w:r>
      <w:r w:rsidRPr="007C4D9A">
        <w:rPr>
          <w:rFonts w:ascii="Times New Roman" w:hAnsi="Times New Roman" w:cs="Times New Roman"/>
          <w:sz w:val="20"/>
          <w:szCs w:val="20"/>
          <w:vertAlign w:val="superscript"/>
        </w:rPr>
        <w:t>-1</w:t>
      </w:r>
      <w:r w:rsidRPr="007C4D9A">
        <w:rPr>
          <w:rFonts w:ascii="Times New Roman" w:hAnsi="Times New Roman" w:cs="Times New Roman"/>
          <w:sz w:val="20"/>
          <w:szCs w:val="20"/>
        </w:rPr>
        <w:t xml:space="preserve">, </w:t>
      </w:r>
      <w:r>
        <w:rPr>
          <w:rFonts w:ascii="Times New Roman" w:hAnsi="Times New Roman" w:cs="Times New Roman"/>
          <w:sz w:val="20"/>
          <w:szCs w:val="20"/>
        </w:rPr>
        <w:t>respectivamente</w:t>
      </w:r>
      <w:r w:rsidRPr="007C4D9A">
        <w:rPr>
          <w:rFonts w:ascii="Times New Roman" w:hAnsi="Times New Roman" w:cs="Times New Roman"/>
          <w:sz w:val="20"/>
          <w:szCs w:val="20"/>
        </w:rPr>
        <w:t>.</w:t>
      </w:r>
      <w:r>
        <w:rPr>
          <w:rFonts w:ascii="Times New Roman" w:hAnsi="Times New Roman" w:cs="Times New Roman"/>
          <w:sz w:val="20"/>
          <w:szCs w:val="20"/>
        </w:rPr>
        <w:t xml:space="preserve"> A presença de água em associação com grupos carbonatos (OH-O) é evidenciada pela banda em </w:t>
      </w:r>
      <w:r w:rsidRPr="00DE7DB3">
        <w:rPr>
          <w:rFonts w:ascii="Times New Roman" w:hAnsi="Times New Roman" w:cs="Times New Roman"/>
          <w:sz w:val="20"/>
          <w:szCs w:val="20"/>
        </w:rPr>
        <w:t>500 cm</w:t>
      </w:r>
      <w:r w:rsidRPr="009E7000">
        <w:rPr>
          <w:rFonts w:ascii="Times New Roman" w:hAnsi="Times New Roman" w:cs="Times New Roman"/>
          <w:sz w:val="20"/>
          <w:szCs w:val="20"/>
          <w:vertAlign w:val="superscript"/>
        </w:rPr>
        <w:t>-1</w:t>
      </w:r>
      <w:r w:rsidRPr="00DE7DB3">
        <w:rPr>
          <w:rFonts w:ascii="Times New Roman" w:hAnsi="Times New Roman" w:cs="Times New Roman"/>
          <w:sz w:val="20"/>
          <w:szCs w:val="20"/>
        </w:rPr>
        <w:t>.</w:t>
      </w:r>
      <w:r w:rsidRPr="00DE7DB3">
        <w:rPr>
          <w:rFonts w:ascii="Times New Roman" w:hAnsi="Times New Roman" w:cs="Times New Roman"/>
          <w:sz w:val="24"/>
          <w:szCs w:val="24"/>
        </w:rPr>
        <w:t xml:space="preserve"> </w:t>
      </w:r>
      <w:r>
        <w:rPr>
          <w:rFonts w:ascii="Times New Roman" w:hAnsi="Times New Roman" w:cs="Times New Roman"/>
          <w:sz w:val="20"/>
          <w:szCs w:val="20"/>
        </w:rPr>
        <w:t>O espectro mostra também o aparecimento da banda em 450 cm</w:t>
      </w:r>
      <w:r>
        <w:rPr>
          <w:rFonts w:ascii="Times New Roman" w:hAnsi="Times New Roman" w:cs="Times New Roman"/>
          <w:sz w:val="20"/>
          <w:szCs w:val="20"/>
          <w:vertAlign w:val="superscript"/>
        </w:rPr>
        <w:t>-1</w:t>
      </w:r>
      <w:r>
        <w:rPr>
          <w:rFonts w:ascii="Times New Roman" w:hAnsi="Times New Roman" w:cs="Times New Roman"/>
          <w:sz w:val="20"/>
          <w:szCs w:val="20"/>
        </w:rPr>
        <w:t xml:space="preserve">, a qual tem sido correlacionada </w:t>
      </w:r>
      <w:r w:rsidR="009F62DD">
        <w:rPr>
          <w:rFonts w:ascii="Times New Roman" w:hAnsi="Times New Roman" w:cs="Times New Roman"/>
          <w:sz w:val="20"/>
          <w:szCs w:val="20"/>
        </w:rPr>
        <w:t>a</w:t>
      </w:r>
      <w:r>
        <w:rPr>
          <w:rFonts w:ascii="Times New Roman" w:hAnsi="Times New Roman" w:cs="Times New Roman"/>
          <w:sz w:val="20"/>
          <w:szCs w:val="20"/>
        </w:rPr>
        <w:t xml:space="preserve"> vacâncias de oxigênio em </w:t>
      </w:r>
      <w:proofErr w:type="spellStart"/>
      <w:r>
        <w:rPr>
          <w:rFonts w:ascii="Times New Roman" w:hAnsi="Times New Roman" w:cs="Times New Roman"/>
          <w:sz w:val="20"/>
          <w:szCs w:val="20"/>
        </w:rPr>
        <w:t>ZnO</w:t>
      </w:r>
      <w:proofErr w:type="spellEnd"/>
      <w:r>
        <w:rPr>
          <w:rFonts w:ascii="Times New Roman" w:hAnsi="Times New Roman" w:cs="Times New Roman"/>
          <w:sz w:val="20"/>
          <w:szCs w:val="20"/>
        </w:rPr>
        <w:t xml:space="preserve"> (</w:t>
      </w:r>
      <w:r w:rsidR="0050345C">
        <w:rPr>
          <w:rFonts w:ascii="Times New Roman" w:hAnsi="Times New Roman" w:cs="Times New Roman"/>
          <w:sz w:val="20"/>
          <w:szCs w:val="20"/>
        </w:rPr>
        <w:t>7</w:t>
      </w:r>
      <w:r>
        <w:rPr>
          <w:rFonts w:ascii="Times New Roman" w:hAnsi="Times New Roman" w:cs="Times New Roman"/>
          <w:sz w:val="20"/>
          <w:szCs w:val="20"/>
        </w:rPr>
        <w:t>).</w:t>
      </w:r>
    </w:p>
    <w:p w14:paraId="6D003572" w14:textId="77777777" w:rsidR="00203978" w:rsidRDefault="00203978" w:rsidP="00DF48CD">
      <w:pPr>
        <w:pStyle w:val="TAMainText"/>
        <w:ind w:firstLine="284"/>
        <w:rPr>
          <w:rFonts w:ascii="Times New Roman" w:hAnsi="Times New Roman"/>
          <w:lang w:val="pt-BR"/>
        </w:rPr>
      </w:pPr>
    </w:p>
    <w:p w14:paraId="3C0F45AF" w14:textId="77777777" w:rsidR="000D43B6" w:rsidRDefault="000D43B6" w:rsidP="00DF48CD">
      <w:pPr>
        <w:pStyle w:val="TAMainText"/>
        <w:ind w:firstLine="284"/>
        <w:rPr>
          <w:rFonts w:ascii="Times New Roman" w:hAnsi="Times New Roman"/>
          <w:lang w:val="pt-BR"/>
        </w:rPr>
      </w:pPr>
    </w:p>
    <w:p w14:paraId="30F11A60" w14:textId="77777777" w:rsidR="0065149C" w:rsidRDefault="00DF48CD" w:rsidP="00DF48CD">
      <w:pPr>
        <w:tabs>
          <w:tab w:val="left" w:pos="0"/>
        </w:tabs>
        <w:autoSpaceDE w:val="0"/>
        <w:autoSpaceDN w:val="0"/>
        <w:adjustRightInd w:val="0"/>
        <w:spacing w:after="0" w:line="240" w:lineRule="auto"/>
        <w:ind w:right="-52"/>
        <w:jc w:val="center"/>
        <w:rPr>
          <w:rFonts w:ascii="Times New Roman" w:eastAsia="+mn-ea" w:hAnsi="Times New Roman" w:cs="Times New Roman"/>
          <w:color w:val="FF0000"/>
          <w:kern w:val="24"/>
          <w:sz w:val="20"/>
          <w:szCs w:val="20"/>
        </w:rPr>
      </w:pPr>
      <w:r w:rsidRPr="00DF48CD">
        <w:rPr>
          <w:noProof/>
          <w:lang w:eastAsia="pt-BR"/>
        </w:rPr>
        <w:drawing>
          <wp:inline distT="0" distB="0" distL="0" distR="0" wp14:anchorId="21FA8307" wp14:editId="228168B4">
            <wp:extent cx="3096000" cy="2621096"/>
            <wp:effectExtent l="0" t="0" r="0" b="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0525" t="10504" r="11908" b="3359"/>
                    <a:stretch/>
                  </pic:blipFill>
                  <pic:spPr bwMode="auto">
                    <a:xfrm>
                      <a:off x="0" y="0"/>
                      <a:ext cx="3096000" cy="2621096"/>
                    </a:xfrm>
                    <a:prstGeom prst="rect">
                      <a:avLst/>
                    </a:prstGeom>
                    <a:noFill/>
                    <a:ln>
                      <a:noFill/>
                    </a:ln>
                    <a:extLst>
                      <a:ext uri="{53640926-AAD7-44D8-BBD7-CCE9431645EC}">
                        <a14:shadowObscured xmlns:a14="http://schemas.microsoft.com/office/drawing/2010/main"/>
                      </a:ext>
                    </a:extLst>
                  </pic:spPr>
                </pic:pic>
              </a:graphicData>
            </a:graphic>
          </wp:inline>
        </w:drawing>
      </w:r>
    </w:p>
    <w:p w14:paraId="2C8D9983" w14:textId="77777777" w:rsidR="00DF48CD" w:rsidRDefault="00DF48CD" w:rsidP="00DF48CD">
      <w:pPr>
        <w:tabs>
          <w:tab w:val="left" w:pos="0"/>
        </w:tabs>
        <w:autoSpaceDE w:val="0"/>
        <w:autoSpaceDN w:val="0"/>
        <w:adjustRightInd w:val="0"/>
        <w:spacing w:after="0" w:line="240" w:lineRule="auto"/>
        <w:ind w:right="-52"/>
        <w:jc w:val="center"/>
        <w:rPr>
          <w:rFonts w:ascii="Times New Roman" w:eastAsia="+mn-ea" w:hAnsi="Times New Roman" w:cs="Times New Roman"/>
          <w:color w:val="FF0000"/>
          <w:kern w:val="24"/>
          <w:sz w:val="20"/>
          <w:szCs w:val="20"/>
        </w:rPr>
      </w:pPr>
    </w:p>
    <w:p w14:paraId="4F46F8C0" w14:textId="77777777" w:rsidR="00DF48CD" w:rsidRPr="009E5A42" w:rsidRDefault="00DF48CD" w:rsidP="00DF48CD">
      <w:pPr>
        <w:tabs>
          <w:tab w:val="left" w:pos="0"/>
        </w:tabs>
        <w:autoSpaceDE w:val="0"/>
        <w:autoSpaceDN w:val="0"/>
        <w:adjustRightInd w:val="0"/>
        <w:spacing w:after="0" w:line="240" w:lineRule="auto"/>
        <w:ind w:right="90"/>
        <w:jc w:val="both"/>
        <w:rPr>
          <w:rFonts w:ascii="Times New Roman" w:hAnsi="Times New Roman" w:cs="Times New Roman"/>
          <w:sz w:val="18"/>
          <w:szCs w:val="18"/>
        </w:rPr>
      </w:pPr>
      <w:r w:rsidRPr="009E5A42">
        <w:rPr>
          <w:rFonts w:ascii="Times New Roman" w:hAnsi="Times New Roman" w:cs="Times New Roman"/>
          <w:b/>
          <w:bCs/>
          <w:sz w:val="18"/>
          <w:szCs w:val="18"/>
        </w:rPr>
        <w:t xml:space="preserve">Figura </w:t>
      </w:r>
      <w:r>
        <w:rPr>
          <w:rFonts w:ascii="Times New Roman" w:hAnsi="Times New Roman" w:cs="Times New Roman"/>
          <w:b/>
          <w:bCs/>
          <w:sz w:val="18"/>
          <w:szCs w:val="18"/>
        </w:rPr>
        <w:t>4</w:t>
      </w:r>
      <w:r w:rsidRPr="009E5A42">
        <w:rPr>
          <w:rFonts w:ascii="Times New Roman" w:hAnsi="Times New Roman" w:cs="Times New Roman"/>
          <w:b/>
          <w:bCs/>
          <w:sz w:val="18"/>
          <w:szCs w:val="18"/>
        </w:rPr>
        <w:t xml:space="preserve">. </w:t>
      </w:r>
      <w:r>
        <w:rPr>
          <w:rFonts w:ascii="Times New Roman" w:hAnsi="Times New Roman" w:cs="Times New Roman"/>
          <w:sz w:val="18"/>
          <w:szCs w:val="18"/>
        </w:rPr>
        <w:t>Região ampliada entre 40 e 56º dos difratogramas obt</w:t>
      </w:r>
      <w:r w:rsidR="0050345C">
        <w:rPr>
          <w:rFonts w:ascii="Times New Roman" w:hAnsi="Times New Roman" w:cs="Times New Roman"/>
          <w:sz w:val="18"/>
          <w:szCs w:val="18"/>
        </w:rPr>
        <w:t>i</w:t>
      </w:r>
      <w:r>
        <w:rPr>
          <w:rFonts w:ascii="Times New Roman" w:hAnsi="Times New Roman" w:cs="Times New Roman"/>
          <w:sz w:val="18"/>
          <w:szCs w:val="18"/>
        </w:rPr>
        <w:t>dos para as amostras usadas em reação sob pressões entre 1 e 30 bar</w:t>
      </w:r>
      <w:r w:rsidRPr="009E5A42">
        <w:rPr>
          <w:rFonts w:ascii="Times New Roman" w:hAnsi="Times New Roman" w:cs="Times New Roman"/>
          <w:sz w:val="18"/>
          <w:szCs w:val="18"/>
        </w:rPr>
        <w:t>.</w:t>
      </w:r>
    </w:p>
    <w:p w14:paraId="70C1C67F" w14:textId="77777777" w:rsidR="00203978" w:rsidRDefault="00203978" w:rsidP="00203978">
      <w:pPr>
        <w:tabs>
          <w:tab w:val="left" w:pos="0"/>
        </w:tabs>
        <w:autoSpaceDE w:val="0"/>
        <w:autoSpaceDN w:val="0"/>
        <w:adjustRightInd w:val="0"/>
        <w:spacing w:after="0" w:line="240" w:lineRule="auto"/>
        <w:ind w:right="90"/>
        <w:jc w:val="both"/>
        <w:rPr>
          <w:rFonts w:ascii="Times New Roman" w:eastAsia="+mn-ea" w:hAnsi="Times New Roman" w:cs="Times New Roman"/>
          <w:color w:val="000000"/>
          <w:kern w:val="24"/>
          <w:sz w:val="20"/>
          <w:szCs w:val="20"/>
        </w:rPr>
      </w:pPr>
    </w:p>
    <w:p w14:paraId="54E8F3CA" w14:textId="77777777" w:rsidR="006875B1" w:rsidRDefault="00DE7DB3" w:rsidP="00265F1B">
      <w:pPr>
        <w:tabs>
          <w:tab w:val="left" w:pos="0"/>
        </w:tabs>
        <w:autoSpaceDE w:val="0"/>
        <w:autoSpaceDN w:val="0"/>
        <w:adjustRightInd w:val="0"/>
        <w:spacing w:after="0" w:line="240" w:lineRule="auto"/>
        <w:ind w:right="90" w:firstLine="284"/>
        <w:jc w:val="both"/>
        <w:rPr>
          <w:rFonts w:ascii="Times New Roman" w:hAnsi="Times New Roman" w:cs="Times New Roman"/>
          <w:sz w:val="20"/>
          <w:szCs w:val="20"/>
        </w:rPr>
      </w:pPr>
      <w:r>
        <w:rPr>
          <w:rFonts w:ascii="Times New Roman" w:eastAsia="+mn-ea" w:hAnsi="Times New Roman" w:cs="Times New Roman"/>
          <w:color w:val="000000"/>
          <w:kern w:val="24"/>
          <w:sz w:val="20"/>
          <w:szCs w:val="20"/>
        </w:rPr>
        <w:t>Os espectros relativos aos catalisadores usados são totalmente distintos da amostra fresca</w:t>
      </w:r>
      <w:r w:rsidR="003B44C0">
        <w:rPr>
          <w:rFonts w:ascii="Times New Roman" w:eastAsia="+mn-ea" w:hAnsi="Times New Roman" w:cs="Times New Roman"/>
          <w:color w:val="000000"/>
          <w:kern w:val="24"/>
          <w:sz w:val="20"/>
          <w:szCs w:val="20"/>
        </w:rPr>
        <w:t xml:space="preserve"> (Figuras 6 e 7)</w:t>
      </w:r>
      <w:r>
        <w:rPr>
          <w:rFonts w:ascii="Times New Roman" w:eastAsia="+mn-ea" w:hAnsi="Times New Roman" w:cs="Times New Roman"/>
          <w:color w:val="000000"/>
          <w:kern w:val="24"/>
          <w:sz w:val="20"/>
          <w:szCs w:val="20"/>
        </w:rPr>
        <w:t xml:space="preserve">, tendo sido observadas bandas relativas à óxidos de Cu, </w:t>
      </w:r>
      <w:proofErr w:type="spellStart"/>
      <w:r>
        <w:rPr>
          <w:rFonts w:ascii="Times New Roman" w:eastAsia="+mn-ea" w:hAnsi="Times New Roman" w:cs="Times New Roman"/>
          <w:color w:val="000000"/>
          <w:kern w:val="24"/>
          <w:sz w:val="20"/>
          <w:szCs w:val="20"/>
        </w:rPr>
        <w:t>CuO</w:t>
      </w:r>
      <w:proofErr w:type="spellEnd"/>
      <w:r>
        <w:rPr>
          <w:rFonts w:ascii="Times New Roman" w:eastAsia="+mn-ea" w:hAnsi="Times New Roman" w:cs="Times New Roman"/>
          <w:color w:val="000000"/>
          <w:kern w:val="24"/>
          <w:sz w:val="20"/>
          <w:szCs w:val="20"/>
        </w:rPr>
        <w:t xml:space="preserve"> (297 e 634 cm</w:t>
      </w:r>
      <w:r w:rsidRPr="00DE7DB3">
        <w:rPr>
          <w:rFonts w:ascii="Times New Roman" w:eastAsia="+mn-ea" w:hAnsi="Times New Roman" w:cs="Times New Roman"/>
          <w:color w:val="000000"/>
          <w:kern w:val="24"/>
          <w:sz w:val="20"/>
          <w:szCs w:val="20"/>
          <w:vertAlign w:val="superscript"/>
        </w:rPr>
        <w:t>-1</w:t>
      </w:r>
      <w:r>
        <w:rPr>
          <w:rFonts w:ascii="Times New Roman" w:eastAsia="+mn-ea" w:hAnsi="Times New Roman" w:cs="Times New Roman"/>
          <w:color w:val="000000"/>
          <w:kern w:val="24"/>
          <w:sz w:val="20"/>
          <w:szCs w:val="20"/>
        </w:rPr>
        <w:t>), Cu</w:t>
      </w:r>
      <w:r w:rsidRPr="00DE7DB3">
        <w:rPr>
          <w:rFonts w:ascii="Times New Roman" w:eastAsia="+mn-ea" w:hAnsi="Times New Roman" w:cs="Times New Roman"/>
          <w:color w:val="000000"/>
          <w:kern w:val="24"/>
          <w:sz w:val="20"/>
          <w:szCs w:val="20"/>
          <w:vertAlign w:val="subscript"/>
        </w:rPr>
        <w:t>2</w:t>
      </w:r>
      <w:r>
        <w:rPr>
          <w:rFonts w:ascii="Times New Roman" w:eastAsia="+mn-ea" w:hAnsi="Times New Roman" w:cs="Times New Roman"/>
          <w:color w:val="000000"/>
          <w:kern w:val="24"/>
          <w:sz w:val="20"/>
          <w:szCs w:val="20"/>
        </w:rPr>
        <w:t>O (</w:t>
      </w:r>
      <w:r w:rsidRPr="00DE7DB3">
        <w:rPr>
          <w:rFonts w:ascii="Times New Roman" w:hAnsi="Times New Roman" w:cs="Times New Roman"/>
          <w:sz w:val="20"/>
          <w:szCs w:val="20"/>
        </w:rPr>
        <w:t xml:space="preserve">148, 520 </w:t>
      </w:r>
      <w:r w:rsidR="00D97E9E">
        <w:rPr>
          <w:rFonts w:ascii="Times New Roman" w:hAnsi="Times New Roman" w:cs="Times New Roman"/>
          <w:sz w:val="20"/>
          <w:szCs w:val="20"/>
        </w:rPr>
        <w:t>e</w:t>
      </w:r>
      <w:r w:rsidRPr="00DE7DB3">
        <w:rPr>
          <w:rFonts w:ascii="Times New Roman" w:hAnsi="Times New Roman" w:cs="Times New Roman"/>
          <w:sz w:val="20"/>
          <w:szCs w:val="20"/>
        </w:rPr>
        <w:t xml:space="preserve"> 630 cm</w:t>
      </w:r>
      <w:r w:rsidRPr="00DE7DB3">
        <w:rPr>
          <w:rFonts w:ascii="Times New Roman" w:hAnsi="Times New Roman" w:cs="Times New Roman"/>
          <w:sz w:val="20"/>
          <w:szCs w:val="20"/>
          <w:vertAlign w:val="superscript"/>
        </w:rPr>
        <w:t>-1</w:t>
      </w:r>
      <w:r>
        <w:rPr>
          <w:rFonts w:ascii="Times New Roman" w:eastAsia="+mn-ea" w:hAnsi="Times New Roman" w:cs="Times New Roman"/>
          <w:color w:val="000000"/>
          <w:kern w:val="24"/>
          <w:sz w:val="20"/>
          <w:szCs w:val="20"/>
        </w:rPr>
        <w:t>)</w:t>
      </w:r>
      <w:r w:rsidRPr="00DE7DB3">
        <w:rPr>
          <w:rFonts w:ascii="Times New Roman" w:hAnsi="Times New Roman" w:cs="Times New Roman"/>
          <w:sz w:val="24"/>
          <w:szCs w:val="24"/>
          <w:vertAlign w:val="superscript"/>
        </w:rPr>
        <w:t xml:space="preserve"> </w:t>
      </w:r>
      <w:r w:rsidR="000A467D" w:rsidRPr="00D97E9E">
        <w:rPr>
          <w:rFonts w:ascii="Times New Roman" w:hAnsi="Times New Roman" w:cs="Times New Roman"/>
          <w:sz w:val="20"/>
          <w:szCs w:val="20"/>
        </w:rPr>
        <w:t>(</w:t>
      </w:r>
      <w:r w:rsidR="0050345C">
        <w:rPr>
          <w:rFonts w:ascii="Times New Roman" w:hAnsi="Times New Roman" w:cs="Times New Roman"/>
          <w:sz w:val="20"/>
          <w:szCs w:val="20"/>
        </w:rPr>
        <w:t>8</w:t>
      </w:r>
      <w:r w:rsidR="000A467D" w:rsidRPr="00D97E9E">
        <w:rPr>
          <w:rFonts w:ascii="Times New Roman" w:hAnsi="Times New Roman" w:cs="Times New Roman"/>
          <w:sz w:val="20"/>
          <w:szCs w:val="20"/>
        </w:rPr>
        <w:t>,</w:t>
      </w:r>
      <w:r w:rsidR="0050345C">
        <w:rPr>
          <w:rFonts w:ascii="Times New Roman" w:hAnsi="Times New Roman" w:cs="Times New Roman"/>
          <w:sz w:val="20"/>
          <w:szCs w:val="20"/>
        </w:rPr>
        <w:t>9</w:t>
      </w:r>
      <w:r w:rsidR="000A467D" w:rsidRPr="00D97E9E">
        <w:rPr>
          <w:rFonts w:ascii="Times New Roman" w:hAnsi="Times New Roman" w:cs="Times New Roman"/>
          <w:sz w:val="20"/>
          <w:szCs w:val="20"/>
        </w:rPr>
        <w:t>)</w:t>
      </w:r>
      <w:r w:rsidRPr="00EA2D6D">
        <w:rPr>
          <w:rFonts w:ascii="Times New Roman" w:hAnsi="Times New Roman" w:cs="Times New Roman"/>
          <w:color w:val="FF0000"/>
          <w:sz w:val="20"/>
          <w:szCs w:val="20"/>
        </w:rPr>
        <w:t xml:space="preserve"> </w:t>
      </w:r>
      <w:r w:rsidRPr="00BC79F2">
        <w:rPr>
          <w:rFonts w:ascii="Times New Roman" w:hAnsi="Times New Roman" w:cs="Times New Roman"/>
          <w:sz w:val="20"/>
          <w:szCs w:val="20"/>
        </w:rPr>
        <w:t xml:space="preserve">e </w:t>
      </w:r>
      <w:proofErr w:type="spellStart"/>
      <w:r w:rsidRPr="00BC79F2">
        <w:rPr>
          <w:rFonts w:ascii="Times New Roman" w:hAnsi="Times New Roman" w:cs="Times New Roman"/>
          <w:sz w:val="20"/>
          <w:szCs w:val="20"/>
        </w:rPr>
        <w:t>ZnO</w:t>
      </w:r>
      <w:proofErr w:type="spellEnd"/>
      <w:r w:rsidRPr="00BC79F2">
        <w:rPr>
          <w:rFonts w:ascii="Times New Roman" w:hAnsi="Times New Roman" w:cs="Times New Roman"/>
          <w:sz w:val="20"/>
          <w:szCs w:val="20"/>
        </w:rPr>
        <w:t xml:space="preserve"> (442 e 495 cm</w:t>
      </w:r>
      <w:r w:rsidRPr="00BC79F2">
        <w:rPr>
          <w:rFonts w:ascii="Times New Roman" w:hAnsi="Times New Roman" w:cs="Times New Roman"/>
          <w:sz w:val="20"/>
          <w:szCs w:val="20"/>
          <w:vertAlign w:val="superscript"/>
        </w:rPr>
        <w:t>-1</w:t>
      </w:r>
      <w:r w:rsidRPr="00BC79F2">
        <w:rPr>
          <w:rFonts w:ascii="Times New Roman" w:hAnsi="Times New Roman" w:cs="Times New Roman"/>
          <w:sz w:val="20"/>
          <w:szCs w:val="20"/>
        </w:rPr>
        <w:t xml:space="preserve">) </w:t>
      </w:r>
      <w:r w:rsidR="00D97E9E">
        <w:rPr>
          <w:rFonts w:ascii="Times New Roman" w:hAnsi="Times New Roman" w:cs="Times New Roman"/>
          <w:sz w:val="20"/>
          <w:szCs w:val="20"/>
        </w:rPr>
        <w:t>(</w:t>
      </w:r>
      <w:r w:rsidR="0050345C">
        <w:rPr>
          <w:rFonts w:ascii="Times New Roman" w:hAnsi="Times New Roman" w:cs="Times New Roman"/>
          <w:sz w:val="20"/>
          <w:szCs w:val="20"/>
        </w:rPr>
        <w:t>10</w:t>
      </w:r>
      <w:r w:rsidR="00D97E9E">
        <w:rPr>
          <w:rFonts w:ascii="Times New Roman" w:hAnsi="Times New Roman" w:cs="Times New Roman"/>
          <w:sz w:val="20"/>
          <w:szCs w:val="20"/>
        </w:rPr>
        <w:t>)</w:t>
      </w:r>
      <w:r w:rsidRPr="00DE7DB3">
        <w:rPr>
          <w:rFonts w:ascii="Times New Roman" w:hAnsi="Times New Roman" w:cs="Times New Roman"/>
          <w:sz w:val="20"/>
          <w:szCs w:val="20"/>
        </w:rPr>
        <w:t>. O aparecimento de bandas nos espectros Raman relativ</w:t>
      </w:r>
      <w:r w:rsidR="00230217">
        <w:rPr>
          <w:rFonts w:ascii="Times New Roman" w:hAnsi="Times New Roman" w:cs="Times New Roman"/>
          <w:sz w:val="20"/>
          <w:szCs w:val="20"/>
        </w:rPr>
        <w:t>a</w:t>
      </w:r>
      <w:r w:rsidRPr="00DE7DB3">
        <w:rPr>
          <w:rFonts w:ascii="Times New Roman" w:hAnsi="Times New Roman" w:cs="Times New Roman"/>
          <w:sz w:val="20"/>
          <w:szCs w:val="20"/>
        </w:rPr>
        <w:t>s a óxidos de Cu</w:t>
      </w:r>
      <w:r w:rsidR="00C24842">
        <w:rPr>
          <w:rFonts w:ascii="Times New Roman" w:hAnsi="Times New Roman" w:cs="Times New Roman"/>
          <w:sz w:val="20"/>
          <w:szCs w:val="20"/>
        </w:rPr>
        <w:t xml:space="preserve"> e CuAl</w:t>
      </w:r>
      <w:r w:rsidR="00C24842" w:rsidRPr="00C24842">
        <w:rPr>
          <w:rFonts w:ascii="Times New Roman" w:hAnsi="Times New Roman" w:cs="Times New Roman"/>
          <w:sz w:val="20"/>
          <w:szCs w:val="20"/>
          <w:vertAlign w:val="subscript"/>
        </w:rPr>
        <w:t>2</w:t>
      </w:r>
      <w:r w:rsidR="00C24842">
        <w:rPr>
          <w:rFonts w:ascii="Times New Roman" w:hAnsi="Times New Roman" w:cs="Times New Roman"/>
          <w:sz w:val="20"/>
          <w:szCs w:val="20"/>
        </w:rPr>
        <w:t>O</w:t>
      </w:r>
      <w:r w:rsidR="00C24842" w:rsidRPr="00C24842">
        <w:rPr>
          <w:rFonts w:ascii="Times New Roman" w:hAnsi="Times New Roman" w:cs="Times New Roman"/>
          <w:sz w:val="20"/>
          <w:szCs w:val="20"/>
          <w:vertAlign w:val="subscript"/>
        </w:rPr>
        <w:t>4</w:t>
      </w:r>
      <w:r w:rsidRPr="00DE7DB3">
        <w:rPr>
          <w:rFonts w:ascii="Times New Roman" w:hAnsi="Times New Roman" w:cs="Times New Roman"/>
          <w:sz w:val="20"/>
          <w:szCs w:val="20"/>
        </w:rPr>
        <w:t xml:space="preserve"> n</w:t>
      </w:r>
      <w:r>
        <w:rPr>
          <w:rFonts w:ascii="Times New Roman" w:hAnsi="Times New Roman" w:cs="Times New Roman"/>
          <w:sz w:val="20"/>
          <w:szCs w:val="20"/>
        </w:rPr>
        <w:t xml:space="preserve">ão detectadas nos difratogramas pode ser explicada em termos do limite de </w:t>
      </w:r>
      <w:r w:rsidR="00C24842">
        <w:rPr>
          <w:rFonts w:ascii="Times New Roman" w:hAnsi="Times New Roman" w:cs="Times New Roman"/>
          <w:sz w:val="20"/>
          <w:szCs w:val="20"/>
        </w:rPr>
        <w:t>detecção</w:t>
      </w:r>
      <w:r>
        <w:rPr>
          <w:rFonts w:ascii="Times New Roman" w:hAnsi="Times New Roman" w:cs="Times New Roman"/>
          <w:sz w:val="20"/>
          <w:szCs w:val="20"/>
        </w:rPr>
        <w:t xml:space="preserve">, sendo a espectroscopia Raman mais sensível a pequenas quantidades de modos ativos </w:t>
      </w:r>
      <w:r w:rsidR="00C24842">
        <w:rPr>
          <w:rFonts w:ascii="Times New Roman" w:hAnsi="Times New Roman" w:cs="Times New Roman"/>
          <w:sz w:val="20"/>
          <w:szCs w:val="20"/>
        </w:rPr>
        <w:t xml:space="preserve">tendo em conta que o espalhamento Raman resulta de vibrações moleculares e de rede </w:t>
      </w:r>
      <w:r w:rsidR="00BF27A0" w:rsidRPr="00BF27A0">
        <w:rPr>
          <w:rFonts w:ascii="Times New Roman" w:hAnsi="Times New Roman" w:cs="Times New Roman"/>
          <w:sz w:val="20"/>
          <w:szCs w:val="20"/>
        </w:rPr>
        <w:t>(</w:t>
      </w:r>
      <w:r w:rsidR="0050345C">
        <w:rPr>
          <w:rFonts w:ascii="Times New Roman" w:hAnsi="Times New Roman" w:cs="Times New Roman"/>
          <w:sz w:val="20"/>
          <w:szCs w:val="20"/>
        </w:rPr>
        <w:t>11</w:t>
      </w:r>
      <w:r w:rsidR="00BF27A0" w:rsidRPr="00BF27A0">
        <w:rPr>
          <w:rFonts w:ascii="Times New Roman" w:hAnsi="Times New Roman" w:cs="Times New Roman"/>
          <w:sz w:val="20"/>
          <w:szCs w:val="20"/>
        </w:rPr>
        <w:t>)</w:t>
      </w:r>
      <w:r w:rsidR="00C24842" w:rsidRPr="00C24842">
        <w:rPr>
          <w:rFonts w:ascii="Times New Roman" w:hAnsi="Times New Roman" w:cs="Times New Roman"/>
          <w:sz w:val="20"/>
          <w:szCs w:val="20"/>
        </w:rPr>
        <w:t>.</w:t>
      </w:r>
      <w:r w:rsidR="00C24842">
        <w:rPr>
          <w:rFonts w:ascii="Times New Roman" w:hAnsi="Times New Roman" w:cs="Times New Roman"/>
          <w:sz w:val="20"/>
          <w:szCs w:val="20"/>
        </w:rPr>
        <w:t xml:space="preserve"> </w:t>
      </w:r>
    </w:p>
    <w:p w14:paraId="07DD7DC1" w14:textId="77777777" w:rsidR="006875B1" w:rsidRDefault="006875B1" w:rsidP="00265F1B">
      <w:pPr>
        <w:tabs>
          <w:tab w:val="left" w:pos="0"/>
        </w:tabs>
        <w:autoSpaceDE w:val="0"/>
        <w:autoSpaceDN w:val="0"/>
        <w:adjustRightInd w:val="0"/>
        <w:spacing w:after="0" w:line="240" w:lineRule="auto"/>
        <w:ind w:right="90" w:firstLine="284"/>
        <w:jc w:val="both"/>
        <w:rPr>
          <w:rFonts w:ascii="Times New Roman" w:hAnsi="Times New Roman" w:cs="Times New Roman"/>
          <w:sz w:val="20"/>
          <w:szCs w:val="20"/>
        </w:rPr>
      </w:pPr>
    </w:p>
    <w:p w14:paraId="572E01C5" w14:textId="77777777" w:rsidR="006875B1" w:rsidRDefault="006875B1" w:rsidP="006875B1">
      <w:pPr>
        <w:tabs>
          <w:tab w:val="left" w:pos="0"/>
        </w:tabs>
        <w:autoSpaceDE w:val="0"/>
        <w:autoSpaceDN w:val="0"/>
        <w:adjustRightInd w:val="0"/>
        <w:spacing w:after="0" w:line="240" w:lineRule="auto"/>
        <w:ind w:right="90"/>
        <w:jc w:val="both"/>
      </w:pPr>
      <w:r>
        <w:object w:dxaOrig="7742" w:dyaOrig="5431" w14:anchorId="599A8D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7pt;height:194.3pt" o:ole="">
            <v:imagedata r:id="rId13" o:title="" croptop="5885f" cropleft="6479f" cropright="6383f"/>
          </v:shape>
          <o:OLEObject Type="Embed" ProgID="Origin50.Graph" ShapeID="_x0000_i1025" DrawAspect="Content" ObjectID="_1749197538" r:id="rId14"/>
        </w:object>
      </w:r>
    </w:p>
    <w:p w14:paraId="1B06C64C" w14:textId="77777777" w:rsidR="006875B1" w:rsidRPr="00705256" w:rsidRDefault="006875B1" w:rsidP="006875B1">
      <w:pPr>
        <w:tabs>
          <w:tab w:val="left" w:pos="0"/>
        </w:tabs>
        <w:autoSpaceDE w:val="0"/>
        <w:autoSpaceDN w:val="0"/>
        <w:adjustRightInd w:val="0"/>
        <w:spacing w:after="0" w:line="240" w:lineRule="auto"/>
        <w:ind w:right="90"/>
        <w:jc w:val="both"/>
        <w:rPr>
          <w:rFonts w:ascii="Times New Roman" w:hAnsi="Times New Roman" w:cs="Times New Roman"/>
          <w:sz w:val="18"/>
          <w:szCs w:val="18"/>
        </w:rPr>
      </w:pPr>
      <w:r w:rsidRPr="006875B1">
        <w:rPr>
          <w:rFonts w:ascii="Times New Roman" w:hAnsi="Times New Roman" w:cs="Times New Roman"/>
          <w:b/>
          <w:bCs/>
          <w:sz w:val="18"/>
          <w:szCs w:val="18"/>
        </w:rPr>
        <w:t xml:space="preserve"> </w:t>
      </w:r>
      <w:r w:rsidRPr="009E5A42">
        <w:rPr>
          <w:rFonts w:ascii="Times New Roman" w:hAnsi="Times New Roman" w:cs="Times New Roman"/>
          <w:b/>
          <w:bCs/>
          <w:sz w:val="18"/>
          <w:szCs w:val="18"/>
        </w:rPr>
        <w:t xml:space="preserve">Figura </w:t>
      </w:r>
      <w:r>
        <w:rPr>
          <w:rFonts w:ascii="Times New Roman" w:hAnsi="Times New Roman" w:cs="Times New Roman"/>
          <w:b/>
          <w:bCs/>
          <w:sz w:val="18"/>
          <w:szCs w:val="18"/>
        </w:rPr>
        <w:t>5</w:t>
      </w:r>
      <w:r w:rsidRPr="009E5A42">
        <w:rPr>
          <w:rFonts w:ascii="Times New Roman" w:hAnsi="Times New Roman" w:cs="Times New Roman"/>
          <w:b/>
          <w:bCs/>
          <w:sz w:val="18"/>
          <w:szCs w:val="18"/>
        </w:rPr>
        <w:t xml:space="preserve">. </w:t>
      </w:r>
      <w:r>
        <w:rPr>
          <w:rFonts w:ascii="Times New Roman" w:hAnsi="Times New Roman" w:cs="Times New Roman"/>
          <w:sz w:val="18"/>
          <w:szCs w:val="18"/>
        </w:rPr>
        <w:t>Espectro Raman da amostra fresca Cu/</w:t>
      </w:r>
      <w:proofErr w:type="spellStart"/>
      <w:r>
        <w:rPr>
          <w:rFonts w:ascii="Times New Roman" w:hAnsi="Times New Roman" w:cs="Times New Roman"/>
          <w:sz w:val="18"/>
          <w:szCs w:val="18"/>
        </w:rPr>
        <w:t>ZnO</w:t>
      </w:r>
      <w:proofErr w:type="spellEnd"/>
      <w:r>
        <w:rPr>
          <w:rFonts w:ascii="Times New Roman" w:hAnsi="Times New Roman" w:cs="Times New Roman"/>
          <w:sz w:val="18"/>
          <w:szCs w:val="18"/>
        </w:rPr>
        <w:t>/Al</w:t>
      </w:r>
      <w:r>
        <w:rPr>
          <w:rFonts w:ascii="Times New Roman" w:hAnsi="Times New Roman" w:cs="Times New Roman"/>
          <w:sz w:val="18"/>
          <w:szCs w:val="18"/>
          <w:vertAlign w:val="subscript"/>
        </w:rPr>
        <w:t>2</w:t>
      </w:r>
      <w:r>
        <w:rPr>
          <w:rFonts w:ascii="Times New Roman" w:hAnsi="Times New Roman" w:cs="Times New Roman"/>
          <w:sz w:val="18"/>
          <w:szCs w:val="18"/>
        </w:rPr>
        <w:t>O</w:t>
      </w:r>
      <w:r>
        <w:rPr>
          <w:rFonts w:ascii="Times New Roman" w:hAnsi="Times New Roman" w:cs="Times New Roman"/>
          <w:sz w:val="18"/>
          <w:szCs w:val="18"/>
          <w:vertAlign w:val="subscript"/>
        </w:rPr>
        <w:t>3</w:t>
      </w:r>
      <w:r>
        <w:rPr>
          <w:rFonts w:ascii="Times New Roman" w:hAnsi="Times New Roman" w:cs="Times New Roman"/>
          <w:sz w:val="18"/>
          <w:szCs w:val="18"/>
        </w:rPr>
        <w:t>.</w:t>
      </w:r>
    </w:p>
    <w:p w14:paraId="6DF22261" w14:textId="77777777" w:rsidR="006875B1" w:rsidRDefault="006875B1" w:rsidP="006875B1">
      <w:pPr>
        <w:tabs>
          <w:tab w:val="left" w:pos="0"/>
        </w:tabs>
        <w:autoSpaceDE w:val="0"/>
        <w:autoSpaceDN w:val="0"/>
        <w:adjustRightInd w:val="0"/>
        <w:spacing w:after="0" w:line="240" w:lineRule="auto"/>
        <w:ind w:right="90"/>
        <w:jc w:val="both"/>
        <w:rPr>
          <w:rFonts w:ascii="Times New Roman" w:hAnsi="Times New Roman" w:cs="Times New Roman"/>
          <w:sz w:val="20"/>
          <w:szCs w:val="20"/>
        </w:rPr>
      </w:pPr>
    </w:p>
    <w:p w14:paraId="7D1DDC18" w14:textId="77777777" w:rsidR="006875B1" w:rsidRDefault="006875B1" w:rsidP="006875B1">
      <w:pPr>
        <w:tabs>
          <w:tab w:val="left" w:pos="0"/>
        </w:tabs>
        <w:autoSpaceDE w:val="0"/>
        <w:autoSpaceDN w:val="0"/>
        <w:adjustRightInd w:val="0"/>
        <w:spacing w:after="0" w:line="240" w:lineRule="auto"/>
        <w:ind w:right="90"/>
        <w:jc w:val="both"/>
        <w:rPr>
          <w:rFonts w:ascii="Times New Roman" w:hAnsi="Times New Roman" w:cs="Times New Roman"/>
          <w:sz w:val="20"/>
          <w:szCs w:val="20"/>
        </w:rPr>
      </w:pPr>
    </w:p>
    <w:p w14:paraId="7D918478" w14:textId="0C645789" w:rsidR="00705256" w:rsidRPr="006875B1" w:rsidRDefault="00C24842" w:rsidP="006875B1">
      <w:pPr>
        <w:tabs>
          <w:tab w:val="left" w:pos="0"/>
        </w:tabs>
        <w:autoSpaceDE w:val="0"/>
        <w:autoSpaceDN w:val="0"/>
        <w:adjustRightInd w:val="0"/>
        <w:spacing w:after="0" w:line="240" w:lineRule="auto"/>
        <w:ind w:right="90" w:firstLine="284"/>
        <w:jc w:val="both"/>
        <w:rPr>
          <w:rFonts w:ascii="Times New Roman" w:hAnsi="Times New Roman" w:cs="Times New Roman"/>
          <w:sz w:val="20"/>
          <w:szCs w:val="20"/>
        </w:rPr>
      </w:pPr>
      <w:r>
        <w:rPr>
          <w:rFonts w:ascii="Times New Roman" w:hAnsi="Times New Roman" w:cs="Times New Roman"/>
          <w:sz w:val="20"/>
          <w:szCs w:val="20"/>
        </w:rPr>
        <w:t>Com relação ao CuAlO</w:t>
      </w:r>
      <w:r w:rsidRPr="00C24842">
        <w:rPr>
          <w:rFonts w:ascii="Times New Roman" w:hAnsi="Times New Roman" w:cs="Times New Roman"/>
          <w:sz w:val="20"/>
          <w:szCs w:val="20"/>
          <w:vertAlign w:val="subscript"/>
        </w:rPr>
        <w:t>2</w:t>
      </w:r>
      <w:r w:rsidR="002664C8">
        <w:rPr>
          <w:rFonts w:ascii="Times New Roman" w:hAnsi="Times New Roman" w:cs="Times New Roman"/>
          <w:sz w:val="20"/>
          <w:szCs w:val="20"/>
          <w:vertAlign w:val="subscript"/>
        </w:rPr>
        <w:t>,</w:t>
      </w:r>
      <w:r>
        <w:rPr>
          <w:rFonts w:ascii="Times New Roman" w:hAnsi="Times New Roman" w:cs="Times New Roman"/>
          <w:sz w:val="20"/>
          <w:szCs w:val="20"/>
        </w:rPr>
        <w:t xml:space="preserve"> não foi possível qualquer atribuição devido à sobreposição de picos com as bandas </w:t>
      </w:r>
      <w:proofErr w:type="gramStart"/>
      <w:r w:rsidR="00715371">
        <w:rPr>
          <w:rFonts w:ascii="Times New Roman" w:hAnsi="Times New Roman" w:cs="Times New Roman"/>
          <w:sz w:val="20"/>
          <w:szCs w:val="20"/>
        </w:rPr>
        <w:lastRenderedPageBreak/>
        <w:t xml:space="preserve">de </w:t>
      </w:r>
      <w:proofErr w:type="spellStart"/>
      <w:r w:rsidR="00715371">
        <w:rPr>
          <w:rFonts w:ascii="Times New Roman" w:hAnsi="Times New Roman" w:cs="Times New Roman"/>
          <w:sz w:val="20"/>
          <w:szCs w:val="20"/>
        </w:rPr>
        <w:t>SiC</w:t>
      </w:r>
      <w:proofErr w:type="spellEnd"/>
      <w:proofErr w:type="gramEnd"/>
      <w:r>
        <w:rPr>
          <w:rFonts w:ascii="Times New Roman" w:hAnsi="Times New Roman" w:cs="Times New Roman"/>
          <w:sz w:val="20"/>
          <w:szCs w:val="20"/>
        </w:rPr>
        <w:t xml:space="preserve"> em 767 cm</w:t>
      </w:r>
      <w:r w:rsidRPr="00C24842">
        <w:rPr>
          <w:rFonts w:ascii="Times New Roman" w:hAnsi="Times New Roman" w:cs="Times New Roman"/>
          <w:sz w:val="20"/>
          <w:szCs w:val="20"/>
          <w:vertAlign w:val="superscript"/>
        </w:rPr>
        <w:t>-1</w:t>
      </w:r>
      <w:r w:rsidR="00CA0301">
        <w:rPr>
          <w:rFonts w:ascii="Times New Roman" w:hAnsi="Times New Roman" w:cs="Times New Roman"/>
          <w:sz w:val="20"/>
          <w:szCs w:val="20"/>
        </w:rPr>
        <w:t xml:space="preserve"> (Fig. 7)</w:t>
      </w:r>
      <w:r w:rsidR="00657100">
        <w:rPr>
          <w:rFonts w:ascii="Times New Roman" w:hAnsi="Times New Roman" w:cs="Times New Roman"/>
          <w:sz w:val="20"/>
          <w:szCs w:val="20"/>
        </w:rPr>
        <w:t>.</w:t>
      </w:r>
      <w:r>
        <w:rPr>
          <w:rFonts w:ascii="Times New Roman" w:hAnsi="Times New Roman" w:cs="Times New Roman"/>
          <w:sz w:val="20"/>
          <w:szCs w:val="20"/>
        </w:rPr>
        <w:t xml:space="preserve"> </w:t>
      </w:r>
      <w:r w:rsidR="00657100">
        <w:rPr>
          <w:rFonts w:ascii="Times New Roman" w:hAnsi="Times New Roman" w:cs="Times New Roman"/>
          <w:sz w:val="20"/>
          <w:szCs w:val="20"/>
        </w:rPr>
        <w:t xml:space="preserve"> Bandas relativas ao </w:t>
      </w:r>
      <w:proofErr w:type="spellStart"/>
      <w:r w:rsidR="00657100">
        <w:rPr>
          <w:rFonts w:ascii="Times New Roman" w:hAnsi="Times New Roman" w:cs="Times New Roman"/>
          <w:sz w:val="20"/>
          <w:szCs w:val="20"/>
        </w:rPr>
        <w:t>CuO</w:t>
      </w:r>
      <w:proofErr w:type="spellEnd"/>
      <w:r w:rsidR="00657100">
        <w:rPr>
          <w:rFonts w:ascii="Times New Roman" w:hAnsi="Times New Roman" w:cs="Times New Roman"/>
          <w:sz w:val="20"/>
          <w:szCs w:val="20"/>
        </w:rPr>
        <w:t xml:space="preserve"> não </w:t>
      </w:r>
      <w:r w:rsidR="002664C8">
        <w:rPr>
          <w:rFonts w:ascii="Times New Roman" w:hAnsi="Times New Roman" w:cs="Times New Roman"/>
          <w:sz w:val="20"/>
          <w:szCs w:val="20"/>
        </w:rPr>
        <w:t>foram</w:t>
      </w:r>
      <w:r w:rsidR="00657100">
        <w:rPr>
          <w:rFonts w:ascii="Times New Roman" w:hAnsi="Times New Roman" w:cs="Times New Roman"/>
          <w:sz w:val="20"/>
          <w:szCs w:val="20"/>
        </w:rPr>
        <w:t xml:space="preserve"> detectadas nos espectros dos catalisadores utilizados em pressões superiores a 1 bar, sendo observados apenas </w:t>
      </w:r>
      <w:r w:rsidRPr="00657100">
        <w:rPr>
          <w:rFonts w:ascii="Times New Roman" w:hAnsi="Times New Roman" w:cs="Times New Roman"/>
          <w:sz w:val="20"/>
          <w:szCs w:val="20"/>
        </w:rPr>
        <w:t>Cu</w:t>
      </w:r>
      <w:r w:rsidRPr="00657100">
        <w:rPr>
          <w:rFonts w:ascii="Times New Roman" w:hAnsi="Times New Roman" w:cs="Times New Roman"/>
          <w:sz w:val="20"/>
          <w:szCs w:val="20"/>
          <w:vertAlign w:val="subscript"/>
        </w:rPr>
        <w:t>2</w:t>
      </w:r>
      <w:r w:rsidRPr="00657100">
        <w:rPr>
          <w:rFonts w:ascii="Times New Roman" w:hAnsi="Times New Roman" w:cs="Times New Roman"/>
          <w:sz w:val="20"/>
          <w:szCs w:val="20"/>
        </w:rPr>
        <w:t>O</w:t>
      </w:r>
      <w:r w:rsidR="00657100">
        <w:rPr>
          <w:rFonts w:ascii="Times New Roman" w:hAnsi="Times New Roman" w:cs="Times New Roman"/>
          <w:sz w:val="20"/>
          <w:szCs w:val="20"/>
        </w:rPr>
        <w:t>,</w:t>
      </w:r>
      <w:r w:rsidRPr="00657100">
        <w:rPr>
          <w:rFonts w:ascii="Times New Roman" w:hAnsi="Times New Roman" w:cs="Times New Roman"/>
          <w:sz w:val="20"/>
          <w:szCs w:val="20"/>
        </w:rPr>
        <w:t xml:space="preserve"> </w:t>
      </w:r>
      <w:proofErr w:type="spellStart"/>
      <w:r w:rsidRPr="00657100">
        <w:rPr>
          <w:rFonts w:ascii="Times New Roman" w:hAnsi="Times New Roman" w:cs="Times New Roman"/>
          <w:sz w:val="20"/>
          <w:szCs w:val="20"/>
        </w:rPr>
        <w:t>ZnO</w:t>
      </w:r>
      <w:proofErr w:type="spellEnd"/>
      <w:r w:rsidRPr="00657100">
        <w:rPr>
          <w:rFonts w:ascii="Times New Roman" w:hAnsi="Times New Roman" w:cs="Times New Roman"/>
          <w:sz w:val="20"/>
          <w:szCs w:val="20"/>
        </w:rPr>
        <w:t xml:space="preserve"> </w:t>
      </w:r>
      <w:r w:rsidR="00657100">
        <w:rPr>
          <w:rFonts w:ascii="Times New Roman" w:hAnsi="Times New Roman" w:cs="Times New Roman"/>
          <w:sz w:val="20"/>
          <w:szCs w:val="20"/>
        </w:rPr>
        <w:t xml:space="preserve">e </w:t>
      </w:r>
      <w:r w:rsidRPr="00657100">
        <w:rPr>
          <w:rFonts w:ascii="Times New Roman" w:hAnsi="Times New Roman" w:cs="Times New Roman"/>
          <w:sz w:val="20"/>
          <w:szCs w:val="20"/>
        </w:rPr>
        <w:t>CuAl</w:t>
      </w:r>
      <w:r w:rsidRPr="00657100">
        <w:rPr>
          <w:rFonts w:ascii="Times New Roman" w:hAnsi="Times New Roman" w:cs="Times New Roman"/>
          <w:sz w:val="20"/>
          <w:szCs w:val="20"/>
          <w:vertAlign w:val="subscript"/>
        </w:rPr>
        <w:t>2</w:t>
      </w:r>
      <w:r w:rsidRPr="00657100">
        <w:rPr>
          <w:rFonts w:ascii="Times New Roman" w:hAnsi="Times New Roman" w:cs="Times New Roman"/>
          <w:sz w:val="20"/>
          <w:szCs w:val="20"/>
        </w:rPr>
        <w:t>O</w:t>
      </w:r>
      <w:r w:rsidRPr="00657100">
        <w:rPr>
          <w:rFonts w:ascii="Times New Roman" w:hAnsi="Times New Roman" w:cs="Times New Roman"/>
          <w:sz w:val="20"/>
          <w:szCs w:val="20"/>
          <w:vertAlign w:val="subscript"/>
        </w:rPr>
        <w:t>4</w:t>
      </w:r>
      <w:r w:rsidRPr="00657100">
        <w:rPr>
          <w:rFonts w:ascii="Times New Roman" w:hAnsi="Times New Roman" w:cs="Times New Roman"/>
          <w:sz w:val="20"/>
          <w:szCs w:val="20"/>
        </w:rPr>
        <w:t xml:space="preserve">. </w:t>
      </w:r>
      <w:r w:rsidR="00657100">
        <w:rPr>
          <w:rFonts w:ascii="Times New Roman" w:hAnsi="Times New Roman" w:cs="Times New Roman"/>
          <w:sz w:val="20"/>
          <w:szCs w:val="20"/>
        </w:rPr>
        <w:t>É importante também enfatizar a ausência de bandas na região entre 1200 e 1600 cm</w:t>
      </w:r>
      <w:r w:rsidR="00657100" w:rsidRPr="00657100">
        <w:rPr>
          <w:rFonts w:ascii="Times New Roman" w:hAnsi="Times New Roman" w:cs="Times New Roman"/>
          <w:sz w:val="20"/>
          <w:szCs w:val="20"/>
          <w:vertAlign w:val="superscript"/>
        </w:rPr>
        <w:t>-1</w:t>
      </w:r>
      <w:r w:rsidR="00657100">
        <w:rPr>
          <w:rFonts w:ascii="Times New Roman" w:hAnsi="Times New Roman" w:cs="Times New Roman"/>
          <w:sz w:val="20"/>
          <w:szCs w:val="20"/>
        </w:rPr>
        <w:t>, indicando a ausência de depósitos de carbono na estrutura do catalisador. Resultados de TGA (não mostrados) estão em acordo com esses resultados, indicando que a formação de carbono não é a causa principal da desativação observada.</w:t>
      </w:r>
      <w:r w:rsidR="005C1066">
        <w:rPr>
          <w:rFonts w:ascii="Times New Roman" w:hAnsi="Times New Roman" w:cs="Times New Roman"/>
          <w:sz w:val="20"/>
          <w:szCs w:val="20"/>
        </w:rPr>
        <w:t xml:space="preserve"> </w:t>
      </w:r>
    </w:p>
    <w:p w14:paraId="5293E442" w14:textId="77777777" w:rsidR="00705256" w:rsidRDefault="00705256" w:rsidP="00705256">
      <w:pPr>
        <w:tabs>
          <w:tab w:val="left" w:pos="0"/>
        </w:tabs>
        <w:autoSpaceDE w:val="0"/>
        <w:autoSpaceDN w:val="0"/>
        <w:adjustRightInd w:val="0"/>
        <w:spacing w:after="0" w:line="240" w:lineRule="auto"/>
        <w:ind w:right="-568"/>
        <w:jc w:val="both"/>
        <w:rPr>
          <w:rFonts w:ascii="Times New Roman" w:eastAsia="+mn-ea" w:hAnsi="Times New Roman" w:cs="Times New Roman"/>
          <w:color w:val="000000"/>
          <w:kern w:val="24"/>
          <w:sz w:val="20"/>
          <w:szCs w:val="20"/>
        </w:rPr>
      </w:pPr>
    </w:p>
    <w:p w14:paraId="0EA88AC7" w14:textId="77777777" w:rsidR="006875B1" w:rsidRDefault="006875B1" w:rsidP="00705256">
      <w:pPr>
        <w:tabs>
          <w:tab w:val="left" w:pos="0"/>
        </w:tabs>
        <w:autoSpaceDE w:val="0"/>
        <w:autoSpaceDN w:val="0"/>
        <w:adjustRightInd w:val="0"/>
        <w:spacing w:after="0" w:line="240" w:lineRule="auto"/>
        <w:ind w:right="-568"/>
        <w:jc w:val="both"/>
      </w:pPr>
      <w:r>
        <w:object w:dxaOrig="7676" w:dyaOrig="5385" w14:anchorId="19452F00">
          <v:shape id="_x0000_i1026" type="#_x0000_t75" style="width:243.7pt;height:204pt" o:ole="">
            <v:imagedata r:id="rId15" o:title="" croptop="4692f" cropleft="7309f" cropright="7164f"/>
          </v:shape>
          <o:OLEObject Type="Embed" ProgID="Origin50.Graph" ShapeID="_x0000_i1026" DrawAspect="Content" ObjectID="_1749197539" r:id="rId16"/>
        </w:object>
      </w:r>
    </w:p>
    <w:p w14:paraId="72E09CC0" w14:textId="77777777" w:rsidR="006875B1" w:rsidRDefault="006875B1" w:rsidP="00705256">
      <w:pPr>
        <w:tabs>
          <w:tab w:val="left" w:pos="0"/>
        </w:tabs>
        <w:autoSpaceDE w:val="0"/>
        <w:autoSpaceDN w:val="0"/>
        <w:adjustRightInd w:val="0"/>
        <w:spacing w:after="0" w:line="240" w:lineRule="auto"/>
        <w:ind w:right="-568"/>
        <w:jc w:val="both"/>
      </w:pPr>
    </w:p>
    <w:p w14:paraId="2DEA7540" w14:textId="77777777" w:rsidR="006875B1" w:rsidRPr="006875B1" w:rsidRDefault="006875B1" w:rsidP="006875B1">
      <w:pPr>
        <w:tabs>
          <w:tab w:val="left" w:pos="0"/>
        </w:tabs>
        <w:autoSpaceDE w:val="0"/>
        <w:autoSpaceDN w:val="0"/>
        <w:adjustRightInd w:val="0"/>
        <w:spacing w:after="0" w:line="240" w:lineRule="auto"/>
        <w:ind w:right="90"/>
        <w:jc w:val="both"/>
        <w:rPr>
          <w:rFonts w:ascii="Times New Roman" w:hAnsi="Times New Roman" w:cs="Times New Roman"/>
          <w:sz w:val="18"/>
          <w:szCs w:val="18"/>
        </w:rPr>
      </w:pPr>
      <w:r w:rsidRPr="009E5A42">
        <w:rPr>
          <w:rFonts w:ascii="Times New Roman" w:hAnsi="Times New Roman" w:cs="Times New Roman"/>
          <w:b/>
          <w:bCs/>
          <w:sz w:val="18"/>
          <w:szCs w:val="18"/>
        </w:rPr>
        <w:t xml:space="preserve">Figura </w:t>
      </w:r>
      <w:r>
        <w:rPr>
          <w:rFonts w:ascii="Times New Roman" w:hAnsi="Times New Roman" w:cs="Times New Roman"/>
          <w:b/>
          <w:bCs/>
          <w:sz w:val="18"/>
          <w:szCs w:val="18"/>
        </w:rPr>
        <w:t>6</w:t>
      </w:r>
      <w:r w:rsidRPr="009E5A42">
        <w:rPr>
          <w:rFonts w:ascii="Times New Roman" w:hAnsi="Times New Roman" w:cs="Times New Roman"/>
          <w:b/>
          <w:bCs/>
          <w:sz w:val="18"/>
          <w:szCs w:val="18"/>
        </w:rPr>
        <w:t xml:space="preserve">. </w:t>
      </w:r>
      <w:r>
        <w:rPr>
          <w:rFonts w:ascii="Times New Roman" w:hAnsi="Times New Roman" w:cs="Times New Roman"/>
          <w:sz w:val="18"/>
          <w:szCs w:val="18"/>
        </w:rPr>
        <w:t>Espectro Raman das amostras usadas. Região ampliada entre 100 e 700 cm</w:t>
      </w:r>
      <w:r>
        <w:rPr>
          <w:rFonts w:ascii="Times New Roman" w:hAnsi="Times New Roman" w:cs="Times New Roman"/>
          <w:sz w:val="18"/>
          <w:szCs w:val="18"/>
          <w:vertAlign w:val="superscript"/>
        </w:rPr>
        <w:t>-1</w:t>
      </w:r>
      <w:r>
        <w:rPr>
          <w:rFonts w:ascii="Times New Roman" w:hAnsi="Times New Roman" w:cs="Times New Roman"/>
          <w:sz w:val="18"/>
          <w:szCs w:val="18"/>
        </w:rPr>
        <w:t>.</w:t>
      </w:r>
    </w:p>
    <w:p w14:paraId="0AD2D5CB" w14:textId="77777777" w:rsidR="00715371" w:rsidRDefault="00715371" w:rsidP="00705256">
      <w:pPr>
        <w:tabs>
          <w:tab w:val="left" w:pos="0"/>
        </w:tabs>
        <w:autoSpaceDE w:val="0"/>
        <w:autoSpaceDN w:val="0"/>
        <w:adjustRightInd w:val="0"/>
        <w:spacing w:after="0" w:line="240" w:lineRule="auto"/>
        <w:ind w:right="-568"/>
        <w:jc w:val="both"/>
      </w:pPr>
    </w:p>
    <w:p w14:paraId="3EE30D8D" w14:textId="77777777" w:rsidR="007C660D" w:rsidRDefault="007C660D" w:rsidP="00705256">
      <w:pPr>
        <w:tabs>
          <w:tab w:val="left" w:pos="0"/>
        </w:tabs>
        <w:autoSpaceDE w:val="0"/>
        <w:autoSpaceDN w:val="0"/>
        <w:adjustRightInd w:val="0"/>
        <w:spacing w:after="0" w:line="240" w:lineRule="auto"/>
        <w:ind w:right="-568"/>
        <w:jc w:val="both"/>
      </w:pPr>
    </w:p>
    <w:p w14:paraId="36323C83" w14:textId="77777777" w:rsidR="006875B1" w:rsidRPr="00BC79F2" w:rsidRDefault="003B44C0" w:rsidP="00705256">
      <w:pPr>
        <w:tabs>
          <w:tab w:val="left" w:pos="0"/>
        </w:tabs>
        <w:autoSpaceDE w:val="0"/>
        <w:autoSpaceDN w:val="0"/>
        <w:adjustRightInd w:val="0"/>
        <w:spacing w:after="0" w:line="240" w:lineRule="auto"/>
        <w:ind w:right="-568"/>
        <w:jc w:val="both"/>
        <w:rPr>
          <w:rFonts w:ascii="Times New Roman" w:eastAsia="+mn-ea" w:hAnsi="Times New Roman" w:cs="Times New Roman"/>
          <w:color w:val="000000"/>
          <w:kern w:val="24"/>
          <w:sz w:val="20"/>
          <w:szCs w:val="20"/>
        </w:rPr>
      </w:pPr>
      <w:r>
        <w:object w:dxaOrig="7676" w:dyaOrig="5385" w14:anchorId="0E28C68E">
          <v:shape id="_x0000_i1027" type="#_x0000_t75" style="width:243.7pt;height:199.4pt" o:ole="">
            <v:imagedata r:id="rId17" o:title="" croptop="5037f" cropleft="6486f" cropright="7213f"/>
          </v:shape>
          <o:OLEObject Type="Embed" ProgID="Origin50.Graph" ShapeID="_x0000_i1027" DrawAspect="Content" ObjectID="_1749197540" r:id="rId18"/>
        </w:object>
      </w:r>
    </w:p>
    <w:p w14:paraId="4048482E" w14:textId="77777777" w:rsidR="003B44C0" w:rsidRPr="006875B1" w:rsidRDefault="003B44C0" w:rsidP="003B44C0">
      <w:pPr>
        <w:tabs>
          <w:tab w:val="left" w:pos="0"/>
        </w:tabs>
        <w:autoSpaceDE w:val="0"/>
        <w:autoSpaceDN w:val="0"/>
        <w:adjustRightInd w:val="0"/>
        <w:spacing w:after="0" w:line="240" w:lineRule="auto"/>
        <w:ind w:right="90"/>
        <w:jc w:val="both"/>
        <w:rPr>
          <w:rFonts w:ascii="Times New Roman" w:hAnsi="Times New Roman" w:cs="Times New Roman"/>
          <w:sz w:val="18"/>
          <w:szCs w:val="18"/>
        </w:rPr>
      </w:pPr>
      <w:r w:rsidRPr="009E5A42">
        <w:rPr>
          <w:rFonts w:ascii="Times New Roman" w:hAnsi="Times New Roman" w:cs="Times New Roman"/>
          <w:b/>
          <w:bCs/>
          <w:sz w:val="18"/>
          <w:szCs w:val="18"/>
        </w:rPr>
        <w:t xml:space="preserve">Figura </w:t>
      </w:r>
      <w:r>
        <w:rPr>
          <w:rFonts w:ascii="Times New Roman" w:hAnsi="Times New Roman" w:cs="Times New Roman"/>
          <w:b/>
          <w:bCs/>
          <w:sz w:val="18"/>
          <w:szCs w:val="18"/>
        </w:rPr>
        <w:t>7</w:t>
      </w:r>
      <w:r w:rsidRPr="009E5A42">
        <w:rPr>
          <w:rFonts w:ascii="Times New Roman" w:hAnsi="Times New Roman" w:cs="Times New Roman"/>
          <w:b/>
          <w:bCs/>
          <w:sz w:val="18"/>
          <w:szCs w:val="18"/>
        </w:rPr>
        <w:t xml:space="preserve">. </w:t>
      </w:r>
      <w:r>
        <w:rPr>
          <w:rFonts w:ascii="Times New Roman" w:hAnsi="Times New Roman" w:cs="Times New Roman"/>
          <w:sz w:val="18"/>
          <w:szCs w:val="18"/>
        </w:rPr>
        <w:t>Espectro Raman das amostras usadas. Região ampliada entre 700 e 1000 cm</w:t>
      </w:r>
      <w:r>
        <w:rPr>
          <w:rFonts w:ascii="Times New Roman" w:hAnsi="Times New Roman" w:cs="Times New Roman"/>
          <w:sz w:val="18"/>
          <w:szCs w:val="18"/>
          <w:vertAlign w:val="superscript"/>
        </w:rPr>
        <w:t>-1</w:t>
      </w:r>
      <w:r>
        <w:rPr>
          <w:rFonts w:ascii="Times New Roman" w:hAnsi="Times New Roman" w:cs="Times New Roman"/>
          <w:sz w:val="18"/>
          <w:szCs w:val="18"/>
        </w:rPr>
        <w:t>.</w:t>
      </w:r>
    </w:p>
    <w:p w14:paraId="3005D757" w14:textId="77777777" w:rsidR="00DE7DB3" w:rsidRDefault="00DE7DB3" w:rsidP="00577F43">
      <w:pPr>
        <w:tabs>
          <w:tab w:val="left" w:pos="0"/>
        </w:tabs>
        <w:autoSpaceDE w:val="0"/>
        <w:autoSpaceDN w:val="0"/>
        <w:adjustRightInd w:val="0"/>
        <w:spacing w:after="0" w:line="240" w:lineRule="auto"/>
        <w:ind w:right="-568"/>
        <w:jc w:val="both"/>
        <w:rPr>
          <w:rFonts w:ascii="Times New Roman" w:eastAsia="+mn-ea" w:hAnsi="Times New Roman" w:cs="Times New Roman"/>
          <w:color w:val="000000"/>
          <w:kern w:val="24"/>
          <w:sz w:val="20"/>
          <w:szCs w:val="20"/>
        </w:rPr>
      </w:pPr>
    </w:p>
    <w:p w14:paraId="5663DA17" w14:textId="77777777" w:rsidR="00B95CD5" w:rsidRPr="00B95CD5" w:rsidRDefault="00B95CD5" w:rsidP="00B95CD5">
      <w:pPr>
        <w:tabs>
          <w:tab w:val="left" w:pos="0"/>
        </w:tabs>
        <w:autoSpaceDE w:val="0"/>
        <w:autoSpaceDN w:val="0"/>
        <w:adjustRightInd w:val="0"/>
        <w:spacing w:after="0" w:line="240" w:lineRule="auto"/>
        <w:ind w:right="90" w:firstLine="284"/>
        <w:jc w:val="both"/>
        <w:rPr>
          <w:rFonts w:ascii="Times New Roman" w:eastAsia="+mn-ea" w:hAnsi="Times New Roman" w:cs="Times New Roman"/>
          <w:kern w:val="24"/>
          <w:sz w:val="20"/>
          <w:szCs w:val="20"/>
        </w:rPr>
      </w:pPr>
      <w:r w:rsidRPr="00B95CD5">
        <w:rPr>
          <w:rFonts w:ascii="Times New Roman" w:eastAsia="+mn-ea" w:hAnsi="Times New Roman" w:cs="Times New Roman"/>
          <w:kern w:val="24"/>
          <w:sz w:val="20"/>
          <w:szCs w:val="20"/>
        </w:rPr>
        <w:t xml:space="preserve">A associação dos resultados de DRX com espectroscopia Raman apontam para uma severa </w:t>
      </w:r>
      <w:r w:rsidRPr="00B95CD5">
        <w:rPr>
          <w:rFonts w:ascii="Times New Roman" w:eastAsia="+mn-ea" w:hAnsi="Times New Roman" w:cs="Times New Roman"/>
          <w:kern w:val="24"/>
          <w:sz w:val="20"/>
          <w:szCs w:val="20"/>
        </w:rPr>
        <w:t xml:space="preserve">modificação microestrutural com o aumento da pressão de reação, incluindo sinterização de fases (Cu e </w:t>
      </w:r>
      <w:proofErr w:type="spellStart"/>
      <w:r w:rsidRPr="00B95CD5">
        <w:rPr>
          <w:rFonts w:ascii="Times New Roman" w:eastAsia="+mn-ea" w:hAnsi="Times New Roman" w:cs="Times New Roman"/>
          <w:kern w:val="24"/>
          <w:sz w:val="20"/>
          <w:szCs w:val="20"/>
        </w:rPr>
        <w:t>ZnO</w:t>
      </w:r>
      <w:proofErr w:type="spellEnd"/>
      <w:r w:rsidRPr="00B95CD5">
        <w:rPr>
          <w:rFonts w:ascii="Times New Roman" w:eastAsia="+mn-ea" w:hAnsi="Times New Roman" w:cs="Times New Roman"/>
          <w:kern w:val="24"/>
          <w:sz w:val="20"/>
          <w:szCs w:val="20"/>
        </w:rPr>
        <w:t>), segregação da Al</w:t>
      </w:r>
      <w:r w:rsidRPr="00B95CD5">
        <w:rPr>
          <w:rFonts w:ascii="Times New Roman" w:eastAsia="+mn-ea" w:hAnsi="Times New Roman" w:cs="Times New Roman"/>
          <w:kern w:val="24"/>
          <w:sz w:val="20"/>
          <w:szCs w:val="20"/>
          <w:vertAlign w:val="subscript"/>
        </w:rPr>
        <w:t>2</w:t>
      </w:r>
      <w:r w:rsidRPr="00B95CD5">
        <w:rPr>
          <w:rFonts w:ascii="Times New Roman" w:eastAsia="+mn-ea" w:hAnsi="Times New Roman" w:cs="Times New Roman"/>
          <w:kern w:val="24"/>
          <w:sz w:val="20"/>
          <w:szCs w:val="20"/>
        </w:rPr>
        <w:t>O</w:t>
      </w:r>
      <w:r w:rsidRPr="00B95CD5">
        <w:rPr>
          <w:rFonts w:ascii="Times New Roman" w:eastAsia="+mn-ea" w:hAnsi="Times New Roman" w:cs="Times New Roman"/>
          <w:kern w:val="24"/>
          <w:sz w:val="20"/>
          <w:szCs w:val="20"/>
          <w:vertAlign w:val="subscript"/>
        </w:rPr>
        <w:t>3</w:t>
      </w:r>
      <w:r w:rsidRPr="00B95CD5">
        <w:rPr>
          <w:rFonts w:ascii="Times New Roman" w:eastAsia="+mn-ea" w:hAnsi="Times New Roman" w:cs="Times New Roman"/>
          <w:kern w:val="24"/>
          <w:sz w:val="20"/>
          <w:szCs w:val="20"/>
        </w:rPr>
        <w:t>, formação de aluminatos e modificação o estado de oxidação do Cu, seguida por sua cristalização. Tais resultados podem ser explicados, em parte, pela alta formação de água como subproduto, favorecendo a cristalização e a formação de aluminatos (12-14). A formação de aluminato também pode ter sido favorecida pelo alto teor de Al</w:t>
      </w:r>
      <w:r w:rsidRPr="00B95CD5">
        <w:rPr>
          <w:rFonts w:ascii="Times New Roman" w:eastAsia="+mn-ea" w:hAnsi="Times New Roman" w:cs="Times New Roman"/>
          <w:kern w:val="24"/>
          <w:sz w:val="20"/>
          <w:szCs w:val="20"/>
          <w:vertAlign w:val="subscript"/>
        </w:rPr>
        <w:t>2</w:t>
      </w:r>
      <w:r w:rsidRPr="00B95CD5">
        <w:rPr>
          <w:rFonts w:ascii="Times New Roman" w:eastAsia="+mn-ea" w:hAnsi="Times New Roman" w:cs="Times New Roman"/>
          <w:kern w:val="24"/>
          <w:sz w:val="20"/>
          <w:szCs w:val="20"/>
        </w:rPr>
        <w:t>O</w:t>
      </w:r>
      <w:r w:rsidRPr="00B95CD5">
        <w:rPr>
          <w:rFonts w:ascii="Times New Roman" w:eastAsia="+mn-ea" w:hAnsi="Times New Roman" w:cs="Times New Roman"/>
          <w:kern w:val="24"/>
          <w:sz w:val="20"/>
          <w:szCs w:val="20"/>
          <w:vertAlign w:val="subscript"/>
        </w:rPr>
        <w:t>3</w:t>
      </w:r>
      <w:r w:rsidRPr="00B95CD5">
        <w:rPr>
          <w:rFonts w:ascii="Times New Roman" w:eastAsia="+mn-ea" w:hAnsi="Times New Roman" w:cs="Times New Roman"/>
          <w:kern w:val="24"/>
          <w:sz w:val="20"/>
          <w:szCs w:val="20"/>
        </w:rPr>
        <w:t>.</w:t>
      </w:r>
    </w:p>
    <w:p w14:paraId="1E163E61" w14:textId="77777777" w:rsidR="00B95CD5" w:rsidRDefault="00B95CD5" w:rsidP="00577F43">
      <w:pPr>
        <w:tabs>
          <w:tab w:val="left" w:pos="0"/>
        </w:tabs>
        <w:autoSpaceDE w:val="0"/>
        <w:autoSpaceDN w:val="0"/>
        <w:adjustRightInd w:val="0"/>
        <w:spacing w:after="0" w:line="240" w:lineRule="auto"/>
        <w:ind w:right="-568"/>
        <w:jc w:val="both"/>
        <w:rPr>
          <w:rFonts w:ascii="Times New Roman" w:eastAsia="+mn-ea" w:hAnsi="Times New Roman" w:cs="Times New Roman"/>
          <w:color w:val="000000"/>
          <w:kern w:val="24"/>
          <w:sz w:val="20"/>
          <w:szCs w:val="20"/>
        </w:rPr>
      </w:pPr>
    </w:p>
    <w:p w14:paraId="3809B2C7" w14:textId="77777777" w:rsidR="0025652E" w:rsidRDefault="0025652E" w:rsidP="00577F43">
      <w:pPr>
        <w:tabs>
          <w:tab w:val="left" w:pos="0"/>
        </w:tabs>
        <w:autoSpaceDE w:val="0"/>
        <w:autoSpaceDN w:val="0"/>
        <w:adjustRightInd w:val="0"/>
        <w:spacing w:after="0" w:line="240" w:lineRule="auto"/>
        <w:ind w:right="-568"/>
        <w:jc w:val="both"/>
        <w:rPr>
          <w:rFonts w:ascii="Times New Roman" w:eastAsia="+mn-ea" w:hAnsi="Times New Roman" w:cs="Times New Roman"/>
          <w:color w:val="FF0000"/>
          <w:kern w:val="24"/>
          <w:sz w:val="20"/>
          <w:szCs w:val="20"/>
        </w:rPr>
      </w:pPr>
    </w:p>
    <w:p w14:paraId="671C4B57" w14:textId="77777777" w:rsidR="00EA4E1B" w:rsidRPr="001F25B2" w:rsidRDefault="00EA4E1B" w:rsidP="00306D57">
      <w:pPr>
        <w:pStyle w:val="Ttulo2"/>
        <w:rPr>
          <w:rFonts w:ascii="Helvetica" w:hAnsi="Helvetica" w:cs="Helvetica"/>
          <w:sz w:val="24"/>
          <w:szCs w:val="24"/>
        </w:rPr>
      </w:pPr>
      <w:r w:rsidRPr="001F25B2">
        <w:rPr>
          <w:rFonts w:ascii="Helvetica" w:hAnsi="Helvetica" w:cs="Helvetica"/>
          <w:sz w:val="24"/>
          <w:szCs w:val="24"/>
        </w:rPr>
        <w:t>Conclu</w:t>
      </w:r>
      <w:r w:rsidR="00687E73">
        <w:rPr>
          <w:rFonts w:ascii="Helvetica" w:hAnsi="Helvetica" w:cs="Helvetica"/>
          <w:sz w:val="24"/>
          <w:szCs w:val="24"/>
        </w:rPr>
        <w:t>s</w:t>
      </w:r>
      <w:r w:rsidR="008220AC">
        <w:rPr>
          <w:rFonts w:ascii="Helvetica" w:hAnsi="Helvetica" w:cs="Helvetica"/>
          <w:sz w:val="24"/>
          <w:szCs w:val="24"/>
        </w:rPr>
        <w:t>ão</w:t>
      </w:r>
    </w:p>
    <w:p w14:paraId="43833AA5" w14:textId="1077556E" w:rsidR="00421236" w:rsidRDefault="008220AC" w:rsidP="00EA4E1B">
      <w:pPr>
        <w:pStyle w:val="TAMainText"/>
        <w:ind w:firstLine="187"/>
        <w:rPr>
          <w:rFonts w:ascii="Times New Roman" w:hAnsi="Times New Roman"/>
          <w:lang w:val="pt-BR"/>
        </w:rPr>
      </w:pPr>
      <w:r>
        <w:rPr>
          <w:rFonts w:ascii="Times New Roman" w:hAnsi="Times New Roman"/>
          <w:lang w:val="pt-BR"/>
        </w:rPr>
        <w:t>Ensaios de hidrogenação de CO</w:t>
      </w:r>
      <w:r>
        <w:rPr>
          <w:rFonts w:ascii="Times New Roman" w:hAnsi="Times New Roman"/>
          <w:vertAlign w:val="subscript"/>
          <w:lang w:val="pt-BR"/>
        </w:rPr>
        <w:t>2</w:t>
      </w:r>
      <w:r>
        <w:rPr>
          <w:rFonts w:ascii="Times New Roman" w:hAnsi="Times New Roman"/>
          <w:lang w:val="pt-BR"/>
        </w:rPr>
        <w:t xml:space="preserve"> foram realizados em alta pressão sobre o catalisador Cu/</w:t>
      </w:r>
      <w:proofErr w:type="spellStart"/>
      <w:r>
        <w:rPr>
          <w:rFonts w:ascii="Times New Roman" w:hAnsi="Times New Roman"/>
          <w:lang w:val="pt-BR"/>
        </w:rPr>
        <w:t>ZnO</w:t>
      </w:r>
      <w:proofErr w:type="spellEnd"/>
      <w:r>
        <w:rPr>
          <w:rFonts w:ascii="Times New Roman" w:hAnsi="Times New Roman"/>
          <w:lang w:val="pt-BR"/>
        </w:rPr>
        <w:t>/Al</w:t>
      </w:r>
      <w:r>
        <w:rPr>
          <w:rFonts w:ascii="Times New Roman" w:hAnsi="Times New Roman"/>
          <w:vertAlign w:val="subscript"/>
          <w:lang w:val="pt-BR"/>
        </w:rPr>
        <w:t>2</w:t>
      </w:r>
      <w:r>
        <w:rPr>
          <w:rFonts w:ascii="Times New Roman" w:hAnsi="Times New Roman"/>
          <w:lang w:val="pt-BR"/>
        </w:rPr>
        <w:t>O</w:t>
      </w:r>
      <w:r>
        <w:rPr>
          <w:rFonts w:ascii="Times New Roman" w:hAnsi="Times New Roman"/>
          <w:vertAlign w:val="subscript"/>
          <w:lang w:val="pt-BR"/>
        </w:rPr>
        <w:t>3</w:t>
      </w:r>
      <w:r>
        <w:rPr>
          <w:rFonts w:ascii="Times New Roman" w:hAnsi="Times New Roman"/>
          <w:lang w:val="pt-BR"/>
        </w:rPr>
        <w:t>, os testes indicaram desativação durante 3 h sob fluxo. Análises de Difração de Raios-X e Espectroscopia Raman foram conduzidas nas amostras fresca e usadas para observar modificações estruturais. Os resultados apontam para modificações drásticas na microestrutura do catalisador durante os testes catalíticos, com perda de sítios ativos de Cu pela formação de fases inativas de aluminato de cobre, segregação e</w:t>
      </w:r>
      <w:r w:rsidR="0025652E">
        <w:rPr>
          <w:rFonts w:ascii="Times New Roman" w:hAnsi="Times New Roman"/>
          <w:lang w:val="pt-BR"/>
        </w:rPr>
        <w:t xml:space="preserve"> </w:t>
      </w:r>
      <w:r w:rsidR="0025652E" w:rsidRPr="00B95CD5">
        <w:rPr>
          <w:rFonts w:ascii="Times New Roman" w:hAnsi="Times New Roman"/>
          <w:lang w:val="pt-BR"/>
        </w:rPr>
        <w:t>sinterização</w:t>
      </w:r>
      <w:r w:rsidRPr="00B95CD5">
        <w:rPr>
          <w:rFonts w:ascii="Times New Roman" w:hAnsi="Times New Roman"/>
          <w:lang w:val="pt-BR"/>
        </w:rPr>
        <w:t xml:space="preserve"> d</w:t>
      </w:r>
      <w:r w:rsidR="0025652E" w:rsidRPr="00B95CD5">
        <w:rPr>
          <w:rFonts w:ascii="Times New Roman" w:hAnsi="Times New Roman"/>
          <w:lang w:val="pt-BR"/>
        </w:rPr>
        <w:t>as fases</w:t>
      </w:r>
      <w:r w:rsidRPr="00B95CD5">
        <w:rPr>
          <w:rFonts w:ascii="Times New Roman" w:hAnsi="Times New Roman"/>
          <w:lang w:val="pt-BR"/>
        </w:rPr>
        <w:t xml:space="preserve"> componentes </w:t>
      </w:r>
      <w:r w:rsidR="0025652E" w:rsidRPr="00B95CD5">
        <w:rPr>
          <w:rFonts w:ascii="Times New Roman" w:hAnsi="Times New Roman"/>
          <w:lang w:val="pt-BR"/>
        </w:rPr>
        <w:t>do catalisador</w:t>
      </w:r>
      <w:r w:rsidR="0025652E" w:rsidRPr="0025652E">
        <w:rPr>
          <w:rFonts w:ascii="Times New Roman" w:hAnsi="Times New Roman"/>
          <w:color w:val="FF0000"/>
          <w:lang w:val="pt-BR"/>
        </w:rPr>
        <w:t xml:space="preserve"> </w:t>
      </w:r>
      <w:r>
        <w:rPr>
          <w:rFonts w:ascii="Times New Roman" w:hAnsi="Times New Roman"/>
          <w:lang w:val="pt-BR"/>
        </w:rPr>
        <w:t xml:space="preserve">Cu, </w:t>
      </w:r>
      <w:proofErr w:type="spellStart"/>
      <w:r>
        <w:rPr>
          <w:rFonts w:ascii="Times New Roman" w:hAnsi="Times New Roman"/>
          <w:lang w:val="pt-BR"/>
        </w:rPr>
        <w:t>ZnO</w:t>
      </w:r>
      <w:proofErr w:type="spellEnd"/>
      <w:r>
        <w:rPr>
          <w:rFonts w:ascii="Times New Roman" w:hAnsi="Times New Roman"/>
          <w:lang w:val="pt-BR"/>
        </w:rPr>
        <w:t xml:space="preserve"> e Al</w:t>
      </w:r>
      <w:r>
        <w:rPr>
          <w:rFonts w:ascii="Times New Roman" w:hAnsi="Times New Roman"/>
          <w:vertAlign w:val="subscript"/>
          <w:lang w:val="pt-BR"/>
        </w:rPr>
        <w:t>2</w:t>
      </w:r>
      <w:r>
        <w:rPr>
          <w:rFonts w:ascii="Times New Roman" w:hAnsi="Times New Roman"/>
          <w:lang w:val="pt-BR"/>
        </w:rPr>
        <w:t>O</w:t>
      </w:r>
      <w:r>
        <w:rPr>
          <w:rFonts w:ascii="Times New Roman" w:hAnsi="Times New Roman"/>
          <w:vertAlign w:val="subscript"/>
          <w:lang w:val="pt-BR"/>
        </w:rPr>
        <w:t>3</w:t>
      </w:r>
      <w:r>
        <w:rPr>
          <w:rFonts w:ascii="Times New Roman" w:hAnsi="Times New Roman"/>
          <w:lang w:val="pt-BR"/>
        </w:rPr>
        <w:t xml:space="preserve">. </w:t>
      </w:r>
    </w:p>
    <w:p w14:paraId="1C6DB751" w14:textId="77777777" w:rsidR="00421236" w:rsidRDefault="00421236" w:rsidP="00EA4E1B">
      <w:pPr>
        <w:pStyle w:val="TAMainText"/>
        <w:ind w:firstLine="187"/>
        <w:rPr>
          <w:rFonts w:ascii="Times New Roman" w:hAnsi="Times New Roman"/>
          <w:lang w:val="pt-BR"/>
        </w:rPr>
      </w:pPr>
    </w:p>
    <w:p w14:paraId="381E5D11" w14:textId="77777777" w:rsidR="00421236" w:rsidRPr="008220AC" w:rsidRDefault="00421236" w:rsidP="00EA4E1B">
      <w:pPr>
        <w:pStyle w:val="TAMainText"/>
        <w:ind w:firstLine="187"/>
        <w:rPr>
          <w:rFonts w:ascii="Times New Roman" w:hAnsi="Times New Roman"/>
          <w:lang w:val="pt-BR"/>
        </w:rPr>
      </w:pPr>
    </w:p>
    <w:p w14:paraId="7FE52951"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A</w:t>
      </w:r>
      <w:r w:rsidR="008220AC">
        <w:rPr>
          <w:rFonts w:ascii="Helvetica" w:hAnsi="Helvetica" w:cs="Helvetica"/>
          <w:sz w:val="24"/>
          <w:szCs w:val="24"/>
        </w:rPr>
        <w:t>gradecimentos</w:t>
      </w:r>
    </w:p>
    <w:p w14:paraId="156F07F5" w14:textId="5B19EEF8" w:rsidR="00EA4E1B" w:rsidRDefault="00BC79F2" w:rsidP="00EA4E1B">
      <w:pPr>
        <w:pStyle w:val="TAMainText"/>
        <w:rPr>
          <w:rFonts w:ascii="Times New Roman" w:hAnsi="Times New Roman"/>
          <w:lang w:val="pt-BR"/>
        </w:rPr>
      </w:pPr>
      <w:r>
        <w:rPr>
          <w:rFonts w:ascii="Times New Roman" w:hAnsi="Times New Roman"/>
          <w:lang w:val="pt-BR"/>
        </w:rPr>
        <w:t xml:space="preserve">Os autores agradecem a FAPESP (18798-2/2018) pelo apoio financeiro e </w:t>
      </w:r>
      <w:r w:rsidR="005A4AE9">
        <w:rPr>
          <w:rFonts w:ascii="Times New Roman" w:hAnsi="Times New Roman"/>
          <w:lang w:val="pt-BR"/>
        </w:rPr>
        <w:t>à CAPES</w:t>
      </w:r>
      <w:r w:rsidR="001A1C97">
        <w:rPr>
          <w:rFonts w:ascii="Times New Roman" w:hAnsi="Times New Roman"/>
          <w:lang w:val="pt-BR"/>
        </w:rPr>
        <w:t xml:space="preserve"> (33010013/2020)</w:t>
      </w:r>
      <w:r>
        <w:rPr>
          <w:rFonts w:ascii="Times New Roman" w:hAnsi="Times New Roman"/>
          <w:lang w:val="pt-BR"/>
        </w:rPr>
        <w:t xml:space="preserve"> pela bolsa concedida. </w:t>
      </w:r>
    </w:p>
    <w:p w14:paraId="5F90FB79" w14:textId="77777777" w:rsidR="005C339C" w:rsidRPr="001F25B2" w:rsidRDefault="005C339C" w:rsidP="00EA4E1B">
      <w:pPr>
        <w:pStyle w:val="TAMainText"/>
        <w:rPr>
          <w:rFonts w:ascii="Times New Roman" w:hAnsi="Times New Roman"/>
          <w:lang w:val="pt-BR"/>
        </w:rPr>
      </w:pPr>
    </w:p>
    <w:p w14:paraId="580C3702" w14:textId="77777777" w:rsidR="00EA4E1B" w:rsidRPr="00112ABD" w:rsidRDefault="00EA4E1B" w:rsidP="00112ABD">
      <w:pPr>
        <w:pStyle w:val="Ttulo2"/>
        <w:rPr>
          <w:rFonts w:ascii="Helvetica" w:hAnsi="Helvetica" w:cs="Helvetica"/>
          <w:sz w:val="24"/>
          <w:szCs w:val="24"/>
        </w:rPr>
      </w:pPr>
      <w:r w:rsidRPr="001F25B2">
        <w:rPr>
          <w:rFonts w:ascii="Helvetica" w:hAnsi="Helvetica" w:cs="Helvetica"/>
          <w:sz w:val="24"/>
          <w:szCs w:val="24"/>
        </w:rPr>
        <w:t>Refe</w:t>
      </w:r>
      <w:r w:rsidR="00687E73">
        <w:rPr>
          <w:rFonts w:ascii="Helvetica" w:hAnsi="Helvetica" w:cs="Helvetica"/>
          <w:sz w:val="24"/>
          <w:szCs w:val="24"/>
        </w:rPr>
        <w:t>r</w:t>
      </w:r>
      <w:r w:rsidR="008220AC">
        <w:rPr>
          <w:rFonts w:ascii="Helvetica" w:hAnsi="Helvetica" w:cs="Helvetica"/>
          <w:sz w:val="24"/>
          <w:szCs w:val="24"/>
        </w:rPr>
        <w:t>ê</w:t>
      </w:r>
      <w:r w:rsidR="00687E73">
        <w:rPr>
          <w:rFonts w:ascii="Helvetica" w:hAnsi="Helvetica" w:cs="Helvetica"/>
          <w:sz w:val="24"/>
          <w:szCs w:val="24"/>
        </w:rPr>
        <w:t>nc</w:t>
      </w:r>
      <w:r w:rsidR="008220AC">
        <w:rPr>
          <w:rFonts w:ascii="Helvetica" w:hAnsi="Helvetica" w:cs="Helvetica"/>
          <w:sz w:val="24"/>
          <w:szCs w:val="24"/>
        </w:rPr>
        <w:t>ias</w:t>
      </w:r>
    </w:p>
    <w:p w14:paraId="67A730B3" w14:textId="77777777" w:rsidR="00EA4E1B" w:rsidRPr="003A70AD" w:rsidRDefault="00444DA2" w:rsidP="00EA4E1B">
      <w:pPr>
        <w:pStyle w:val="TAMainText"/>
        <w:numPr>
          <w:ilvl w:val="0"/>
          <w:numId w:val="1"/>
        </w:numPr>
      </w:pPr>
      <w:r w:rsidRPr="00444DA2">
        <w:t xml:space="preserve">G. A. </w:t>
      </w:r>
      <w:proofErr w:type="spellStart"/>
      <w:r w:rsidRPr="00444DA2">
        <w:t>Olah</w:t>
      </w:r>
      <w:proofErr w:type="spellEnd"/>
      <w:r w:rsidR="00EA4E1B" w:rsidRPr="00444DA2">
        <w:t xml:space="preserve">, </w:t>
      </w:r>
      <w:proofErr w:type="spellStart"/>
      <w:r>
        <w:rPr>
          <w:i/>
        </w:rPr>
        <w:t>Angew</w:t>
      </w:r>
      <w:proofErr w:type="spellEnd"/>
      <w:r w:rsidR="00EA4E1B" w:rsidRPr="00444DA2">
        <w:rPr>
          <w:i/>
        </w:rPr>
        <w:t>. Chem.</w:t>
      </w:r>
      <w:r w:rsidRPr="00444DA2">
        <w:rPr>
          <w:i/>
        </w:rPr>
        <w:t xml:space="preserve"> </w:t>
      </w:r>
      <w:r>
        <w:rPr>
          <w:i/>
        </w:rPr>
        <w:t>Int.</w:t>
      </w:r>
      <w:r w:rsidR="00EA4E1B" w:rsidRPr="00444DA2">
        <w:t xml:space="preserve"> </w:t>
      </w:r>
      <w:r w:rsidRPr="003A70AD">
        <w:rPr>
          <w:b/>
        </w:rPr>
        <w:t>2005</w:t>
      </w:r>
      <w:r w:rsidR="00EA4E1B" w:rsidRPr="003A70AD">
        <w:rPr>
          <w:b/>
        </w:rPr>
        <w:t>,</w:t>
      </w:r>
      <w:r w:rsidR="00EA4E1B" w:rsidRPr="003A70AD">
        <w:rPr>
          <w:i/>
        </w:rPr>
        <w:t xml:space="preserve"> </w:t>
      </w:r>
      <w:r w:rsidRPr="003A70AD">
        <w:rPr>
          <w:i/>
        </w:rPr>
        <w:t>44</w:t>
      </w:r>
      <w:r w:rsidR="00EA4E1B" w:rsidRPr="003A70AD">
        <w:rPr>
          <w:i/>
        </w:rPr>
        <w:t>,</w:t>
      </w:r>
      <w:r w:rsidR="00EA4E1B" w:rsidRPr="003A70AD">
        <w:t xml:space="preserve"> </w:t>
      </w:r>
      <w:r w:rsidRPr="003A70AD">
        <w:t>2636</w:t>
      </w:r>
      <w:r w:rsidR="00EA4E1B" w:rsidRPr="003A70AD">
        <w:t>-</w:t>
      </w:r>
      <w:r w:rsidRPr="003A70AD">
        <w:t>2639</w:t>
      </w:r>
      <w:r w:rsidR="00EA4E1B" w:rsidRPr="003A70AD">
        <w:t>.</w:t>
      </w:r>
      <w:r w:rsidR="00EA4E1B" w:rsidRPr="003A70AD">
        <w:rPr>
          <w:b/>
        </w:rPr>
        <w:t xml:space="preserve"> </w:t>
      </w:r>
    </w:p>
    <w:p w14:paraId="14042F3A" w14:textId="77777777" w:rsidR="00D71DE4" w:rsidRDefault="00B94450" w:rsidP="00EA4E1B">
      <w:pPr>
        <w:pStyle w:val="TAMainText"/>
        <w:numPr>
          <w:ilvl w:val="0"/>
          <w:numId w:val="1"/>
        </w:numPr>
      </w:pPr>
      <w:r w:rsidRPr="00B94450">
        <w:t xml:space="preserve">J. </w:t>
      </w:r>
      <w:proofErr w:type="spellStart"/>
      <w:r w:rsidRPr="00B94450">
        <w:t>Niu</w:t>
      </w:r>
      <w:proofErr w:type="spellEnd"/>
      <w:r w:rsidRPr="00B94450">
        <w:t xml:space="preserve">; H. Liu; Y. </w:t>
      </w:r>
      <w:proofErr w:type="spellStart"/>
      <w:r w:rsidRPr="00B94450">
        <w:t>Jin</w:t>
      </w:r>
      <w:proofErr w:type="spellEnd"/>
      <w:r w:rsidRPr="00B94450">
        <w:t>; B. Fan; W. Qi; J. Ran</w:t>
      </w:r>
      <w:r>
        <w:t xml:space="preserve">, </w:t>
      </w:r>
      <w:r>
        <w:rPr>
          <w:i/>
          <w:iCs/>
        </w:rPr>
        <w:t xml:space="preserve">Int. J. of Hyd. En. </w:t>
      </w:r>
      <w:r w:rsidRPr="00B94450">
        <w:rPr>
          <w:b/>
          <w:bCs/>
        </w:rPr>
        <w:t>2022</w:t>
      </w:r>
      <w:r>
        <w:rPr>
          <w:b/>
          <w:bCs/>
        </w:rPr>
        <w:t xml:space="preserve">, </w:t>
      </w:r>
      <w:r>
        <w:rPr>
          <w:i/>
          <w:iCs/>
        </w:rPr>
        <w:t xml:space="preserve">47, </w:t>
      </w:r>
      <w:r>
        <w:t>9183-9200.</w:t>
      </w:r>
    </w:p>
    <w:p w14:paraId="7F9482A2" w14:textId="77777777" w:rsidR="0009392E" w:rsidRDefault="0009392E" w:rsidP="00EA4E1B">
      <w:pPr>
        <w:pStyle w:val="TAMainText"/>
        <w:numPr>
          <w:ilvl w:val="0"/>
          <w:numId w:val="1"/>
        </w:numPr>
      </w:pPr>
      <w:r>
        <w:t xml:space="preserve">M. V. Twigg; M.S. Spencer, </w:t>
      </w:r>
      <w:r w:rsidRPr="00E763D2">
        <w:rPr>
          <w:i/>
          <w:iCs/>
        </w:rPr>
        <w:t>App Cat. A. Gen</w:t>
      </w:r>
      <w:r>
        <w:t xml:space="preserve">. </w:t>
      </w:r>
      <w:r w:rsidRPr="00E763D2">
        <w:rPr>
          <w:b/>
          <w:bCs/>
        </w:rPr>
        <w:t>2001</w:t>
      </w:r>
      <w:r>
        <w:t xml:space="preserve">, </w:t>
      </w:r>
      <w:r w:rsidRPr="00E763D2">
        <w:rPr>
          <w:i/>
          <w:iCs/>
        </w:rPr>
        <w:t>212</w:t>
      </w:r>
      <w:r>
        <w:t>, 161-174.</w:t>
      </w:r>
    </w:p>
    <w:p w14:paraId="7F647463" w14:textId="77777777" w:rsidR="0049031F" w:rsidRDefault="0049031F" w:rsidP="00EA4E1B">
      <w:pPr>
        <w:pStyle w:val="TAMainText"/>
        <w:numPr>
          <w:ilvl w:val="0"/>
          <w:numId w:val="1"/>
        </w:numPr>
      </w:pPr>
      <w:r w:rsidRPr="0049031F">
        <w:t xml:space="preserve">B. Liang; J. Ma; X. </w:t>
      </w:r>
      <w:proofErr w:type="spellStart"/>
      <w:r w:rsidRPr="0049031F">
        <w:t>Su</w:t>
      </w:r>
      <w:proofErr w:type="spellEnd"/>
      <w:r w:rsidRPr="0049031F">
        <w:t xml:space="preserve">; C. Yang; H. Duan; H. Zhou; S. Deng; L. Lin; Y. Huang, </w:t>
      </w:r>
      <w:r w:rsidRPr="00E763D2">
        <w:rPr>
          <w:i/>
          <w:iCs/>
        </w:rPr>
        <w:t>Ind. Eng. Chem. Res.</w:t>
      </w:r>
      <w:r>
        <w:t xml:space="preserve"> </w:t>
      </w:r>
      <w:r w:rsidRPr="00E763D2">
        <w:rPr>
          <w:b/>
          <w:bCs/>
        </w:rPr>
        <w:t>2019</w:t>
      </w:r>
      <w:r>
        <w:t xml:space="preserve">, </w:t>
      </w:r>
      <w:r w:rsidRPr="00E763D2">
        <w:rPr>
          <w:i/>
          <w:iCs/>
        </w:rPr>
        <w:t>58</w:t>
      </w:r>
      <w:r>
        <w:t>, 9030-9037</w:t>
      </w:r>
      <w:r w:rsidR="00A92107">
        <w:t>.</w:t>
      </w:r>
    </w:p>
    <w:p w14:paraId="4BD1FDC3" w14:textId="77777777" w:rsidR="0050345C" w:rsidRDefault="0050345C" w:rsidP="00EA4E1B">
      <w:pPr>
        <w:pStyle w:val="TAMainText"/>
        <w:numPr>
          <w:ilvl w:val="0"/>
          <w:numId w:val="1"/>
        </w:numPr>
        <w:rPr>
          <w:lang w:val="pt-BR"/>
        </w:rPr>
      </w:pPr>
      <w:r w:rsidRPr="007624D1">
        <w:rPr>
          <w:lang w:val="es-CL"/>
        </w:rPr>
        <w:t xml:space="preserve">K. Ahmad; S. </w:t>
      </w:r>
      <w:proofErr w:type="spellStart"/>
      <w:r w:rsidRPr="007624D1">
        <w:rPr>
          <w:lang w:val="es-CL"/>
        </w:rPr>
        <w:t>Upadhyayula</w:t>
      </w:r>
      <w:proofErr w:type="spellEnd"/>
      <w:r w:rsidRPr="007624D1">
        <w:rPr>
          <w:lang w:val="es-CL"/>
        </w:rPr>
        <w:t xml:space="preserve">, </w:t>
      </w:r>
      <w:proofErr w:type="spellStart"/>
      <w:r w:rsidRPr="007624D1">
        <w:rPr>
          <w:i/>
          <w:iCs/>
          <w:lang w:val="es-CL"/>
        </w:rPr>
        <w:t>Env</w:t>
      </w:r>
      <w:proofErr w:type="spellEnd"/>
      <w:r w:rsidRPr="007624D1">
        <w:rPr>
          <w:i/>
          <w:iCs/>
          <w:lang w:val="es-CL"/>
        </w:rPr>
        <w:t xml:space="preserve">. </w:t>
      </w:r>
      <w:proofErr w:type="spellStart"/>
      <w:r>
        <w:rPr>
          <w:i/>
          <w:iCs/>
          <w:lang w:val="pt-BR"/>
        </w:rPr>
        <w:t>Prog</w:t>
      </w:r>
      <w:proofErr w:type="spellEnd"/>
      <w:r>
        <w:rPr>
          <w:i/>
          <w:iCs/>
          <w:lang w:val="pt-BR"/>
        </w:rPr>
        <w:t xml:space="preserve">. Sus. </w:t>
      </w:r>
      <w:proofErr w:type="spellStart"/>
      <w:r>
        <w:rPr>
          <w:i/>
          <w:iCs/>
          <w:lang w:val="pt-BR"/>
        </w:rPr>
        <w:t>En</w:t>
      </w:r>
      <w:proofErr w:type="spellEnd"/>
      <w:r>
        <w:rPr>
          <w:i/>
          <w:iCs/>
          <w:lang w:val="pt-BR"/>
        </w:rPr>
        <w:t xml:space="preserve">. </w:t>
      </w:r>
      <w:r w:rsidR="002F65F8">
        <w:rPr>
          <w:b/>
          <w:bCs/>
          <w:lang w:val="pt-BR"/>
        </w:rPr>
        <w:t xml:space="preserve">2019, </w:t>
      </w:r>
      <w:r w:rsidR="002F65F8">
        <w:rPr>
          <w:i/>
          <w:iCs/>
          <w:lang w:val="pt-BR"/>
        </w:rPr>
        <w:t xml:space="preserve">38, </w:t>
      </w:r>
      <w:r w:rsidR="002F65F8">
        <w:rPr>
          <w:lang w:val="pt-BR"/>
        </w:rPr>
        <w:t>98-111.</w:t>
      </w:r>
    </w:p>
    <w:p w14:paraId="52010F29" w14:textId="77777777" w:rsidR="00B01715" w:rsidRPr="0050345C" w:rsidRDefault="005E2346" w:rsidP="00EA4E1B">
      <w:pPr>
        <w:pStyle w:val="TAMainText"/>
        <w:numPr>
          <w:ilvl w:val="0"/>
          <w:numId w:val="1"/>
        </w:numPr>
        <w:rPr>
          <w:lang w:val="pt-BR"/>
        </w:rPr>
      </w:pPr>
      <w:r>
        <w:rPr>
          <w:lang w:val="pt-BR"/>
        </w:rPr>
        <w:t xml:space="preserve">S. H. Lima; A. M. S. Forrester; L. A. Palacio; A. C. Faro Jr, </w:t>
      </w:r>
      <w:proofErr w:type="spellStart"/>
      <w:r>
        <w:rPr>
          <w:i/>
          <w:iCs/>
          <w:lang w:val="pt-BR"/>
        </w:rPr>
        <w:t>Appl</w:t>
      </w:r>
      <w:proofErr w:type="spellEnd"/>
      <w:r>
        <w:rPr>
          <w:i/>
          <w:iCs/>
          <w:lang w:val="pt-BR"/>
        </w:rPr>
        <w:t>. Cat. A. Gen</w:t>
      </w:r>
      <w:r>
        <w:rPr>
          <w:lang w:val="pt-BR"/>
        </w:rPr>
        <w:t xml:space="preserve">. </w:t>
      </w:r>
      <w:r>
        <w:rPr>
          <w:b/>
          <w:bCs/>
          <w:lang w:val="pt-BR"/>
        </w:rPr>
        <w:t>2014</w:t>
      </w:r>
      <w:r>
        <w:rPr>
          <w:lang w:val="pt-BR"/>
        </w:rPr>
        <w:t xml:space="preserve">, </w:t>
      </w:r>
      <w:r>
        <w:rPr>
          <w:i/>
          <w:iCs/>
          <w:lang w:val="pt-BR"/>
        </w:rPr>
        <w:t xml:space="preserve">488, </w:t>
      </w:r>
      <w:r>
        <w:rPr>
          <w:lang w:val="pt-BR"/>
        </w:rPr>
        <w:t>19-27.</w:t>
      </w:r>
    </w:p>
    <w:p w14:paraId="0DAF7243" w14:textId="77777777" w:rsidR="00A92107" w:rsidRDefault="00A92107" w:rsidP="00EA4E1B">
      <w:pPr>
        <w:pStyle w:val="TAMainText"/>
        <w:numPr>
          <w:ilvl w:val="0"/>
          <w:numId w:val="1"/>
        </w:numPr>
      </w:pPr>
      <w:r>
        <w:t xml:space="preserve">S. Kuriakose; B. Satpati; S. Mohapatra, </w:t>
      </w:r>
      <w:r w:rsidRPr="00E763D2">
        <w:rPr>
          <w:i/>
          <w:iCs/>
        </w:rPr>
        <w:t>Phys. Chem. Chem. Phys</w:t>
      </w:r>
      <w:r>
        <w:t xml:space="preserve">. </w:t>
      </w:r>
      <w:r w:rsidRPr="00E763D2">
        <w:rPr>
          <w:b/>
          <w:bCs/>
        </w:rPr>
        <w:t>2015</w:t>
      </w:r>
      <w:r>
        <w:t xml:space="preserve">, </w:t>
      </w:r>
      <w:r w:rsidRPr="00E763D2">
        <w:rPr>
          <w:i/>
          <w:iCs/>
        </w:rPr>
        <w:t>17</w:t>
      </w:r>
      <w:r>
        <w:t>, 25172</w:t>
      </w:r>
      <w:r w:rsidR="000A467D">
        <w:t>.</w:t>
      </w:r>
    </w:p>
    <w:p w14:paraId="1EBF2A11" w14:textId="77777777" w:rsidR="000A467D" w:rsidRDefault="000A467D" w:rsidP="00EA4E1B">
      <w:pPr>
        <w:pStyle w:val="TAMainText"/>
        <w:numPr>
          <w:ilvl w:val="0"/>
          <w:numId w:val="1"/>
        </w:numPr>
        <w:rPr>
          <w:lang w:val="pt-BR"/>
        </w:rPr>
      </w:pPr>
      <w:r w:rsidRPr="000A467D">
        <w:rPr>
          <w:lang w:val="pt-BR"/>
        </w:rPr>
        <w:t xml:space="preserve">A. </w:t>
      </w:r>
      <w:proofErr w:type="spellStart"/>
      <w:r w:rsidRPr="000A467D">
        <w:rPr>
          <w:lang w:val="pt-BR"/>
        </w:rPr>
        <w:t>Singhal</w:t>
      </w:r>
      <w:proofErr w:type="spellEnd"/>
      <w:r w:rsidRPr="000A467D">
        <w:rPr>
          <w:lang w:val="pt-BR"/>
        </w:rPr>
        <w:t>; M. R. Pa</w:t>
      </w:r>
      <w:r>
        <w:rPr>
          <w:lang w:val="pt-BR"/>
        </w:rPr>
        <w:t xml:space="preserve">i; R. Rao; K. T. </w:t>
      </w:r>
      <w:proofErr w:type="spellStart"/>
      <w:r>
        <w:rPr>
          <w:lang w:val="pt-BR"/>
        </w:rPr>
        <w:t>Pillai</w:t>
      </w:r>
      <w:proofErr w:type="spellEnd"/>
      <w:r>
        <w:rPr>
          <w:lang w:val="pt-BR"/>
        </w:rPr>
        <w:t xml:space="preserve">; I. </w:t>
      </w:r>
      <w:proofErr w:type="spellStart"/>
      <w:r>
        <w:rPr>
          <w:lang w:val="pt-BR"/>
        </w:rPr>
        <w:t>Lieberwirth</w:t>
      </w:r>
      <w:proofErr w:type="spellEnd"/>
      <w:r>
        <w:rPr>
          <w:lang w:val="pt-BR"/>
        </w:rPr>
        <w:t xml:space="preserve">, A. K. </w:t>
      </w:r>
      <w:proofErr w:type="spellStart"/>
      <w:r>
        <w:rPr>
          <w:lang w:val="pt-BR"/>
        </w:rPr>
        <w:t>Tyagi</w:t>
      </w:r>
      <w:proofErr w:type="spellEnd"/>
      <w:r>
        <w:rPr>
          <w:lang w:val="pt-BR"/>
        </w:rPr>
        <w:t xml:space="preserve">. </w:t>
      </w:r>
      <w:r w:rsidRPr="00E763D2">
        <w:rPr>
          <w:i/>
          <w:iCs/>
          <w:lang w:val="pt-BR"/>
        </w:rPr>
        <w:t xml:space="preserve">Eur. J. </w:t>
      </w:r>
      <w:proofErr w:type="spellStart"/>
      <w:r w:rsidRPr="00E763D2">
        <w:rPr>
          <w:i/>
          <w:iCs/>
          <w:lang w:val="pt-BR"/>
        </w:rPr>
        <w:t>Inor</w:t>
      </w:r>
      <w:proofErr w:type="spellEnd"/>
      <w:r w:rsidRPr="00E763D2">
        <w:rPr>
          <w:i/>
          <w:iCs/>
          <w:lang w:val="pt-BR"/>
        </w:rPr>
        <w:t xml:space="preserve">. </w:t>
      </w:r>
      <w:proofErr w:type="spellStart"/>
      <w:r w:rsidRPr="00E763D2">
        <w:rPr>
          <w:i/>
          <w:iCs/>
          <w:lang w:val="pt-BR"/>
        </w:rPr>
        <w:t>Chem</w:t>
      </w:r>
      <w:proofErr w:type="spellEnd"/>
      <w:r>
        <w:rPr>
          <w:lang w:val="pt-BR"/>
        </w:rPr>
        <w:t xml:space="preserve">. </w:t>
      </w:r>
      <w:r w:rsidRPr="00E763D2">
        <w:rPr>
          <w:b/>
          <w:bCs/>
          <w:lang w:val="pt-BR"/>
        </w:rPr>
        <w:t>2013</w:t>
      </w:r>
      <w:r>
        <w:rPr>
          <w:lang w:val="pt-BR"/>
        </w:rPr>
        <w:t xml:space="preserve">, </w:t>
      </w:r>
      <w:r w:rsidRPr="00E763D2">
        <w:rPr>
          <w:i/>
          <w:iCs/>
          <w:lang w:val="pt-BR"/>
        </w:rPr>
        <w:t>14</w:t>
      </w:r>
      <w:r>
        <w:rPr>
          <w:lang w:val="pt-BR"/>
        </w:rPr>
        <w:t>, 2640-2651.</w:t>
      </w:r>
    </w:p>
    <w:p w14:paraId="26BD8AB8" w14:textId="77777777" w:rsidR="000A467D" w:rsidRPr="007624D1" w:rsidRDefault="000A467D" w:rsidP="00EA4E1B">
      <w:pPr>
        <w:pStyle w:val="TAMainText"/>
        <w:numPr>
          <w:ilvl w:val="0"/>
          <w:numId w:val="1"/>
        </w:numPr>
        <w:rPr>
          <w:lang w:val="es-CL"/>
        </w:rPr>
      </w:pPr>
      <w:r w:rsidRPr="000A467D">
        <w:t>M. Bouchard; D. C. S</w:t>
      </w:r>
      <w:r>
        <w:t xml:space="preserve">mith, </w:t>
      </w:r>
      <w:r w:rsidRPr="00E763D2">
        <w:rPr>
          <w:i/>
          <w:iCs/>
        </w:rPr>
        <w:t xml:space="preserve">Spec. </w:t>
      </w:r>
      <w:r w:rsidRPr="007624D1">
        <w:rPr>
          <w:i/>
          <w:iCs/>
          <w:lang w:val="es-CL"/>
        </w:rPr>
        <w:t xml:space="preserve">Acta. A. Mol. Bio. </w:t>
      </w:r>
      <w:proofErr w:type="spellStart"/>
      <w:r w:rsidRPr="007624D1">
        <w:rPr>
          <w:i/>
          <w:iCs/>
          <w:lang w:val="es-CL"/>
        </w:rPr>
        <w:t>Spec</w:t>
      </w:r>
      <w:proofErr w:type="spellEnd"/>
      <w:r w:rsidRPr="007624D1">
        <w:rPr>
          <w:lang w:val="es-CL"/>
        </w:rPr>
        <w:t xml:space="preserve">. </w:t>
      </w:r>
      <w:r w:rsidRPr="007624D1">
        <w:rPr>
          <w:b/>
          <w:bCs/>
          <w:lang w:val="es-CL"/>
        </w:rPr>
        <w:t>2003</w:t>
      </w:r>
      <w:r w:rsidRPr="007624D1">
        <w:rPr>
          <w:lang w:val="es-CL"/>
        </w:rPr>
        <w:t xml:space="preserve">, </w:t>
      </w:r>
      <w:r w:rsidRPr="007624D1">
        <w:rPr>
          <w:i/>
          <w:iCs/>
          <w:lang w:val="es-CL"/>
        </w:rPr>
        <w:t>59</w:t>
      </w:r>
      <w:r w:rsidRPr="007624D1">
        <w:rPr>
          <w:lang w:val="es-CL"/>
        </w:rPr>
        <w:t>, 2247-2266.</w:t>
      </w:r>
    </w:p>
    <w:p w14:paraId="507F85B1" w14:textId="77777777" w:rsidR="00D97E9E" w:rsidRDefault="00D97E9E" w:rsidP="00EA4E1B">
      <w:pPr>
        <w:pStyle w:val="TAMainText"/>
        <w:numPr>
          <w:ilvl w:val="0"/>
          <w:numId w:val="1"/>
        </w:numPr>
        <w:rPr>
          <w:rStyle w:val="accordion-tabbedtab-mobile"/>
          <w:lang w:val="pt-BR"/>
        </w:rPr>
      </w:pPr>
      <w:r w:rsidRPr="007624D1">
        <w:rPr>
          <w:lang w:val="es-CL"/>
        </w:rPr>
        <w:lastRenderedPageBreak/>
        <w:t xml:space="preserve">M. </w:t>
      </w:r>
      <w:proofErr w:type="spellStart"/>
      <w:r w:rsidRPr="007624D1">
        <w:rPr>
          <w:lang w:val="es-CL"/>
        </w:rPr>
        <w:t>Šćepanović</w:t>
      </w:r>
      <w:proofErr w:type="spellEnd"/>
      <w:r w:rsidRPr="007624D1">
        <w:rPr>
          <w:lang w:val="es-CL"/>
        </w:rPr>
        <w:t xml:space="preserve">; M. G. </w:t>
      </w:r>
      <w:proofErr w:type="spellStart"/>
      <w:r w:rsidRPr="007624D1">
        <w:rPr>
          <w:rStyle w:val="accordion-tabbedtab-mobile"/>
          <w:lang w:val="es-CL"/>
        </w:rPr>
        <w:t>Brojčin</w:t>
      </w:r>
      <w:proofErr w:type="spellEnd"/>
      <w:r w:rsidRPr="007624D1">
        <w:rPr>
          <w:rStyle w:val="accordion-tabbedtab-mobile"/>
          <w:lang w:val="es-CL"/>
        </w:rPr>
        <w:t xml:space="preserve">; K. </w:t>
      </w:r>
      <w:proofErr w:type="spellStart"/>
      <w:r w:rsidRPr="007624D1">
        <w:rPr>
          <w:rStyle w:val="accordion-tabbedtab-mobile"/>
          <w:lang w:val="es-CL"/>
        </w:rPr>
        <w:t>Vojisavljević</w:t>
      </w:r>
      <w:proofErr w:type="spellEnd"/>
      <w:r w:rsidRPr="007624D1">
        <w:rPr>
          <w:rStyle w:val="accordion-tabbedtab-mobile"/>
          <w:lang w:val="es-CL"/>
        </w:rPr>
        <w:t xml:space="preserve">; S. </w:t>
      </w:r>
      <w:proofErr w:type="spellStart"/>
      <w:r w:rsidRPr="007624D1">
        <w:rPr>
          <w:rStyle w:val="accordion-tabbedtab-mobile"/>
          <w:lang w:val="es-CL"/>
        </w:rPr>
        <w:t>Bernik</w:t>
      </w:r>
      <w:proofErr w:type="spellEnd"/>
      <w:r w:rsidRPr="007624D1">
        <w:rPr>
          <w:rStyle w:val="accordion-tabbedtab-mobile"/>
          <w:lang w:val="es-CL"/>
        </w:rPr>
        <w:t xml:space="preserve">; T. </w:t>
      </w:r>
      <w:proofErr w:type="spellStart"/>
      <w:r w:rsidRPr="007624D1">
        <w:rPr>
          <w:rStyle w:val="accordion-tabbedtab-mobile"/>
          <w:lang w:val="es-CL"/>
        </w:rPr>
        <w:t>Srećković</w:t>
      </w:r>
      <w:proofErr w:type="spellEnd"/>
      <w:r w:rsidRPr="007624D1">
        <w:rPr>
          <w:rStyle w:val="accordion-tabbedtab-mobile"/>
          <w:lang w:val="es-CL"/>
        </w:rPr>
        <w:t xml:space="preserve">, </w:t>
      </w:r>
      <w:r w:rsidRPr="007624D1">
        <w:rPr>
          <w:rStyle w:val="accordion-tabbedtab-mobile"/>
          <w:i/>
          <w:iCs/>
          <w:lang w:val="es-CL"/>
        </w:rPr>
        <w:t xml:space="preserve">J. Raman. </w:t>
      </w:r>
      <w:proofErr w:type="spellStart"/>
      <w:r w:rsidRPr="00E763D2">
        <w:rPr>
          <w:rStyle w:val="accordion-tabbedtab-mobile"/>
          <w:i/>
          <w:iCs/>
          <w:lang w:val="pt-BR"/>
        </w:rPr>
        <w:t>Spec</w:t>
      </w:r>
      <w:proofErr w:type="spellEnd"/>
      <w:r>
        <w:rPr>
          <w:rStyle w:val="accordion-tabbedtab-mobile"/>
          <w:lang w:val="pt-BR"/>
        </w:rPr>
        <w:t xml:space="preserve">. </w:t>
      </w:r>
      <w:r w:rsidRPr="00E763D2">
        <w:rPr>
          <w:rStyle w:val="accordion-tabbedtab-mobile"/>
          <w:b/>
          <w:bCs/>
          <w:lang w:val="pt-BR"/>
        </w:rPr>
        <w:t>2009</w:t>
      </w:r>
      <w:r>
        <w:rPr>
          <w:rStyle w:val="accordion-tabbedtab-mobile"/>
          <w:lang w:val="pt-BR"/>
        </w:rPr>
        <w:t xml:space="preserve">, </w:t>
      </w:r>
      <w:r w:rsidRPr="00E763D2">
        <w:rPr>
          <w:rStyle w:val="accordion-tabbedtab-mobile"/>
          <w:i/>
          <w:iCs/>
          <w:lang w:val="pt-BR"/>
        </w:rPr>
        <w:t>41</w:t>
      </w:r>
      <w:r>
        <w:rPr>
          <w:rStyle w:val="accordion-tabbedtab-mobile"/>
          <w:lang w:val="pt-BR"/>
        </w:rPr>
        <w:t>, 914-921.</w:t>
      </w:r>
    </w:p>
    <w:p w14:paraId="4738B0C4" w14:textId="77777777" w:rsidR="00BF27A0" w:rsidRDefault="00BF27A0" w:rsidP="00EA4E1B">
      <w:pPr>
        <w:pStyle w:val="TAMainText"/>
        <w:numPr>
          <w:ilvl w:val="0"/>
          <w:numId w:val="1"/>
        </w:numPr>
        <w:rPr>
          <w:rStyle w:val="accordion-tabbedtab-mobile"/>
        </w:rPr>
      </w:pPr>
      <w:r w:rsidRPr="00BF27A0">
        <w:rPr>
          <w:rStyle w:val="accordion-tabbedtab-mobile"/>
        </w:rPr>
        <w:t>S. Li; X. Zhang; P</w:t>
      </w:r>
      <w:r>
        <w:rPr>
          <w:rStyle w:val="accordion-tabbedtab-mobile"/>
        </w:rPr>
        <w:t xml:space="preserve">. Zhang; X. Sun; H. Zheng; W. Zhang, </w:t>
      </w:r>
      <w:r w:rsidRPr="00E763D2">
        <w:rPr>
          <w:rStyle w:val="accordion-tabbedtab-mobile"/>
          <w:i/>
          <w:iCs/>
        </w:rPr>
        <w:t xml:space="preserve">Nano. Res. </w:t>
      </w:r>
      <w:r w:rsidRPr="00E763D2">
        <w:rPr>
          <w:rStyle w:val="accordion-tabbedtab-mobile"/>
          <w:b/>
          <w:bCs/>
        </w:rPr>
        <w:t>2018</w:t>
      </w:r>
      <w:r>
        <w:rPr>
          <w:rStyle w:val="accordion-tabbedtab-mobile"/>
        </w:rPr>
        <w:t xml:space="preserve">, </w:t>
      </w:r>
      <w:r w:rsidRPr="00E763D2">
        <w:rPr>
          <w:rStyle w:val="accordion-tabbedtab-mobile"/>
          <w:i/>
          <w:iCs/>
        </w:rPr>
        <w:t>13</w:t>
      </w:r>
      <w:r>
        <w:rPr>
          <w:rStyle w:val="accordion-tabbedtab-mobile"/>
        </w:rPr>
        <w:t>, 1-7.</w:t>
      </w:r>
    </w:p>
    <w:p w14:paraId="198B5CA2" w14:textId="39B37705" w:rsidR="00715371" w:rsidRDefault="00715371" w:rsidP="00EA4E1B">
      <w:pPr>
        <w:pStyle w:val="TAMainText"/>
        <w:numPr>
          <w:ilvl w:val="0"/>
          <w:numId w:val="1"/>
        </w:numPr>
      </w:pPr>
      <w:r w:rsidRPr="00715371">
        <w:rPr>
          <w:rStyle w:val="accordion-tabbedtab-mobile"/>
        </w:rPr>
        <w:t xml:space="preserve">J. Li; X. Zhan; Y. Zhang; G. Jacobs; T. Das; B. H. Davis, </w:t>
      </w:r>
      <w:r w:rsidRPr="00715371">
        <w:rPr>
          <w:i/>
          <w:iCs/>
        </w:rPr>
        <w:t>Appl. Cat. A. Gen</w:t>
      </w:r>
      <w:r>
        <w:rPr>
          <w:i/>
          <w:iCs/>
        </w:rPr>
        <w:t xml:space="preserve">. </w:t>
      </w:r>
      <w:r>
        <w:rPr>
          <w:b/>
          <w:bCs/>
        </w:rPr>
        <w:t>2002</w:t>
      </w:r>
      <w:r>
        <w:t>, 28, 203-212.</w:t>
      </w:r>
    </w:p>
    <w:p w14:paraId="5F0DAAFB" w14:textId="1EF3FAB2" w:rsidR="00715371" w:rsidRDefault="00715371" w:rsidP="00EA4E1B">
      <w:pPr>
        <w:pStyle w:val="TAMainText"/>
        <w:numPr>
          <w:ilvl w:val="0"/>
          <w:numId w:val="1"/>
        </w:numPr>
      </w:pPr>
      <w:r>
        <w:t xml:space="preserve">G. Jacobs; P. M. Patterson; Y. Zhang; T. Das; J. Li; B. H. Davis, </w:t>
      </w:r>
      <w:r w:rsidRPr="00715371">
        <w:rPr>
          <w:i/>
          <w:iCs/>
        </w:rPr>
        <w:t>Appl. Cat. A. Gen</w:t>
      </w:r>
      <w:r>
        <w:rPr>
          <w:i/>
          <w:iCs/>
        </w:rPr>
        <w:t xml:space="preserve">. </w:t>
      </w:r>
      <w:r w:rsidRPr="00715371">
        <w:rPr>
          <w:b/>
          <w:bCs/>
        </w:rPr>
        <w:t>2002</w:t>
      </w:r>
      <w:r>
        <w:t>, 233, 215-226.</w:t>
      </w:r>
    </w:p>
    <w:p w14:paraId="455F4E21" w14:textId="1BD83A92" w:rsidR="00715371" w:rsidRPr="00715371" w:rsidRDefault="00715371" w:rsidP="00EA4E1B">
      <w:pPr>
        <w:pStyle w:val="TAMainText"/>
        <w:numPr>
          <w:ilvl w:val="0"/>
          <w:numId w:val="1"/>
        </w:numPr>
        <w:rPr>
          <w:rStyle w:val="accordion-tabbedtab-mobile"/>
        </w:rPr>
      </w:pPr>
      <w:r>
        <w:rPr>
          <w:rStyle w:val="accordion-tabbedtab-mobile"/>
        </w:rPr>
        <w:t xml:space="preserve">D. J. Moodley; A. M. </w:t>
      </w:r>
      <w:proofErr w:type="spellStart"/>
      <w:r>
        <w:rPr>
          <w:rStyle w:val="accordion-tabbedtab-mobile"/>
        </w:rPr>
        <w:t>Saib</w:t>
      </w:r>
      <w:proofErr w:type="spellEnd"/>
      <w:r>
        <w:rPr>
          <w:rStyle w:val="accordion-tabbedtab-mobile"/>
        </w:rPr>
        <w:t xml:space="preserve">; J. V. </w:t>
      </w:r>
      <w:proofErr w:type="spellStart"/>
      <w:r>
        <w:rPr>
          <w:rStyle w:val="accordion-tabbedtab-mobile"/>
        </w:rPr>
        <w:t>Loosdrecht</w:t>
      </w:r>
      <w:proofErr w:type="spellEnd"/>
      <w:r>
        <w:rPr>
          <w:rStyle w:val="accordion-tabbedtab-mobile"/>
        </w:rPr>
        <w:t>; C. A. Welker-</w:t>
      </w:r>
      <w:proofErr w:type="spellStart"/>
      <w:r>
        <w:rPr>
          <w:rStyle w:val="accordion-tabbedtab-mobile"/>
        </w:rPr>
        <w:t>Nieuwoudt</w:t>
      </w:r>
      <w:proofErr w:type="spellEnd"/>
      <w:r>
        <w:rPr>
          <w:rStyle w:val="accordion-tabbedtab-mobile"/>
        </w:rPr>
        <w:t xml:space="preserve">; B. H. </w:t>
      </w:r>
      <w:proofErr w:type="spellStart"/>
      <w:r>
        <w:rPr>
          <w:rStyle w:val="accordion-tabbedtab-mobile"/>
        </w:rPr>
        <w:t>Sigwebela</w:t>
      </w:r>
      <w:proofErr w:type="spellEnd"/>
      <w:r>
        <w:rPr>
          <w:rStyle w:val="accordion-tabbedtab-mobile"/>
        </w:rPr>
        <w:t xml:space="preserve">; J. W. </w:t>
      </w:r>
      <w:proofErr w:type="spellStart"/>
      <w:r>
        <w:rPr>
          <w:rStyle w:val="accordion-tabbedtab-mobile"/>
        </w:rPr>
        <w:t>Niemantsverdriet</w:t>
      </w:r>
      <w:proofErr w:type="spellEnd"/>
      <w:r w:rsidR="00B95CD5">
        <w:rPr>
          <w:rStyle w:val="accordion-tabbedtab-mobile"/>
        </w:rPr>
        <w:t xml:space="preserve">, </w:t>
      </w:r>
      <w:r w:rsidR="00B95CD5">
        <w:rPr>
          <w:rStyle w:val="accordion-tabbedtab-mobile"/>
          <w:i/>
          <w:iCs/>
        </w:rPr>
        <w:t xml:space="preserve">Cat. Today. </w:t>
      </w:r>
      <w:r w:rsidR="00B95CD5">
        <w:rPr>
          <w:rStyle w:val="accordion-tabbedtab-mobile"/>
          <w:b/>
          <w:bCs/>
        </w:rPr>
        <w:t>2011</w:t>
      </w:r>
      <w:r w:rsidR="00B95CD5">
        <w:rPr>
          <w:rStyle w:val="accordion-tabbedtab-mobile"/>
        </w:rPr>
        <w:t>, 171, 192-200.</w:t>
      </w:r>
    </w:p>
    <w:p w14:paraId="64E22465" w14:textId="77777777" w:rsidR="00DF48CD" w:rsidRPr="00715371" w:rsidRDefault="00DF48CD" w:rsidP="00DF48CD">
      <w:pPr>
        <w:pStyle w:val="TAMainText"/>
        <w:rPr>
          <w:rStyle w:val="accordion-tabbedtab-mobile"/>
        </w:rPr>
      </w:pPr>
    </w:p>
    <w:p w14:paraId="529B24AF" w14:textId="77777777" w:rsidR="00DF48CD" w:rsidRPr="00715371" w:rsidRDefault="00DF48CD" w:rsidP="00DF48CD">
      <w:pPr>
        <w:pStyle w:val="TAMainText"/>
        <w:rPr>
          <w:rStyle w:val="accordion-tabbedtab-mobile"/>
        </w:rPr>
      </w:pPr>
    </w:p>
    <w:p w14:paraId="24DB404B" w14:textId="77777777" w:rsidR="00DF48CD" w:rsidRPr="00715371" w:rsidRDefault="00DF48CD" w:rsidP="00DF48CD">
      <w:pPr>
        <w:pStyle w:val="TAMainText"/>
        <w:rPr>
          <w:rStyle w:val="accordion-tabbedtab-mobile"/>
        </w:rPr>
      </w:pPr>
    </w:p>
    <w:p w14:paraId="0A3E343F" w14:textId="77777777" w:rsidR="00DF48CD" w:rsidRPr="00715371" w:rsidRDefault="00DF48CD" w:rsidP="00DF48CD">
      <w:pPr>
        <w:pStyle w:val="TAMainText"/>
        <w:rPr>
          <w:rStyle w:val="accordion-tabbedtab-mobile"/>
        </w:rPr>
      </w:pPr>
    </w:p>
    <w:p w14:paraId="0F6714CE" w14:textId="77777777" w:rsidR="00DF48CD" w:rsidRPr="00715371" w:rsidRDefault="00DF48CD" w:rsidP="00DF48CD">
      <w:pPr>
        <w:pStyle w:val="TAMainText"/>
      </w:pPr>
    </w:p>
    <w:p w14:paraId="0095D3FE" w14:textId="77777777" w:rsidR="007B4B2B" w:rsidRPr="00715371" w:rsidRDefault="007B4B2B" w:rsidP="00EA4E1B">
      <w:pPr>
        <w:rPr>
          <w:lang w:val="en-US"/>
        </w:rPr>
      </w:pPr>
    </w:p>
    <w:sectPr w:rsidR="007B4B2B" w:rsidRPr="00715371"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426E1" w14:textId="77777777" w:rsidR="003C410D" w:rsidRDefault="003C410D" w:rsidP="00EA4E1B">
      <w:pPr>
        <w:spacing w:after="0" w:line="240" w:lineRule="auto"/>
      </w:pPr>
      <w:r>
        <w:separator/>
      </w:r>
    </w:p>
  </w:endnote>
  <w:endnote w:type="continuationSeparator" w:id="0">
    <w:p w14:paraId="1A73125D" w14:textId="77777777" w:rsidR="003C410D" w:rsidRDefault="003C410D"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vOT2e364b11">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DA0A3" w14:textId="77777777" w:rsidR="003C410D" w:rsidRDefault="003C410D" w:rsidP="00EA4E1B">
      <w:pPr>
        <w:spacing w:after="0" w:line="240" w:lineRule="auto"/>
      </w:pPr>
      <w:r>
        <w:separator/>
      </w:r>
    </w:p>
  </w:footnote>
  <w:footnote w:type="continuationSeparator" w:id="0">
    <w:p w14:paraId="5905DDA1" w14:textId="77777777" w:rsidR="003C410D" w:rsidRDefault="003C410D"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57D5F" w14:textId="77777777" w:rsidR="00EA4E1B" w:rsidRDefault="00AF0400" w:rsidP="00EA4E1B">
    <w:pPr>
      <w:pStyle w:val="Cabealho"/>
      <w:jc w:val="center"/>
    </w:pPr>
    <w:r>
      <w:rPr>
        <w:noProof/>
        <w:lang w:eastAsia="pt-BR"/>
      </w:rPr>
      <w:drawing>
        <wp:inline distT="0" distB="0" distL="0" distR="0" wp14:anchorId="7386321F" wp14:editId="7E3DB8E8">
          <wp:extent cx="1524000" cy="104932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20EBA0FB" wp14:editId="0A8B8B0A">
          <wp:extent cx="1963713" cy="696036"/>
          <wp:effectExtent l="0" t="0" r="0" b="8890"/>
          <wp:docPr id="5" name="Imagem 5"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280793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E0NDMzNbI0NjQzNzBT0lEKTi0uzszPAykwqgUA1hGPPSwAAAA="/>
  </w:docVars>
  <w:rsids>
    <w:rsidRoot w:val="00EA4E1B"/>
    <w:rsid w:val="00000373"/>
    <w:rsid w:val="0001264A"/>
    <w:rsid w:val="00057A92"/>
    <w:rsid w:val="00061A72"/>
    <w:rsid w:val="00063569"/>
    <w:rsid w:val="0009392E"/>
    <w:rsid w:val="000944A4"/>
    <w:rsid w:val="000956D1"/>
    <w:rsid w:val="000A115C"/>
    <w:rsid w:val="000A467D"/>
    <w:rsid w:val="000B33E0"/>
    <w:rsid w:val="000C371C"/>
    <w:rsid w:val="000C66F4"/>
    <w:rsid w:val="000D43B6"/>
    <w:rsid w:val="000F1D24"/>
    <w:rsid w:val="00106CD8"/>
    <w:rsid w:val="00112ABD"/>
    <w:rsid w:val="00116145"/>
    <w:rsid w:val="001242EB"/>
    <w:rsid w:val="00126DCD"/>
    <w:rsid w:val="00127B6A"/>
    <w:rsid w:val="00141844"/>
    <w:rsid w:val="00160D19"/>
    <w:rsid w:val="00174990"/>
    <w:rsid w:val="001A1C97"/>
    <w:rsid w:val="001E58A9"/>
    <w:rsid w:val="001E5974"/>
    <w:rsid w:val="001F25B2"/>
    <w:rsid w:val="001F30DA"/>
    <w:rsid w:val="00203978"/>
    <w:rsid w:val="00205070"/>
    <w:rsid w:val="002059D7"/>
    <w:rsid w:val="00214913"/>
    <w:rsid w:val="00222230"/>
    <w:rsid w:val="00230217"/>
    <w:rsid w:val="0025652E"/>
    <w:rsid w:val="00265F1B"/>
    <w:rsid w:val="002664C8"/>
    <w:rsid w:val="002718D8"/>
    <w:rsid w:val="002826F9"/>
    <w:rsid w:val="0028703E"/>
    <w:rsid w:val="00291E10"/>
    <w:rsid w:val="002A5C6F"/>
    <w:rsid w:val="002C5DB4"/>
    <w:rsid w:val="002D120D"/>
    <w:rsid w:val="002E7254"/>
    <w:rsid w:val="002F1F34"/>
    <w:rsid w:val="002F65F8"/>
    <w:rsid w:val="00300096"/>
    <w:rsid w:val="00301927"/>
    <w:rsid w:val="00301E0F"/>
    <w:rsid w:val="00306D57"/>
    <w:rsid w:val="00331B24"/>
    <w:rsid w:val="00336148"/>
    <w:rsid w:val="00340B1E"/>
    <w:rsid w:val="00357217"/>
    <w:rsid w:val="00371721"/>
    <w:rsid w:val="0037176B"/>
    <w:rsid w:val="00372450"/>
    <w:rsid w:val="0038694E"/>
    <w:rsid w:val="00396B8C"/>
    <w:rsid w:val="003A70AD"/>
    <w:rsid w:val="003B44C0"/>
    <w:rsid w:val="003B76C5"/>
    <w:rsid w:val="003C410D"/>
    <w:rsid w:val="003D5987"/>
    <w:rsid w:val="003F79F4"/>
    <w:rsid w:val="00400E50"/>
    <w:rsid w:val="00402F3E"/>
    <w:rsid w:val="00405B82"/>
    <w:rsid w:val="00410894"/>
    <w:rsid w:val="00412E6C"/>
    <w:rsid w:val="00421236"/>
    <w:rsid w:val="00422623"/>
    <w:rsid w:val="004409C1"/>
    <w:rsid w:val="00444344"/>
    <w:rsid w:val="00444DA2"/>
    <w:rsid w:val="00446441"/>
    <w:rsid w:val="0044711E"/>
    <w:rsid w:val="00447B09"/>
    <w:rsid w:val="00450C7F"/>
    <w:rsid w:val="00476DE7"/>
    <w:rsid w:val="0049031F"/>
    <w:rsid w:val="00495E45"/>
    <w:rsid w:val="004A5EF1"/>
    <w:rsid w:val="004E1BCD"/>
    <w:rsid w:val="004E4873"/>
    <w:rsid w:val="004E6686"/>
    <w:rsid w:val="004E7814"/>
    <w:rsid w:val="004F3F42"/>
    <w:rsid w:val="004F40B6"/>
    <w:rsid w:val="004F41B2"/>
    <w:rsid w:val="0050345C"/>
    <w:rsid w:val="00503746"/>
    <w:rsid w:val="005037FB"/>
    <w:rsid w:val="00504663"/>
    <w:rsid w:val="00507D12"/>
    <w:rsid w:val="0052112E"/>
    <w:rsid w:val="00522701"/>
    <w:rsid w:val="00525C2D"/>
    <w:rsid w:val="005263C7"/>
    <w:rsid w:val="00532498"/>
    <w:rsid w:val="00535895"/>
    <w:rsid w:val="00557ED0"/>
    <w:rsid w:val="00562A7B"/>
    <w:rsid w:val="00573DA7"/>
    <w:rsid w:val="00575135"/>
    <w:rsid w:val="00577F43"/>
    <w:rsid w:val="005849CF"/>
    <w:rsid w:val="00592DFC"/>
    <w:rsid w:val="00597162"/>
    <w:rsid w:val="00597858"/>
    <w:rsid w:val="005A0063"/>
    <w:rsid w:val="005A4AE9"/>
    <w:rsid w:val="005A5DEA"/>
    <w:rsid w:val="005B1688"/>
    <w:rsid w:val="005C1066"/>
    <w:rsid w:val="005C276E"/>
    <w:rsid w:val="005C2775"/>
    <w:rsid w:val="005C30D8"/>
    <w:rsid w:val="005C339C"/>
    <w:rsid w:val="005D1481"/>
    <w:rsid w:val="005D3FE0"/>
    <w:rsid w:val="005D65EB"/>
    <w:rsid w:val="005E2346"/>
    <w:rsid w:val="005F4C50"/>
    <w:rsid w:val="0060287F"/>
    <w:rsid w:val="00604718"/>
    <w:rsid w:val="0062775C"/>
    <w:rsid w:val="0065149C"/>
    <w:rsid w:val="006515EE"/>
    <w:rsid w:val="00652815"/>
    <w:rsid w:val="00657100"/>
    <w:rsid w:val="006710D3"/>
    <w:rsid w:val="0068264A"/>
    <w:rsid w:val="006875B1"/>
    <w:rsid w:val="00687E73"/>
    <w:rsid w:val="00691F65"/>
    <w:rsid w:val="006A0A70"/>
    <w:rsid w:val="006C211A"/>
    <w:rsid w:val="006E0509"/>
    <w:rsid w:val="006F599B"/>
    <w:rsid w:val="00705256"/>
    <w:rsid w:val="007137EA"/>
    <w:rsid w:val="00715371"/>
    <w:rsid w:val="0072165A"/>
    <w:rsid w:val="007357FA"/>
    <w:rsid w:val="00740E4E"/>
    <w:rsid w:val="00755444"/>
    <w:rsid w:val="007624D1"/>
    <w:rsid w:val="007670A0"/>
    <w:rsid w:val="0076727C"/>
    <w:rsid w:val="00771EC9"/>
    <w:rsid w:val="00781685"/>
    <w:rsid w:val="007B4B2B"/>
    <w:rsid w:val="007C4D9A"/>
    <w:rsid w:val="007C660D"/>
    <w:rsid w:val="007D7ABD"/>
    <w:rsid w:val="007E1F27"/>
    <w:rsid w:val="007E1FCA"/>
    <w:rsid w:val="007E2E31"/>
    <w:rsid w:val="007E757C"/>
    <w:rsid w:val="007F1B66"/>
    <w:rsid w:val="007F1DE6"/>
    <w:rsid w:val="008046F7"/>
    <w:rsid w:val="00805E34"/>
    <w:rsid w:val="00810995"/>
    <w:rsid w:val="008220AC"/>
    <w:rsid w:val="00825BBD"/>
    <w:rsid w:val="00827D1A"/>
    <w:rsid w:val="00844A42"/>
    <w:rsid w:val="008455E7"/>
    <w:rsid w:val="00854810"/>
    <w:rsid w:val="00866822"/>
    <w:rsid w:val="008850E8"/>
    <w:rsid w:val="00886F23"/>
    <w:rsid w:val="0089333F"/>
    <w:rsid w:val="008A3837"/>
    <w:rsid w:val="008A60E9"/>
    <w:rsid w:val="008B1683"/>
    <w:rsid w:val="008B31CD"/>
    <w:rsid w:val="008B51EB"/>
    <w:rsid w:val="008C1B30"/>
    <w:rsid w:val="008C6BB8"/>
    <w:rsid w:val="008E6B5A"/>
    <w:rsid w:val="008E784A"/>
    <w:rsid w:val="008F4AB0"/>
    <w:rsid w:val="00904CE2"/>
    <w:rsid w:val="0091585E"/>
    <w:rsid w:val="00923894"/>
    <w:rsid w:val="009414E3"/>
    <w:rsid w:val="00942A44"/>
    <w:rsid w:val="00943F8A"/>
    <w:rsid w:val="00950258"/>
    <w:rsid w:val="009506D8"/>
    <w:rsid w:val="009656D9"/>
    <w:rsid w:val="00972730"/>
    <w:rsid w:val="00972A5B"/>
    <w:rsid w:val="00977C38"/>
    <w:rsid w:val="009869CF"/>
    <w:rsid w:val="00993D9F"/>
    <w:rsid w:val="009A5200"/>
    <w:rsid w:val="009B331B"/>
    <w:rsid w:val="009C3CD5"/>
    <w:rsid w:val="009C7CB0"/>
    <w:rsid w:val="009D79D0"/>
    <w:rsid w:val="009E5A42"/>
    <w:rsid w:val="009E7000"/>
    <w:rsid w:val="009F3CBC"/>
    <w:rsid w:val="009F62DD"/>
    <w:rsid w:val="009F6556"/>
    <w:rsid w:val="00A023BD"/>
    <w:rsid w:val="00A13E8F"/>
    <w:rsid w:val="00A14A28"/>
    <w:rsid w:val="00A17D85"/>
    <w:rsid w:val="00A3784A"/>
    <w:rsid w:val="00A472A9"/>
    <w:rsid w:val="00A57C22"/>
    <w:rsid w:val="00A57F17"/>
    <w:rsid w:val="00A87CE8"/>
    <w:rsid w:val="00A92107"/>
    <w:rsid w:val="00A94CD4"/>
    <w:rsid w:val="00A97989"/>
    <w:rsid w:val="00AA182E"/>
    <w:rsid w:val="00AB68E0"/>
    <w:rsid w:val="00AE3368"/>
    <w:rsid w:val="00AF0400"/>
    <w:rsid w:val="00B01715"/>
    <w:rsid w:val="00B13CBC"/>
    <w:rsid w:val="00B25C2A"/>
    <w:rsid w:val="00B26123"/>
    <w:rsid w:val="00B2721A"/>
    <w:rsid w:val="00B27401"/>
    <w:rsid w:val="00B30AEB"/>
    <w:rsid w:val="00B94450"/>
    <w:rsid w:val="00B95B2E"/>
    <w:rsid w:val="00B95CD5"/>
    <w:rsid w:val="00BA6A6E"/>
    <w:rsid w:val="00BB38BD"/>
    <w:rsid w:val="00BC136C"/>
    <w:rsid w:val="00BC79F2"/>
    <w:rsid w:val="00BF27A0"/>
    <w:rsid w:val="00BF3202"/>
    <w:rsid w:val="00BF5504"/>
    <w:rsid w:val="00C0654A"/>
    <w:rsid w:val="00C24842"/>
    <w:rsid w:val="00C4564B"/>
    <w:rsid w:val="00C46900"/>
    <w:rsid w:val="00C6096C"/>
    <w:rsid w:val="00C73DBB"/>
    <w:rsid w:val="00C76E54"/>
    <w:rsid w:val="00C95ADC"/>
    <w:rsid w:val="00CA0301"/>
    <w:rsid w:val="00CA6CE3"/>
    <w:rsid w:val="00CB2459"/>
    <w:rsid w:val="00CB7851"/>
    <w:rsid w:val="00CD69BB"/>
    <w:rsid w:val="00CE035B"/>
    <w:rsid w:val="00CE220C"/>
    <w:rsid w:val="00CE2AE5"/>
    <w:rsid w:val="00CE66DF"/>
    <w:rsid w:val="00D27DC4"/>
    <w:rsid w:val="00D5183C"/>
    <w:rsid w:val="00D61B59"/>
    <w:rsid w:val="00D71DE4"/>
    <w:rsid w:val="00D7332F"/>
    <w:rsid w:val="00D77329"/>
    <w:rsid w:val="00D83E7B"/>
    <w:rsid w:val="00D8488A"/>
    <w:rsid w:val="00D95622"/>
    <w:rsid w:val="00D95637"/>
    <w:rsid w:val="00D96135"/>
    <w:rsid w:val="00D97E9E"/>
    <w:rsid w:val="00DC36DB"/>
    <w:rsid w:val="00DD488F"/>
    <w:rsid w:val="00DE4D6A"/>
    <w:rsid w:val="00DE7DB3"/>
    <w:rsid w:val="00DF3650"/>
    <w:rsid w:val="00DF48CD"/>
    <w:rsid w:val="00DF5B6A"/>
    <w:rsid w:val="00E02A21"/>
    <w:rsid w:val="00E038AF"/>
    <w:rsid w:val="00E07880"/>
    <w:rsid w:val="00E1108E"/>
    <w:rsid w:val="00E21FCD"/>
    <w:rsid w:val="00E262CD"/>
    <w:rsid w:val="00E6180F"/>
    <w:rsid w:val="00E637F9"/>
    <w:rsid w:val="00E735D3"/>
    <w:rsid w:val="00E75034"/>
    <w:rsid w:val="00E763D2"/>
    <w:rsid w:val="00E83D3C"/>
    <w:rsid w:val="00E84957"/>
    <w:rsid w:val="00E86FBB"/>
    <w:rsid w:val="00E91B3A"/>
    <w:rsid w:val="00E9268E"/>
    <w:rsid w:val="00EA2D6D"/>
    <w:rsid w:val="00EA4E1B"/>
    <w:rsid w:val="00EA6944"/>
    <w:rsid w:val="00EF6733"/>
    <w:rsid w:val="00F062E3"/>
    <w:rsid w:val="00F21F02"/>
    <w:rsid w:val="00F30661"/>
    <w:rsid w:val="00F3088E"/>
    <w:rsid w:val="00F31DAE"/>
    <w:rsid w:val="00F8011C"/>
    <w:rsid w:val="00F803F3"/>
    <w:rsid w:val="00F82674"/>
    <w:rsid w:val="00F87F86"/>
    <w:rsid w:val="00F917DA"/>
    <w:rsid w:val="00FB686D"/>
    <w:rsid w:val="00FC6268"/>
    <w:rsid w:val="00FD2105"/>
    <w:rsid w:val="00FD3845"/>
    <w:rsid w:val="00FE37F4"/>
    <w:rsid w:val="00FF1E47"/>
    <w:rsid w:val="00FF74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D68A"/>
  <w15:docId w15:val="{CF20E7AE-A473-47E3-BDF0-50BD489A2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character" w:styleId="Hyperlink">
    <w:name w:val="Hyperlink"/>
    <w:basedOn w:val="Fontepargpadro"/>
    <w:uiPriority w:val="99"/>
    <w:unhideWhenUsed/>
    <w:rsid w:val="009F3CBC"/>
    <w:rPr>
      <w:color w:val="0563C1" w:themeColor="hyperlink"/>
      <w:u w:val="single"/>
    </w:rPr>
  </w:style>
  <w:style w:type="character" w:customStyle="1" w:styleId="MenoPendente1">
    <w:name w:val="Menção Pendente1"/>
    <w:basedOn w:val="Fontepargpadro"/>
    <w:uiPriority w:val="99"/>
    <w:semiHidden/>
    <w:unhideWhenUsed/>
    <w:rsid w:val="009F3CBC"/>
    <w:rPr>
      <w:color w:val="605E5C"/>
      <w:shd w:val="clear" w:color="auto" w:fill="E1DFDD"/>
    </w:rPr>
  </w:style>
  <w:style w:type="character" w:customStyle="1" w:styleId="fontstyle01">
    <w:name w:val="fontstyle01"/>
    <w:basedOn w:val="Fontepargpadro"/>
    <w:rsid w:val="00A3784A"/>
    <w:rPr>
      <w:rFonts w:ascii="AdvOT2e364b11" w:hAnsi="AdvOT2e364b11" w:hint="default"/>
      <w:b w:val="0"/>
      <w:bCs w:val="0"/>
      <w:i w:val="0"/>
      <w:iCs w:val="0"/>
      <w:color w:val="000000"/>
      <w:sz w:val="20"/>
      <w:szCs w:val="20"/>
    </w:rPr>
  </w:style>
  <w:style w:type="table" w:styleId="Tabelacomgrade">
    <w:name w:val="Table Grid"/>
    <w:basedOn w:val="Tabelanormal"/>
    <w:uiPriority w:val="59"/>
    <w:rsid w:val="00657100"/>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cordion-tabbedtab-mobile">
    <w:name w:val="accordion-tabbed__tab-mobile"/>
    <w:basedOn w:val="Fontepargpadro"/>
    <w:rsid w:val="00D97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emf"/><Relationship Id="rId18"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4.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01596-4882-409C-A322-2850A5D90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2911</Words>
  <Characters>15720</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João Lucas</cp:lastModifiedBy>
  <cp:revision>5</cp:revision>
  <dcterms:created xsi:type="dcterms:W3CDTF">2023-06-25T14:18:00Z</dcterms:created>
  <dcterms:modified xsi:type="dcterms:W3CDTF">2023-06-25T14:26:00Z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