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324517"/>
    <w:bookmarkStart w:id="1" w:name="_Hlk1324670"/>
    <w:p w14:paraId="2140261F" w14:textId="77777777" w:rsidR="00BB4750" w:rsidRDefault="00CF38AD" w:rsidP="0039056D">
      <w:pPr>
        <w:pStyle w:val="BATitle"/>
        <w:spacing w:before="0" w:after="0" w:line="240" w:lineRule="auto"/>
        <w:ind w:right="0"/>
        <w:jc w:val="both"/>
        <w:rPr>
          <w:sz w:val="32"/>
          <w:lang w:val="pt-BR"/>
        </w:rPr>
      </w:pPr>
      <w:r>
        <w:rPr>
          <w:noProof/>
          <w:lang w:val="pt-BR"/>
        </w:rPr>
        <mc:AlternateContent>
          <mc:Choice Requires="wps">
            <w:drawing>
              <wp:anchor distT="0" distB="0" distL="114300" distR="114300" simplePos="0" relativeHeight="251661312" behindDoc="0" locked="0" layoutInCell="1" allowOverlap="1" wp14:anchorId="14F57FAA" wp14:editId="292F4CDD">
                <wp:simplePos x="0" y="0"/>
                <wp:positionH relativeFrom="margin">
                  <wp:posOffset>0</wp:posOffset>
                </wp:positionH>
                <wp:positionV relativeFrom="paragraph">
                  <wp:posOffset>-635</wp:posOffset>
                </wp:positionV>
                <wp:extent cx="6507480" cy="16764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w="12700" cap="flat" cmpd="sng" algn="ctr">
                          <a:noFill/>
                          <a:prstDash val="solid"/>
                          <a:miter lim="800000"/>
                        </a:ln>
                        <a:effectLst/>
                      </wps:spPr>
                      <wps:txbx>
                        <w:txbxContent>
                          <w:p w14:paraId="10DB73A5" w14:textId="77777777" w:rsidR="0039056D" w:rsidRPr="008C1B30" w:rsidRDefault="0039056D" w:rsidP="00CF38AD">
                            <w:pPr>
                              <w:pStyle w:val="BDAbstract"/>
                              <w:spacing w:before="0" w:after="0" w:line="240" w:lineRule="auto"/>
                              <w:rPr>
                                <w:rFonts w:cs="Helvetica"/>
                                <w:bCs/>
                                <w:sz w:val="20"/>
                                <w:lang w:val="pt-BR"/>
                              </w:rPr>
                            </w:pPr>
                          </w:p>
                          <w:p w14:paraId="4DF038FD" w14:textId="77777777" w:rsidR="0039056D" w:rsidRPr="008C1B30" w:rsidRDefault="0039056D" w:rsidP="00CF38AD">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57FAA" id="Retângulo 2" o:spid="_x0000_s1026" style="position:absolute;left:0;text-align:left;margin-left:0;margin-top:-.05pt;width:512.4pt;height:1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" fillcolor="#9a0000" stroked="f" strokeweight="1pt">
                <v:path arrowok="t"/>
                <v:textbox inset=",0,,0">
                  <w:txbxContent>
                    <w:p w14:paraId="10DB73A5" w14:textId="77777777" w:rsidR="0039056D" w:rsidRPr="008C1B30" w:rsidRDefault="0039056D" w:rsidP="00CF38AD">
                      <w:pPr>
                        <w:pStyle w:val="BDAbstract"/>
                        <w:spacing w:before="0" w:after="0" w:line="240" w:lineRule="auto"/>
                        <w:rPr>
                          <w:rFonts w:cs="Helvetica"/>
                          <w:bCs/>
                          <w:sz w:val="20"/>
                          <w:lang w:val="pt-BR"/>
                        </w:rPr>
                      </w:pPr>
                    </w:p>
                    <w:p w14:paraId="4DF038FD" w14:textId="77777777" w:rsidR="0039056D" w:rsidRPr="008C1B30" w:rsidRDefault="0039056D" w:rsidP="00CF38AD">
                      <w:pPr>
                        <w:pStyle w:val="SemEspaamento"/>
                      </w:pPr>
                    </w:p>
                  </w:txbxContent>
                </v:textbox>
                <w10:wrap anchorx="margin"/>
              </v:rect>
            </w:pict>
          </mc:Fallback>
        </mc:AlternateContent>
      </w:r>
    </w:p>
    <w:p w14:paraId="35033606" w14:textId="77777777" w:rsidR="00BB4750" w:rsidRDefault="00BB4750" w:rsidP="0039056D">
      <w:pPr>
        <w:pStyle w:val="BATitle"/>
        <w:spacing w:before="0" w:after="120" w:line="240" w:lineRule="auto"/>
        <w:ind w:right="0"/>
        <w:jc w:val="both"/>
        <w:rPr>
          <w:sz w:val="32"/>
          <w:lang w:val="pt-BR"/>
        </w:rPr>
      </w:pPr>
      <w:r>
        <w:rPr>
          <w:sz w:val="32"/>
          <w:lang w:val="pt-BR"/>
        </w:rPr>
        <w:t xml:space="preserve">Obtenção de óxidos mistos </w:t>
      </w:r>
      <w:proofErr w:type="spellStart"/>
      <w:r>
        <w:rPr>
          <w:sz w:val="32"/>
          <w:lang w:val="pt-BR"/>
        </w:rPr>
        <w:t>CoMoZnAl</w:t>
      </w:r>
      <w:proofErr w:type="spellEnd"/>
      <w:r>
        <w:rPr>
          <w:sz w:val="32"/>
          <w:lang w:val="pt-BR"/>
        </w:rPr>
        <w:t xml:space="preserve"> e </w:t>
      </w:r>
      <w:proofErr w:type="spellStart"/>
      <w:r>
        <w:rPr>
          <w:sz w:val="32"/>
          <w:lang w:val="pt-BR"/>
        </w:rPr>
        <w:t>CoMoMnAl</w:t>
      </w:r>
      <w:proofErr w:type="spellEnd"/>
      <w:r>
        <w:rPr>
          <w:sz w:val="32"/>
          <w:lang w:val="pt-BR"/>
        </w:rPr>
        <w:t xml:space="preserve"> derivados de </w:t>
      </w:r>
      <w:proofErr w:type="spellStart"/>
      <w:r>
        <w:rPr>
          <w:sz w:val="32"/>
          <w:lang w:val="pt-BR"/>
        </w:rPr>
        <w:t>hidrotalcitas</w:t>
      </w:r>
      <w:proofErr w:type="spellEnd"/>
      <w:r>
        <w:rPr>
          <w:sz w:val="32"/>
          <w:lang w:val="pt-BR"/>
        </w:rPr>
        <w:t xml:space="preserve"> – potenciais catalisadores para HDS do tiofeno.</w:t>
      </w:r>
    </w:p>
    <w:bookmarkEnd w:id="0"/>
    <w:p w14:paraId="573C57F3" w14:textId="77777777" w:rsidR="00BB4750" w:rsidRPr="00F660E6" w:rsidRDefault="00BB4750" w:rsidP="0039056D">
      <w:pPr>
        <w:pStyle w:val="BBAuthorName"/>
        <w:spacing w:after="160"/>
        <w:ind w:right="39"/>
        <w:jc w:val="both"/>
        <w:rPr>
          <w:rFonts w:ascii="Times New Roman" w:hAnsi="Times New Roman"/>
          <w:sz w:val="20"/>
          <w:lang w:val="pt-BR"/>
        </w:rPr>
      </w:pPr>
      <w:proofErr w:type="spellStart"/>
      <w:r>
        <w:rPr>
          <w:rFonts w:ascii="Times New Roman" w:hAnsi="Times New Roman"/>
          <w:sz w:val="20"/>
          <w:lang w:val="pt-BR"/>
        </w:rPr>
        <w:t>Weberton</w:t>
      </w:r>
      <w:proofErr w:type="spellEnd"/>
      <w:r>
        <w:rPr>
          <w:rFonts w:ascii="Times New Roman" w:hAnsi="Times New Roman"/>
          <w:sz w:val="20"/>
          <w:lang w:val="pt-BR"/>
        </w:rPr>
        <w:t xml:space="preserve"> Reis do Carmo </w:t>
      </w:r>
      <w:r w:rsidRPr="001F25B2">
        <w:rPr>
          <w:rFonts w:ascii="Times New Roman" w:hAnsi="Times New Roman"/>
          <w:sz w:val="20"/>
          <w:vertAlign w:val="superscript"/>
          <w:lang w:val="pt-BR"/>
        </w:rPr>
        <w:t>1</w:t>
      </w:r>
      <w:r>
        <w:rPr>
          <w:rFonts w:ascii="Times New Roman" w:hAnsi="Times New Roman"/>
          <w:sz w:val="20"/>
          <w:lang w:val="pt-BR"/>
        </w:rPr>
        <w:t xml:space="preserve">, </w:t>
      </w:r>
      <w:r w:rsidRPr="00F660E6">
        <w:rPr>
          <w:rFonts w:ascii="Times New Roman" w:hAnsi="Times New Roman"/>
          <w:sz w:val="20"/>
          <w:lang w:val="pt-BR"/>
        </w:rPr>
        <w:t xml:space="preserve">Luz Amparo </w:t>
      </w:r>
      <w:proofErr w:type="spellStart"/>
      <w:r>
        <w:rPr>
          <w:rFonts w:ascii="Times New Roman" w:hAnsi="Times New Roman"/>
          <w:sz w:val="20"/>
          <w:lang w:val="pt-BR"/>
        </w:rPr>
        <w:t>Palacio</w:t>
      </w:r>
      <w:proofErr w:type="spellEnd"/>
      <w:r>
        <w:rPr>
          <w:rFonts w:ascii="Times New Roman" w:hAnsi="Times New Roman"/>
          <w:sz w:val="20"/>
          <w:lang w:val="pt-BR"/>
        </w:rPr>
        <w:t xml:space="preserve"> Santos </w:t>
      </w:r>
      <w:proofErr w:type="gramStart"/>
      <w:r w:rsidRPr="00F660E6">
        <w:rPr>
          <w:rFonts w:ascii="Times New Roman" w:hAnsi="Times New Roman"/>
          <w:sz w:val="20"/>
          <w:vertAlign w:val="superscript"/>
          <w:lang w:val="pt-BR"/>
        </w:rPr>
        <w:t>2</w:t>
      </w:r>
      <w:r>
        <w:rPr>
          <w:rFonts w:ascii="Times New Roman" w:hAnsi="Times New Roman"/>
          <w:sz w:val="20"/>
          <w:lang w:val="pt-BR"/>
        </w:rPr>
        <w:t xml:space="preserve">, </w:t>
      </w:r>
      <w:r w:rsidRPr="00F660E6">
        <w:rPr>
          <w:rFonts w:ascii="Times New Roman" w:hAnsi="Times New Roman"/>
          <w:sz w:val="20"/>
          <w:vertAlign w:val="superscript"/>
          <w:lang w:val="pt-BR"/>
        </w:rPr>
        <w:t xml:space="preserve"> </w:t>
      </w:r>
      <w:r w:rsidRPr="00F660E6">
        <w:rPr>
          <w:rFonts w:ascii="Times New Roman" w:hAnsi="Times New Roman"/>
          <w:sz w:val="20"/>
          <w:lang w:val="pt-BR"/>
        </w:rPr>
        <w:t>Sandra</w:t>
      </w:r>
      <w:proofErr w:type="gramEnd"/>
      <w:r w:rsidRPr="00F660E6">
        <w:rPr>
          <w:rFonts w:ascii="Times New Roman" w:hAnsi="Times New Roman"/>
          <w:sz w:val="20"/>
          <w:lang w:val="pt-BR"/>
        </w:rPr>
        <w:t xml:space="preserve"> Shirley </w:t>
      </w:r>
      <w:proofErr w:type="spellStart"/>
      <w:r w:rsidRPr="00F660E6">
        <w:rPr>
          <w:rFonts w:ascii="Times New Roman" w:hAnsi="Times New Roman"/>
          <w:sz w:val="20"/>
          <w:lang w:val="pt-BR"/>
        </w:rPr>
        <w:t>Ximeno</w:t>
      </w:r>
      <w:proofErr w:type="spellEnd"/>
      <w:r>
        <w:rPr>
          <w:rFonts w:ascii="Times New Roman" w:hAnsi="Times New Roman"/>
          <w:sz w:val="20"/>
          <w:lang w:val="pt-BR"/>
        </w:rPr>
        <w:t xml:space="preserve"> </w:t>
      </w:r>
      <w:proofErr w:type="spellStart"/>
      <w:r>
        <w:rPr>
          <w:rFonts w:ascii="Times New Roman" w:hAnsi="Times New Roman"/>
          <w:sz w:val="20"/>
          <w:lang w:val="pt-BR"/>
        </w:rPr>
        <w:t>Chiaro</w:t>
      </w:r>
      <w:proofErr w:type="spellEnd"/>
      <w:r>
        <w:rPr>
          <w:rFonts w:ascii="Times New Roman" w:hAnsi="Times New Roman"/>
          <w:sz w:val="20"/>
          <w:lang w:val="pt-BR"/>
        </w:rPr>
        <w:t xml:space="preserve"> </w:t>
      </w:r>
      <w:r w:rsidRPr="00F660E6">
        <w:rPr>
          <w:rFonts w:ascii="Times New Roman" w:hAnsi="Times New Roman"/>
          <w:sz w:val="20"/>
          <w:vertAlign w:val="superscript"/>
          <w:lang w:val="pt-BR"/>
        </w:rPr>
        <w:t>3</w:t>
      </w:r>
      <w:r>
        <w:rPr>
          <w:rFonts w:ascii="Times New Roman" w:hAnsi="Times New Roman"/>
          <w:sz w:val="20"/>
          <w:lang w:val="pt-BR"/>
        </w:rPr>
        <w:t xml:space="preserve">, </w:t>
      </w:r>
      <w:r w:rsidRPr="00F660E6">
        <w:rPr>
          <w:rFonts w:ascii="Times New Roman" w:hAnsi="Times New Roman"/>
          <w:sz w:val="20"/>
          <w:vertAlign w:val="superscript"/>
          <w:lang w:val="pt-BR"/>
        </w:rPr>
        <w:t xml:space="preserve"> </w:t>
      </w:r>
      <w:r>
        <w:rPr>
          <w:rFonts w:ascii="Times New Roman" w:hAnsi="Times New Roman"/>
          <w:sz w:val="20"/>
          <w:lang w:val="pt-BR"/>
        </w:rPr>
        <w:t>Arnaldo da Costa Faro Júnior</w:t>
      </w:r>
      <w:r w:rsidRPr="00F660E6">
        <w:rPr>
          <w:rFonts w:ascii="Times New Roman" w:hAnsi="Times New Roman"/>
          <w:sz w:val="20"/>
          <w:lang w:val="pt-BR"/>
        </w:rPr>
        <w:t xml:space="preserve"> </w:t>
      </w:r>
      <w:r w:rsidRPr="00F660E6">
        <w:rPr>
          <w:rFonts w:ascii="Times New Roman" w:hAnsi="Times New Roman"/>
          <w:sz w:val="20"/>
          <w:vertAlign w:val="superscript"/>
          <w:lang w:val="pt-BR"/>
        </w:rPr>
        <w:t xml:space="preserve">1 </w:t>
      </w:r>
      <w:r>
        <w:rPr>
          <w:rFonts w:ascii="Times New Roman" w:hAnsi="Times New Roman"/>
          <w:sz w:val="20"/>
          <w:lang w:val="pt-BR"/>
        </w:rPr>
        <w:t xml:space="preserve">, </w:t>
      </w:r>
      <w:r w:rsidRPr="00F660E6">
        <w:rPr>
          <w:rFonts w:ascii="Times New Roman" w:hAnsi="Times New Roman"/>
          <w:sz w:val="20"/>
          <w:lang w:val="pt-BR"/>
        </w:rPr>
        <w:t xml:space="preserve">Victor de Oliveira Rodrigues </w:t>
      </w:r>
      <w:r w:rsidRPr="00F660E6">
        <w:rPr>
          <w:rFonts w:ascii="Times New Roman" w:hAnsi="Times New Roman"/>
          <w:sz w:val="20"/>
          <w:vertAlign w:val="superscript"/>
          <w:lang w:val="pt-BR"/>
        </w:rPr>
        <w:t xml:space="preserve">1* </w:t>
      </w:r>
    </w:p>
    <w:p w14:paraId="4106E1F7" w14:textId="77777777" w:rsidR="00BB4750" w:rsidRDefault="00BB4750" w:rsidP="0039056D">
      <w:pPr>
        <w:pStyle w:val="BCAuthorAddress"/>
        <w:spacing w:after="0"/>
        <w:ind w:right="0"/>
        <w:jc w:val="both"/>
        <w:rPr>
          <w:lang w:val="pt-BR"/>
        </w:rPr>
      </w:pPr>
      <w:r w:rsidRPr="004B47B9">
        <w:rPr>
          <w:vertAlign w:val="superscript"/>
          <w:lang w:val="pt-BR"/>
        </w:rPr>
        <w:t>1</w:t>
      </w:r>
      <w:r w:rsidRPr="004B47B9">
        <w:rPr>
          <w:lang w:val="pt-BR"/>
        </w:rPr>
        <w:t>Universidade Federal do Rio de Janeiro, Av.</w:t>
      </w:r>
      <w:r>
        <w:rPr>
          <w:lang w:val="pt-BR"/>
        </w:rPr>
        <w:t xml:space="preserve"> </w:t>
      </w:r>
      <w:proofErr w:type="spellStart"/>
      <w:r w:rsidRPr="004B47B9">
        <w:rPr>
          <w:lang w:val="pt-BR"/>
        </w:rPr>
        <w:t>Athos</w:t>
      </w:r>
      <w:proofErr w:type="spellEnd"/>
      <w:r w:rsidRPr="004B47B9">
        <w:rPr>
          <w:lang w:val="pt-BR"/>
        </w:rPr>
        <w:t xml:space="preserve"> da Silveira Ramos 14-,</w:t>
      </w:r>
      <w:r>
        <w:rPr>
          <w:lang w:val="pt-BR"/>
        </w:rPr>
        <w:t xml:space="preserve"> </w:t>
      </w:r>
      <w:r w:rsidRPr="004B47B9">
        <w:rPr>
          <w:lang w:val="pt-BR"/>
        </w:rPr>
        <w:t xml:space="preserve">Instituto de química - Rio de janeiro –RJ. </w:t>
      </w:r>
      <w:r w:rsidRPr="00EC68BE">
        <w:rPr>
          <w:vertAlign w:val="superscript"/>
          <w:lang w:val="pt-BR"/>
        </w:rPr>
        <w:t>2</w:t>
      </w:r>
      <w:r w:rsidRPr="004B47B9">
        <w:rPr>
          <w:lang w:val="pt-BR"/>
        </w:rPr>
        <w:t xml:space="preserve">Universidade do Estado do Rio de Janeiro Rua São Francisco Xavier, 524-Instituto de química - Rio de Janeiro –RJ. </w:t>
      </w:r>
      <w:r w:rsidRPr="00EC68BE">
        <w:rPr>
          <w:vertAlign w:val="superscript"/>
          <w:lang w:val="pt-BR"/>
        </w:rPr>
        <w:t>3</w:t>
      </w:r>
      <w:r w:rsidRPr="004B47B9">
        <w:rPr>
          <w:lang w:val="pt-BR"/>
        </w:rPr>
        <w:t>Cenpes- Petrobra</w:t>
      </w:r>
      <w:r>
        <w:rPr>
          <w:lang w:val="pt-BR"/>
        </w:rPr>
        <w:t>s</w:t>
      </w:r>
      <w:r w:rsidRPr="004B47B9">
        <w:rPr>
          <w:lang w:val="pt-BR"/>
        </w:rPr>
        <w:t xml:space="preserve">, Rio de Janeiro –RJ. * </w:t>
      </w:r>
      <w:proofErr w:type="gramStart"/>
      <w:r w:rsidRPr="004B47B9">
        <w:rPr>
          <w:lang w:val="pt-BR"/>
        </w:rPr>
        <w:t>e-mail:vicerodrigues@gmail.com</w:t>
      </w:r>
      <w:proofErr w:type="gramEnd"/>
    </w:p>
    <w:p w14:paraId="40178EA8" w14:textId="77777777" w:rsidR="00BB4750" w:rsidRDefault="00CF38AD" w:rsidP="0039056D">
      <w:pPr>
        <w:pStyle w:val="BDAbstract"/>
        <w:spacing w:before="0" w:after="0" w:line="240" w:lineRule="auto"/>
        <w:rPr>
          <w:rFonts w:ascii="Times New Roman" w:hAnsi="Times New Roman"/>
          <w:b w:val="0"/>
          <w:sz w:val="20"/>
          <w:lang w:val="pt-BR"/>
        </w:rPr>
      </w:pPr>
      <w:r>
        <w:rPr>
          <w:noProof/>
          <w:lang w:val="pt-BR"/>
        </w:rPr>
        <mc:AlternateContent>
          <mc:Choice Requires="wps">
            <w:drawing>
              <wp:anchor distT="0" distB="0" distL="114300" distR="114300" simplePos="0" relativeHeight="251663360" behindDoc="0" locked="0" layoutInCell="1" allowOverlap="1" wp14:anchorId="16A4854B" wp14:editId="409A3AE7">
                <wp:simplePos x="0" y="0"/>
                <wp:positionH relativeFrom="margin">
                  <wp:posOffset>0</wp:posOffset>
                </wp:positionH>
                <wp:positionV relativeFrom="paragraph">
                  <wp:posOffset>-635</wp:posOffset>
                </wp:positionV>
                <wp:extent cx="6507480" cy="16764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w="12700" cap="flat" cmpd="sng" algn="ctr">
                          <a:noFill/>
                          <a:prstDash val="solid"/>
                          <a:miter lim="800000"/>
                        </a:ln>
                        <a:effectLst/>
                      </wps:spPr>
                      <wps:txbx>
                        <w:txbxContent>
                          <w:p w14:paraId="57BCEF37" w14:textId="77777777" w:rsidR="0039056D" w:rsidRPr="008C1B30" w:rsidRDefault="0039056D" w:rsidP="00CF38AD">
                            <w:pPr>
                              <w:pStyle w:val="BDAbstract"/>
                              <w:spacing w:before="0" w:after="0" w:line="240" w:lineRule="auto"/>
                              <w:jc w:val="center"/>
                              <w:rPr>
                                <w:rFonts w:cs="Helvetica"/>
                                <w:bCs/>
                                <w:sz w:val="20"/>
                                <w:lang w:val="pt-BR"/>
                              </w:rPr>
                            </w:pPr>
                            <w:r w:rsidRPr="008C1B30">
                              <w:rPr>
                                <w:rFonts w:cs="Helvetica"/>
                                <w:bCs/>
                                <w:sz w:val="20"/>
                                <w:lang w:val="pt-BR"/>
                              </w:rPr>
                              <w:t>Resu</w:t>
                            </w:r>
                            <w:r>
                              <w:rPr>
                                <w:rFonts w:cs="Helvetica"/>
                                <w:bCs/>
                                <w:sz w:val="20"/>
                                <w:lang w:val="pt-BR"/>
                              </w:rPr>
                              <w:t>mo/Abstract</w:t>
                            </w:r>
                          </w:p>
                          <w:p w14:paraId="0631F610" w14:textId="77777777" w:rsidR="0039056D" w:rsidRPr="008C1B30" w:rsidRDefault="0039056D" w:rsidP="00CF38AD">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854B" id="Retângulo 1" o:spid="_x0000_s1027" style="position:absolute;left:0;text-align:left;margin-left:0;margin-top:-.05pt;width:512.4pt;height:1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" fillcolor="#9a0000" stroked="f" strokeweight="1pt">
                <v:path arrowok="t"/>
                <v:textbox inset=",0,,0">
                  <w:txbxContent>
                    <w:p w14:paraId="57BCEF37" w14:textId="77777777" w:rsidR="0039056D" w:rsidRPr="008C1B30" w:rsidRDefault="0039056D" w:rsidP="00CF38AD">
                      <w:pPr>
                        <w:pStyle w:val="BDAbstract"/>
                        <w:spacing w:before="0" w:after="0" w:line="240" w:lineRule="auto"/>
                        <w:jc w:val="center"/>
                        <w:rPr>
                          <w:rFonts w:cs="Helvetica"/>
                          <w:bCs/>
                          <w:sz w:val="20"/>
                          <w:lang w:val="pt-BR"/>
                        </w:rPr>
                      </w:pPr>
                      <w:r w:rsidRPr="008C1B30">
                        <w:rPr>
                          <w:rFonts w:cs="Helvetica"/>
                          <w:bCs/>
                          <w:sz w:val="20"/>
                          <w:lang w:val="pt-BR"/>
                        </w:rPr>
                        <w:t>Resu</w:t>
                      </w:r>
                      <w:r>
                        <w:rPr>
                          <w:rFonts w:cs="Helvetica"/>
                          <w:bCs/>
                          <w:sz w:val="20"/>
                          <w:lang w:val="pt-BR"/>
                        </w:rPr>
                        <w:t>mo/Abstract</w:t>
                      </w:r>
                    </w:p>
                    <w:p w14:paraId="0631F610" w14:textId="77777777" w:rsidR="0039056D" w:rsidRPr="008C1B30" w:rsidRDefault="0039056D" w:rsidP="00CF38AD">
                      <w:pPr>
                        <w:pStyle w:val="SemEspaamento"/>
                      </w:pPr>
                    </w:p>
                  </w:txbxContent>
                </v:textbox>
                <w10:wrap anchorx="margin"/>
              </v:rect>
            </w:pict>
          </mc:Fallback>
        </mc:AlternateContent>
      </w:r>
    </w:p>
    <w:p w14:paraId="62C89946" w14:textId="77777777" w:rsidR="00BB4750" w:rsidRDefault="00BB4750" w:rsidP="0039056D">
      <w:pPr>
        <w:pStyle w:val="BDAbstract"/>
        <w:spacing w:before="0" w:after="0" w:line="240" w:lineRule="auto"/>
        <w:rPr>
          <w:rFonts w:ascii="Times New Roman" w:hAnsi="Times New Roman"/>
          <w:b w:val="0"/>
          <w:sz w:val="20"/>
          <w:lang w:val="pt-BR"/>
        </w:rPr>
      </w:pPr>
    </w:p>
    <w:p w14:paraId="44ACEEE4" w14:textId="11E0FA64" w:rsidR="00BB4750" w:rsidRDefault="00BB4750" w:rsidP="0039056D">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A obtenção dos óxidos mistos derivados de compostos do tipo </w:t>
      </w:r>
      <w:proofErr w:type="spellStart"/>
      <w:r>
        <w:rPr>
          <w:rFonts w:ascii="Times New Roman" w:hAnsi="Times New Roman"/>
          <w:b w:val="0"/>
          <w:sz w:val="20"/>
          <w:lang w:val="pt-BR"/>
        </w:rPr>
        <w:t>hidrotalcitas</w:t>
      </w:r>
      <w:proofErr w:type="spellEnd"/>
      <w:r>
        <w:rPr>
          <w:rFonts w:ascii="Times New Roman" w:hAnsi="Times New Roman"/>
          <w:b w:val="0"/>
          <w:sz w:val="20"/>
          <w:lang w:val="pt-BR"/>
        </w:rPr>
        <w:t xml:space="preserve"> de diferentes composições, </w:t>
      </w:r>
      <w:proofErr w:type="spellStart"/>
      <w:r>
        <w:rPr>
          <w:rFonts w:ascii="Times New Roman" w:hAnsi="Times New Roman"/>
          <w:b w:val="0"/>
          <w:sz w:val="20"/>
          <w:lang w:val="pt-BR"/>
        </w:rPr>
        <w:t>CoMoZnAl</w:t>
      </w:r>
      <w:proofErr w:type="spellEnd"/>
      <w:r>
        <w:rPr>
          <w:rFonts w:ascii="Times New Roman" w:hAnsi="Times New Roman"/>
          <w:b w:val="0"/>
          <w:sz w:val="20"/>
          <w:lang w:val="pt-BR"/>
        </w:rPr>
        <w:t xml:space="preserve"> e </w:t>
      </w:r>
      <w:proofErr w:type="spellStart"/>
      <w:r>
        <w:rPr>
          <w:rFonts w:ascii="Times New Roman" w:hAnsi="Times New Roman"/>
          <w:b w:val="0"/>
          <w:sz w:val="20"/>
          <w:lang w:val="pt-BR"/>
        </w:rPr>
        <w:t>CoMoMnAl</w:t>
      </w:r>
      <w:proofErr w:type="spellEnd"/>
      <w:r>
        <w:rPr>
          <w:rFonts w:ascii="Times New Roman" w:hAnsi="Times New Roman"/>
          <w:b w:val="0"/>
          <w:sz w:val="20"/>
          <w:lang w:val="pt-BR"/>
        </w:rPr>
        <w:t xml:space="preserve">, que serão utilizados como catalisadores para testes em HDS de tiofeno, estão descritos neste trabalho. As caracterizações dos materiais precursores, sugerem a formação da fase da </w:t>
      </w:r>
      <w:proofErr w:type="spellStart"/>
      <w:r>
        <w:rPr>
          <w:rFonts w:ascii="Times New Roman" w:hAnsi="Times New Roman"/>
          <w:b w:val="0"/>
          <w:sz w:val="20"/>
          <w:lang w:val="pt-BR"/>
        </w:rPr>
        <w:t>hidrotalcita</w:t>
      </w:r>
      <w:proofErr w:type="spellEnd"/>
      <w:r>
        <w:rPr>
          <w:rFonts w:ascii="Times New Roman" w:hAnsi="Times New Roman"/>
          <w:b w:val="0"/>
          <w:sz w:val="20"/>
          <w:lang w:val="pt-BR"/>
        </w:rPr>
        <w:t xml:space="preserve"> com o ânion tereftalato intercalado na região entre as lamelas. As condições de troca iônica se mostraram apropriadas para inserção de espécies de </w:t>
      </w:r>
      <w:proofErr w:type="spellStart"/>
      <w:r>
        <w:rPr>
          <w:rFonts w:ascii="Times New Roman" w:hAnsi="Times New Roman"/>
          <w:b w:val="0"/>
          <w:sz w:val="20"/>
          <w:lang w:val="pt-BR"/>
        </w:rPr>
        <w:t>molibdato</w:t>
      </w:r>
      <w:proofErr w:type="spellEnd"/>
      <w:r>
        <w:rPr>
          <w:rFonts w:ascii="Times New Roman" w:hAnsi="Times New Roman"/>
          <w:b w:val="0"/>
          <w:sz w:val="20"/>
          <w:lang w:val="pt-BR"/>
        </w:rPr>
        <w:t xml:space="preserve"> na região </w:t>
      </w:r>
      <w:proofErr w:type="spellStart"/>
      <w:r>
        <w:rPr>
          <w:rFonts w:ascii="Times New Roman" w:hAnsi="Times New Roman"/>
          <w:b w:val="0"/>
          <w:sz w:val="20"/>
          <w:lang w:val="pt-BR"/>
        </w:rPr>
        <w:t>interlamenlar</w:t>
      </w:r>
      <w:proofErr w:type="spellEnd"/>
      <w:r>
        <w:rPr>
          <w:rFonts w:ascii="Times New Roman" w:hAnsi="Times New Roman"/>
          <w:b w:val="0"/>
          <w:sz w:val="20"/>
          <w:lang w:val="pt-BR"/>
        </w:rPr>
        <w:t xml:space="preserve">. A análise por ICP dos óxidos mistos formados após a calcinação mostraram que a quantidade de </w:t>
      </w:r>
      <w:proofErr w:type="spellStart"/>
      <w:r>
        <w:rPr>
          <w:rFonts w:ascii="Times New Roman" w:hAnsi="Times New Roman"/>
          <w:b w:val="0"/>
          <w:sz w:val="20"/>
          <w:lang w:val="pt-BR"/>
        </w:rPr>
        <w:t>Mo</w:t>
      </w:r>
      <w:proofErr w:type="spellEnd"/>
      <w:r>
        <w:rPr>
          <w:rFonts w:ascii="Times New Roman" w:hAnsi="Times New Roman"/>
          <w:b w:val="0"/>
          <w:sz w:val="20"/>
          <w:lang w:val="pt-BR"/>
        </w:rPr>
        <w:t xml:space="preserve"> está próximo do esperado para as amostras da série contendo Zn, ao passo, que o mesmo não foi observado para amostras contendo Mn. A análise das propriedades </w:t>
      </w:r>
      <w:proofErr w:type="spellStart"/>
      <w:r>
        <w:rPr>
          <w:rFonts w:ascii="Times New Roman" w:hAnsi="Times New Roman"/>
          <w:b w:val="0"/>
          <w:sz w:val="20"/>
          <w:lang w:val="pt-BR"/>
        </w:rPr>
        <w:t>texturais</w:t>
      </w:r>
      <w:proofErr w:type="spellEnd"/>
      <w:r>
        <w:rPr>
          <w:rFonts w:ascii="Times New Roman" w:hAnsi="Times New Roman"/>
          <w:b w:val="0"/>
          <w:sz w:val="20"/>
          <w:lang w:val="pt-BR"/>
        </w:rPr>
        <w:t xml:space="preserve"> dos óxidos revelaram que as amostras da série </w:t>
      </w:r>
      <w:r w:rsidR="009522DE">
        <w:rPr>
          <w:rFonts w:ascii="Times New Roman" w:hAnsi="Times New Roman"/>
          <w:b w:val="0"/>
          <w:sz w:val="20"/>
          <w:lang w:val="pt-BR"/>
        </w:rPr>
        <w:t>de Mn possuem maior área especí</w:t>
      </w:r>
      <w:r>
        <w:rPr>
          <w:rFonts w:ascii="Times New Roman" w:hAnsi="Times New Roman"/>
          <w:b w:val="0"/>
          <w:sz w:val="20"/>
          <w:lang w:val="pt-BR"/>
        </w:rPr>
        <w:t xml:space="preserve">fica em relação aos compostos obtidos pelos precursores de Zn, sugerindo assim, uma promoção </w:t>
      </w:r>
      <w:proofErr w:type="spellStart"/>
      <w:r>
        <w:rPr>
          <w:rFonts w:ascii="Times New Roman" w:hAnsi="Times New Roman"/>
          <w:b w:val="0"/>
          <w:sz w:val="20"/>
          <w:lang w:val="pt-BR"/>
        </w:rPr>
        <w:t>textural</w:t>
      </w:r>
      <w:proofErr w:type="spellEnd"/>
      <w:r>
        <w:rPr>
          <w:rFonts w:ascii="Times New Roman" w:hAnsi="Times New Roman"/>
          <w:b w:val="0"/>
          <w:sz w:val="20"/>
          <w:lang w:val="pt-BR"/>
        </w:rPr>
        <w:t xml:space="preserve"> por parte do Mn. O pico de difração de raios X da fase </w:t>
      </w:r>
      <w:r w:rsidRPr="00B62958">
        <w:rPr>
          <w:rFonts w:ascii="Times New Roman" w:hAnsi="Times New Roman"/>
          <w:b w:val="0"/>
          <w:sz w:val="20"/>
          <w:lang w:val="pt-BR"/>
        </w:rPr>
        <w:t>β-CoMoO</w:t>
      </w:r>
      <w:r w:rsidRPr="00B62958">
        <w:rPr>
          <w:rFonts w:ascii="Times New Roman" w:hAnsi="Times New Roman"/>
          <w:b w:val="0"/>
          <w:sz w:val="20"/>
          <w:vertAlign w:val="subscript"/>
          <w:lang w:val="pt-BR"/>
        </w:rPr>
        <w:t>4</w:t>
      </w:r>
      <w:r>
        <w:rPr>
          <w:rFonts w:ascii="Times New Roman" w:hAnsi="Times New Roman"/>
          <w:b w:val="0"/>
          <w:sz w:val="20"/>
          <w:lang w:val="pt-BR"/>
        </w:rPr>
        <w:t xml:space="preserve">, apareceu de maneira mais pronunciada para as amostras da série de Zn do que para a série de Mn. </w:t>
      </w:r>
    </w:p>
    <w:p w14:paraId="39558036" w14:textId="77777777" w:rsidR="00BB4750" w:rsidRDefault="00BB4750" w:rsidP="0039056D">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proofErr w:type="spellStart"/>
      <w:r>
        <w:rPr>
          <w:rFonts w:ascii="Times New Roman" w:hAnsi="Times New Roman"/>
          <w:b w:val="0"/>
          <w:i/>
          <w:sz w:val="20"/>
          <w:lang w:val="pt-BR"/>
        </w:rPr>
        <w:t>hidrotalcitas</w:t>
      </w:r>
      <w:proofErr w:type="spellEnd"/>
      <w:r>
        <w:rPr>
          <w:rFonts w:ascii="Times New Roman" w:hAnsi="Times New Roman"/>
          <w:b w:val="0"/>
          <w:i/>
          <w:sz w:val="20"/>
          <w:lang w:val="pt-BR"/>
        </w:rPr>
        <w:t>, óxidos mistos, catalisadores.</w:t>
      </w:r>
    </w:p>
    <w:p w14:paraId="20247A3A" w14:textId="77777777" w:rsidR="00BB4750" w:rsidRPr="00DA4DFC" w:rsidRDefault="00BB4750" w:rsidP="0039056D">
      <w:pPr>
        <w:pStyle w:val="BDAbstract"/>
        <w:spacing w:before="0" w:after="0" w:line="240" w:lineRule="auto"/>
        <w:rPr>
          <w:rFonts w:ascii="Times New Roman" w:hAnsi="Times New Roman"/>
          <w:b w:val="0"/>
          <w:sz w:val="20"/>
          <w:lang w:val="pt-BR"/>
        </w:rPr>
      </w:pPr>
    </w:p>
    <w:p w14:paraId="3271B80C" w14:textId="77777777" w:rsidR="00BB4750" w:rsidRPr="00D44093" w:rsidRDefault="00BB4750" w:rsidP="0039056D">
      <w:pPr>
        <w:pStyle w:val="BDAbstract"/>
        <w:spacing w:before="0" w:after="0" w:line="240" w:lineRule="auto"/>
        <w:rPr>
          <w:rFonts w:ascii="Times New Roman" w:hAnsi="Times New Roman"/>
          <w:b w:val="0"/>
          <w:sz w:val="20"/>
        </w:rPr>
      </w:pPr>
      <w:r w:rsidRPr="00D44093">
        <w:rPr>
          <w:rFonts w:ascii="Times New Roman" w:hAnsi="Times New Roman"/>
          <w:b w:val="0"/>
          <w:sz w:val="20"/>
        </w:rPr>
        <w:t xml:space="preserve">ABSTRACT - In this work are described the </w:t>
      </w:r>
      <w:r w:rsidRPr="00D44093">
        <w:rPr>
          <w:rFonts w:ascii="Times New Roman" w:hAnsi="Times New Roman"/>
          <w:b w:val="0"/>
          <w:sz w:val="20"/>
          <w:lang w:val="en"/>
        </w:rPr>
        <w:t xml:space="preserve">obtaining mixed oxides derived from </w:t>
      </w:r>
      <w:proofErr w:type="spellStart"/>
      <w:r w:rsidRPr="00D44093">
        <w:rPr>
          <w:rFonts w:ascii="Times New Roman" w:hAnsi="Times New Roman"/>
          <w:b w:val="0"/>
          <w:sz w:val="20"/>
          <w:lang w:val="en"/>
        </w:rPr>
        <w:t>hydrotalcite</w:t>
      </w:r>
      <w:proofErr w:type="spellEnd"/>
      <w:r w:rsidRPr="00D44093">
        <w:rPr>
          <w:rFonts w:ascii="Times New Roman" w:hAnsi="Times New Roman"/>
          <w:b w:val="0"/>
          <w:sz w:val="20"/>
          <w:lang w:val="en"/>
        </w:rPr>
        <w:t xml:space="preserve">-type compounds of different compositions, </w:t>
      </w:r>
      <w:proofErr w:type="spellStart"/>
      <w:r w:rsidRPr="00D44093">
        <w:rPr>
          <w:rFonts w:ascii="Times New Roman" w:hAnsi="Times New Roman"/>
          <w:b w:val="0"/>
          <w:sz w:val="20"/>
          <w:lang w:val="en"/>
        </w:rPr>
        <w:t>CoMoZnAl</w:t>
      </w:r>
      <w:proofErr w:type="spellEnd"/>
      <w:r w:rsidRPr="00D44093">
        <w:rPr>
          <w:rFonts w:ascii="Times New Roman" w:hAnsi="Times New Roman"/>
          <w:b w:val="0"/>
          <w:sz w:val="20"/>
          <w:lang w:val="en"/>
        </w:rPr>
        <w:t xml:space="preserve"> and </w:t>
      </w:r>
      <w:proofErr w:type="spellStart"/>
      <w:r w:rsidRPr="00D44093">
        <w:rPr>
          <w:rFonts w:ascii="Times New Roman" w:hAnsi="Times New Roman"/>
          <w:b w:val="0"/>
          <w:sz w:val="20"/>
          <w:lang w:val="en"/>
        </w:rPr>
        <w:t>CoMoMnAl</w:t>
      </w:r>
      <w:proofErr w:type="spellEnd"/>
      <w:r w:rsidRPr="00D44093">
        <w:rPr>
          <w:rFonts w:ascii="Times New Roman" w:hAnsi="Times New Roman"/>
          <w:b w:val="0"/>
          <w:sz w:val="20"/>
          <w:lang w:val="en"/>
        </w:rPr>
        <w:t xml:space="preserve">, which will be used as HDS </w:t>
      </w:r>
      <w:proofErr w:type="spellStart"/>
      <w:r w:rsidRPr="00D44093">
        <w:rPr>
          <w:rFonts w:ascii="Times New Roman" w:hAnsi="Times New Roman"/>
          <w:b w:val="0"/>
          <w:sz w:val="20"/>
          <w:lang w:val="en"/>
        </w:rPr>
        <w:t>thiophene</w:t>
      </w:r>
      <w:proofErr w:type="spellEnd"/>
      <w:r w:rsidRPr="00D44093">
        <w:rPr>
          <w:rFonts w:ascii="Times New Roman" w:hAnsi="Times New Roman"/>
          <w:b w:val="0"/>
          <w:sz w:val="20"/>
          <w:lang w:val="en"/>
        </w:rPr>
        <w:t xml:space="preserve"> catalysts. The characterizations of the precursor materials suggest the formation of the </w:t>
      </w:r>
      <w:proofErr w:type="spellStart"/>
      <w:r w:rsidRPr="00D44093">
        <w:rPr>
          <w:rFonts w:ascii="Times New Roman" w:hAnsi="Times New Roman"/>
          <w:b w:val="0"/>
          <w:sz w:val="20"/>
          <w:lang w:val="en"/>
        </w:rPr>
        <w:t>hydrotalcite</w:t>
      </w:r>
      <w:proofErr w:type="spellEnd"/>
      <w:r w:rsidRPr="00D44093">
        <w:rPr>
          <w:rFonts w:ascii="Times New Roman" w:hAnsi="Times New Roman"/>
          <w:b w:val="0"/>
          <w:sz w:val="20"/>
          <w:lang w:val="en"/>
        </w:rPr>
        <w:t xml:space="preserve"> phase with the terephthalate anion intercalated in the region between the layers. The ion exchange conditions were appropriate for the insertion of </w:t>
      </w:r>
      <w:proofErr w:type="spellStart"/>
      <w:r w:rsidRPr="00D44093">
        <w:rPr>
          <w:rFonts w:ascii="Times New Roman" w:hAnsi="Times New Roman"/>
          <w:b w:val="0"/>
          <w:sz w:val="20"/>
          <w:lang w:val="en"/>
        </w:rPr>
        <w:t>molybdate</w:t>
      </w:r>
      <w:proofErr w:type="spellEnd"/>
      <w:r w:rsidRPr="00D44093">
        <w:rPr>
          <w:rFonts w:ascii="Times New Roman" w:hAnsi="Times New Roman"/>
          <w:b w:val="0"/>
          <w:sz w:val="20"/>
          <w:lang w:val="en"/>
        </w:rPr>
        <w:t xml:space="preserve"> species in the interlayer region. The ICP analysis of the mixed oxides formed after calcination showed that the amount of Mo is close to that expected for the samples of the series containing </w:t>
      </w:r>
      <w:proofErr w:type="gramStart"/>
      <w:r w:rsidRPr="00D44093">
        <w:rPr>
          <w:rFonts w:ascii="Times New Roman" w:hAnsi="Times New Roman"/>
          <w:b w:val="0"/>
          <w:sz w:val="20"/>
          <w:lang w:val="en"/>
        </w:rPr>
        <w:t>Zn,</w:t>
      </w:r>
      <w:proofErr w:type="gramEnd"/>
      <w:r w:rsidRPr="00D44093">
        <w:rPr>
          <w:rFonts w:ascii="Times New Roman" w:hAnsi="Times New Roman"/>
          <w:b w:val="0"/>
          <w:sz w:val="20"/>
          <w:lang w:val="en"/>
        </w:rPr>
        <w:t xml:space="preserve"> </w:t>
      </w:r>
      <w:r>
        <w:rPr>
          <w:rFonts w:ascii="Times New Roman" w:hAnsi="Times New Roman"/>
          <w:b w:val="0"/>
          <w:sz w:val="20"/>
          <w:lang w:val="en"/>
        </w:rPr>
        <w:t>differently</w:t>
      </w:r>
      <w:r w:rsidRPr="00D44093">
        <w:rPr>
          <w:rFonts w:ascii="Times New Roman" w:hAnsi="Times New Roman"/>
          <w:b w:val="0"/>
          <w:sz w:val="20"/>
          <w:lang w:val="en"/>
        </w:rPr>
        <w:t xml:space="preserve"> </w:t>
      </w:r>
      <w:r>
        <w:rPr>
          <w:rFonts w:ascii="Times New Roman" w:hAnsi="Times New Roman"/>
          <w:b w:val="0"/>
          <w:sz w:val="20"/>
          <w:lang w:val="en"/>
        </w:rPr>
        <w:t xml:space="preserve">it was verified </w:t>
      </w:r>
      <w:r w:rsidRPr="00D44093">
        <w:rPr>
          <w:rFonts w:ascii="Times New Roman" w:hAnsi="Times New Roman"/>
          <w:b w:val="0"/>
          <w:sz w:val="20"/>
          <w:lang w:val="en"/>
        </w:rPr>
        <w:t xml:space="preserve">for samples containing </w:t>
      </w:r>
      <w:proofErr w:type="spellStart"/>
      <w:r w:rsidRPr="00D44093">
        <w:rPr>
          <w:rFonts w:ascii="Times New Roman" w:hAnsi="Times New Roman"/>
          <w:b w:val="0"/>
          <w:sz w:val="20"/>
          <w:lang w:val="en"/>
        </w:rPr>
        <w:t>Mn</w:t>
      </w:r>
      <w:proofErr w:type="spellEnd"/>
      <w:r w:rsidRPr="00D44093">
        <w:rPr>
          <w:rFonts w:ascii="Times New Roman" w:hAnsi="Times New Roman"/>
          <w:b w:val="0"/>
          <w:sz w:val="20"/>
          <w:lang w:val="en"/>
        </w:rPr>
        <w:t xml:space="preserve">. The analysis of the textural properties of the oxides revealed that the samples from the </w:t>
      </w:r>
      <w:proofErr w:type="spellStart"/>
      <w:r w:rsidRPr="00D44093">
        <w:rPr>
          <w:rFonts w:ascii="Times New Roman" w:hAnsi="Times New Roman"/>
          <w:b w:val="0"/>
          <w:sz w:val="20"/>
          <w:lang w:val="en"/>
        </w:rPr>
        <w:t>Mn</w:t>
      </w:r>
      <w:proofErr w:type="spellEnd"/>
      <w:r w:rsidRPr="00D44093">
        <w:rPr>
          <w:rFonts w:ascii="Times New Roman" w:hAnsi="Times New Roman"/>
          <w:b w:val="0"/>
          <w:sz w:val="20"/>
          <w:lang w:val="en"/>
        </w:rPr>
        <w:t xml:space="preserve"> series have a higher specific area than to the compounds obtained by the Zn precursors, suggesting a textural promotion by </w:t>
      </w:r>
      <w:proofErr w:type="spellStart"/>
      <w:r w:rsidRPr="00D44093">
        <w:rPr>
          <w:rFonts w:ascii="Times New Roman" w:hAnsi="Times New Roman"/>
          <w:b w:val="0"/>
          <w:sz w:val="20"/>
          <w:lang w:val="en"/>
        </w:rPr>
        <w:t>Mn</w:t>
      </w:r>
      <w:proofErr w:type="spellEnd"/>
      <w:r w:rsidRPr="00D44093">
        <w:rPr>
          <w:rFonts w:ascii="Times New Roman" w:hAnsi="Times New Roman"/>
          <w:b w:val="0"/>
          <w:sz w:val="20"/>
          <w:lang w:val="en"/>
        </w:rPr>
        <w:t xml:space="preserve">. The X-ray diffraction peak of the β-CoMoO4 </w:t>
      </w:r>
      <w:r w:rsidR="004A2D77" w:rsidRPr="00D44093">
        <w:rPr>
          <w:rFonts w:ascii="Times New Roman" w:hAnsi="Times New Roman"/>
          <w:b w:val="0"/>
          <w:sz w:val="20"/>
          <w:lang w:val="en"/>
        </w:rPr>
        <w:t>phase</w:t>
      </w:r>
      <w:r w:rsidRPr="00D44093">
        <w:rPr>
          <w:rFonts w:ascii="Times New Roman" w:hAnsi="Times New Roman"/>
          <w:b w:val="0"/>
          <w:sz w:val="20"/>
          <w:lang w:val="en"/>
        </w:rPr>
        <w:t xml:space="preserve"> appeared more pronounced for the Zn series samples than </w:t>
      </w:r>
      <w:proofErr w:type="spellStart"/>
      <w:r w:rsidRPr="00D44093">
        <w:rPr>
          <w:rFonts w:ascii="Times New Roman" w:hAnsi="Times New Roman"/>
          <w:b w:val="0"/>
          <w:sz w:val="20"/>
          <w:lang w:val="en"/>
        </w:rPr>
        <w:t>Mn</w:t>
      </w:r>
      <w:proofErr w:type="spellEnd"/>
      <w:r w:rsidRPr="00D44093">
        <w:rPr>
          <w:rFonts w:ascii="Times New Roman" w:hAnsi="Times New Roman"/>
          <w:b w:val="0"/>
          <w:sz w:val="20"/>
          <w:lang w:val="en"/>
        </w:rPr>
        <w:t xml:space="preserve"> series.</w:t>
      </w:r>
    </w:p>
    <w:p w14:paraId="4FAE67F2" w14:textId="77777777" w:rsidR="00BB4750" w:rsidRPr="00F12C67" w:rsidRDefault="00BB4750" w:rsidP="0039056D">
      <w:pPr>
        <w:pStyle w:val="BDAbstract"/>
        <w:spacing w:before="0" w:after="120" w:line="240" w:lineRule="auto"/>
        <w:rPr>
          <w:rFonts w:ascii="Times New Roman" w:hAnsi="Times New Roman"/>
          <w:b w:val="0"/>
          <w:i/>
          <w:sz w:val="20"/>
        </w:rPr>
      </w:pPr>
      <w:r w:rsidRPr="00F12C67">
        <w:rPr>
          <w:rFonts w:ascii="Times New Roman" w:hAnsi="Times New Roman"/>
          <w:b w:val="0"/>
          <w:i/>
          <w:sz w:val="20"/>
        </w:rPr>
        <w:t xml:space="preserve">Keywords: </w:t>
      </w:r>
      <w:proofErr w:type="spellStart"/>
      <w:r w:rsidRPr="00F12C67">
        <w:rPr>
          <w:rFonts w:ascii="Times New Roman" w:hAnsi="Times New Roman"/>
          <w:b w:val="0"/>
          <w:i/>
          <w:sz w:val="20"/>
        </w:rPr>
        <w:t>hydrotalcites</w:t>
      </w:r>
      <w:proofErr w:type="spellEnd"/>
      <w:r w:rsidRPr="00F12C67">
        <w:rPr>
          <w:rFonts w:ascii="Times New Roman" w:hAnsi="Times New Roman"/>
          <w:b w:val="0"/>
          <w:i/>
          <w:sz w:val="20"/>
        </w:rPr>
        <w:t>, mixed oxides, catalysts</w:t>
      </w:r>
    </w:p>
    <w:bookmarkEnd w:id="1"/>
    <w:p w14:paraId="70D6829B" w14:textId="77777777" w:rsidR="00BB4750" w:rsidRPr="00F12C67" w:rsidRDefault="00BB4750" w:rsidP="0039056D">
      <w:pPr>
        <w:rPr>
          <w:lang w:val="en-US"/>
        </w:rPr>
        <w:sectPr w:rsidR="00BB4750" w:rsidRPr="00F12C67" w:rsidSect="00CF38AD">
          <w:headerReference w:type="default" r:id="rId8"/>
          <w:pgSz w:w="11906" w:h="16838"/>
          <w:pgMar w:top="1418" w:right="1094" w:bottom="1418" w:left="567" w:header="709" w:footer="709" w:gutter="0"/>
          <w:cols w:space="708"/>
          <w:docGrid w:linePitch="360"/>
        </w:sectPr>
      </w:pPr>
    </w:p>
    <w:p w14:paraId="705D7063" w14:textId="77777777" w:rsidR="00BB4750" w:rsidRPr="008734C3" w:rsidRDefault="00BB4750" w:rsidP="0039056D">
      <w:pPr>
        <w:pStyle w:val="Ttulo2"/>
        <w:spacing w:before="0"/>
        <w:rPr>
          <w:rFonts w:ascii="Helvetica" w:hAnsi="Helvetica" w:cs="Helvetica"/>
          <w:sz w:val="24"/>
          <w:szCs w:val="24"/>
          <w:lang w:val="en-US"/>
        </w:rPr>
      </w:pPr>
      <w:proofErr w:type="spellStart"/>
      <w:r w:rsidRPr="008734C3">
        <w:rPr>
          <w:rFonts w:ascii="Helvetica" w:hAnsi="Helvetica" w:cs="Helvetica"/>
          <w:sz w:val="24"/>
          <w:szCs w:val="24"/>
          <w:lang w:val="en-US"/>
        </w:rPr>
        <w:t>Introdução</w:t>
      </w:r>
      <w:proofErr w:type="spellEnd"/>
    </w:p>
    <w:p w14:paraId="5B6D4759" w14:textId="644419DF" w:rsidR="00F21DC6" w:rsidRDefault="00BB4750" w:rsidP="0039056D">
      <w:pPr>
        <w:pStyle w:val="TAMainText"/>
        <w:rPr>
          <w:rFonts w:ascii="Times New Roman" w:hAnsi="Times New Roman"/>
          <w:lang w:val="pt-BR"/>
        </w:rPr>
      </w:pPr>
      <w:r>
        <w:rPr>
          <w:rFonts w:ascii="Times New Roman" w:hAnsi="Times New Roman"/>
          <w:lang w:val="pt-BR"/>
        </w:rPr>
        <w:t>Para atender legislações ambientais cada vez mais exigentes</w:t>
      </w:r>
      <w:r w:rsidR="006E7E63">
        <w:rPr>
          <w:rFonts w:ascii="Times New Roman" w:hAnsi="Times New Roman"/>
          <w:lang w:val="pt-BR"/>
        </w:rPr>
        <w:t>,</w:t>
      </w:r>
      <w:r>
        <w:rPr>
          <w:rFonts w:ascii="Times New Roman" w:hAnsi="Times New Roman"/>
          <w:lang w:val="pt-BR"/>
        </w:rPr>
        <w:t xml:space="preserve"> a quantidade de compostos de enxofre encontrado nos derivados de petróleo, como a gasolina e o diesel, tem sido regulada por diferentes órgãos e governos</w:t>
      </w:r>
      <w:r w:rsidR="00164A4B">
        <w:rPr>
          <w:rFonts w:ascii="Times New Roman" w:hAnsi="Times New Roman"/>
          <w:lang w:val="pt-BR"/>
        </w:rPr>
        <w:t xml:space="preserve"> (</w:t>
      </w:r>
      <w:r w:rsidR="00164A4B" w:rsidRPr="005D7FA3">
        <w:rPr>
          <w:rFonts w:ascii="Times New Roman" w:hAnsi="Times New Roman"/>
          <w:color w:val="000000" w:themeColor="text1"/>
          <w:lang w:val="pt-BR"/>
        </w:rPr>
        <w:t>1</w:t>
      </w:r>
      <w:r w:rsidR="00164A4B">
        <w:rPr>
          <w:rFonts w:ascii="Times New Roman" w:hAnsi="Times New Roman"/>
          <w:lang w:val="pt-BR"/>
        </w:rPr>
        <w:t>)</w:t>
      </w:r>
      <w:r>
        <w:rPr>
          <w:rFonts w:ascii="Times New Roman" w:hAnsi="Times New Roman"/>
          <w:lang w:val="pt-BR"/>
        </w:rPr>
        <w:t>. No Brasil, a ANP atua em concordância com os órgãos ambientais no controle da poluição e a atual especificação da gasolina atende a fase do Programa de Controle da Poluição do ar por veículos automotores para ve</w:t>
      </w:r>
      <w:r w:rsidR="00781F32">
        <w:rPr>
          <w:rFonts w:ascii="Times New Roman" w:hAnsi="Times New Roman"/>
          <w:lang w:val="pt-BR"/>
        </w:rPr>
        <w:t xml:space="preserve">ículos leves. </w:t>
      </w:r>
      <w:r w:rsidR="00D914AE">
        <w:rPr>
          <w:rFonts w:ascii="Times New Roman" w:hAnsi="Times New Roman"/>
          <w:lang w:val="pt-BR"/>
        </w:rPr>
        <w:t>Assim</w:t>
      </w:r>
      <w:r w:rsidR="00781F32">
        <w:rPr>
          <w:rFonts w:ascii="Times New Roman" w:hAnsi="Times New Roman"/>
          <w:lang w:val="pt-BR"/>
        </w:rPr>
        <w:t xml:space="preserve">, </w:t>
      </w:r>
      <w:r>
        <w:rPr>
          <w:rFonts w:ascii="Times New Roman" w:hAnsi="Times New Roman"/>
          <w:lang w:val="pt-BR"/>
        </w:rPr>
        <w:t>a gasolina</w:t>
      </w:r>
      <w:r w:rsidR="00781F32">
        <w:rPr>
          <w:rFonts w:ascii="Times New Roman" w:hAnsi="Times New Roman"/>
          <w:lang w:val="pt-BR"/>
        </w:rPr>
        <w:t xml:space="preserve"> tipo C </w:t>
      </w:r>
      <w:r>
        <w:rPr>
          <w:rFonts w:ascii="Times New Roman" w:hAnsi="Times New Roman"/>
          <w:lang w:val="pt-BR"/>
        </w:rPr>
        <w:t>comercializada em todo território nacional passou a ter uma menor quantidade de compostos de enxofr</w:t>
      </w:r>
      <w:r w:rsidR="00D914AE">
        <w:rPr>
          <w:rFonts w:ascii="Times New Roman" w:hAnsi="Times New Roman"/>
          <w:lang w:val="pt-BR"/>
        </w:rPr>
        <w:t>e, limite</w:t>
      </w:r>
      <w:r w:rsidR="00781F32">
        <w:rPr>
          <w:rFonts w:ascii="Times New Roman" w:hAnsi="Times New Roman"/>
          <w:lang w:val="pt-BR"/>
        </w:rPr>
        <w:t xml:space="preserve"> de 50 </w:t>
      </w:r>
      <w:proofErr w:type="spellStart"/>
      <w:r w:rsidR="00781F32">
        <w:rPr>
          <w:rFonts w:ascii="Times New Roman" w:hAnsi="Times New Roman"/>
          <w:lang w:val="pt-BR"/>
        </w:rPr>
        <w:t>ppm</w:t>
      </w:r>
      <w:proofErr w:type="spellEnd"/>
      <w:r w:rsidR="00781F32">
        <w:rPr>
          <w:rFonts w:ascii="Times New Roman" w:hAnsi="Times New Roman"/>
          <w:lang w:val="pt-BR"/>
        </w:rPr>
        <w:t>,</w:t>
      </w:r>
      <w:r>
        <w:rPr>
          <w:rFonts w:ascii="Times New Roman" w:hAnsi="Times New Roman"/>
          <w:lang w:val="pt-BR"/>
        </w:rPr>
        <w:t xml:space="preserve"> conforme estabelecido na Resolução da ANP n° </w:t>
      </w:r>
      <w:r w:rsidR="009D4F1D">
        <w:rPr>
          <w:rFonts w:ascii="Times New Roman" w:hAnsi="Times New Roman"/>
          <w:lang w:val="pt-BR"/>
        </w:rPr>
        <w:t>40</w:t>
      </w:r>
      <w:r>
        <w:rPr>
          <w:rFonts w:ascii="Times New Roman" w:hAnsi="Times New Roman"/>
          <w:lang w:val="pt-BR"/>
        </w:rPr>
        <w:t xml:space="preserve"> de 2013</w:t>
      </w:r>
      <w:r w:rsidR="00F80D68">
        <w:rPr>
          <w:rFonts w:ascii="Times New Roman" w:hAnsi="Times New Roman"/>
          <w:lang w:val="pt-BR"/>
        </w:rPr>
        <w:t xml:space="preserve"> revogada pela Resolução ANP n° 807 de 2020</w:t>
      </w:r>
      <w:r w:rsidR="00781F32">
        <w:rPr>
          <w:rFonts w:ascii="Times New Roman" w:hAnsi="Times New Roman"/>
          <w:lang w:val="pt-BR"/>
        </w:rPr>
        <w:t xml:space="preserve">. </w:t>
      </w:r>
      <w:r>
        <w:rPr>
          <w:rFonts w:ascii="Times New Roman" w:hAnsi="Times New Roman"/>
          <w:lang w:val="pt-BR"/>
        </w:rPr>
        <w:t xml:space="preserve">As reações de </w:t>
      </w:r>
      <w:proofErr w:type="spellStart"/>
      <w:r>
        <w:rPr>
          <w:rFonts w:ascii="Times New Roman" w:hAnsi="Times New Roman"/>
          <w:lang w:val="pt-BR"/>
        </w:rPr>
        <w:t>hidrotratamento</w:t>
      </w:r>
      <w:proofErr w:type="spellEnd"/>
      <w:r w:rsidR="003C19C4">
        <w:rPr>
          <w:rFonts w:ascii="Times New Roman" w:hAnsi="Times New Roman"/>
          <w:lang w:val="pt-BR"/>
        </w:rPr>
        <w:t xml:space="preserve"> (HDT)</w:t>
      </w:r>
      <w:r>
        <w:rPr>
          <w:rFonts w:ascii="Times New Roman" w:hAnsi="Times New Roman"/>
          <w:lang w:val="pt-BR"/>
        </w:rPr>
        <w:t xml:space="preserve">, especificamente, a reação de </w:t>
      </w:r>
      <w:proofErr w:type="spellStart"/>
      <w:r>
        <w:rPr>
          <w:rFonts w:ascii="Times New Roman" w:hAnsi="Times New Roman"/>
          <w:lang w:val="pt-BR"/>
        </w:rPr>
        <w:t>hidrodessulfurização</w:t>
      </w:r>
      <w:proofErr w:type="spellEnd"/>
      <w:r>
        <w:rPr>
          <w:rFonts w:ascii="Times New Roman" w:hAnsi="Times New Roman"/>
          <w:lang w:val="pt-BR"/>
        </w:rPr>
        <w:t xml:space="preserve"> (HDS) usada para remoção de compostos de enxofre, são usualmente empregadas, uma vez que são altamente eficazes e suas tecnologias são bem conhecidas</w:t>
      </w:r>
      <w:r w:rsidR="00B54ABE">
        <w:rPr>
          <w:rFonts w:ascii="Times New Roman" w:hAnsi="Times New Roman"/>
          <w:lang w:val="pt-BR"/>
        </w:rPr>
        <w:t xml:space="preserve"> (</w:t>
      </w:r>
      <w:r w:rsidR="00913BA5" w:rsidRPr="005D7FA3">
        <w:rPr>
          <w:rFonts w:ascii="Times New Roman" w:hAnsi="Times New Roman"/>
          <w:color w:val="000000" w:themeColor="text1"/>
          <w:lang w:val="pt-BR"/>
        </w:rPr>
        <w:t>2</w:t>
      </w:r>
      <w:r w:rsidR="00B54ABE">
        <w:rPr>
          <w:rFonts w:ascii="Times New Roman" w:hAnsi="Times New Roman"/>
          <w:lang w:val="pt-BR"/>
        </w:rPr>
        <w:t>)</w:t>
      </w:r>
      <w:r>
        <w:rPr>
          <w:rFonts w:ascii="Times New Roman" w:hAnsi="Times New Roman"/>
          <w:lang w:val="pt-BR"/>
        </w:rPr>
        <w:t xml:space="preserve">. Esforços constantes são realizados no intuito de se obter </w:t>
      </w:r>
      <w:r>
        <w:rPr>
          <w:rFonts w:ascii="Times New Roman" w:hAnsi="Times New Roman"/>
          <w:lang w:val="pt-BR"/>
        </w:rPr>
        <w:t xml:space="preserve">catalisadores baratos de fácil síntese que apresente altas conversões e seletividades. Nesse sentido, uma das alternativas para se obter os catalisadores com a composição desejada é sintetizar estruturas do tipo </w:t>
      </w:r>
      <w:proofErr w:type="spellStart"/>
      <w:r>
        <w:rPr>
          <w:rFonts w:ascii="Times New Roman" w:hAnsi="Times New Roman"/>
          <w:lang w:val="pt-BR"/>
        </w:rPr>
        <w:t>hidrotalcita</w:t>
      </w:r>
      <w:proofErr w:type="spellEnd"/>
      <w:r>
        <w:rPr>
          <w:rFonts w:ascii="Times New Roman" w:hAnsi="Times New Roman"/>
          <w:lang w:val="pt-BR"/>
        </w:rPr>
        <w:t>, que após a calcinação permite a formação de uma mistura homogênea de diferentes óxidos</w:t>
      </w:r>
      <w:r w:rsidR="00F21DC6">
        <w:rPr>
          <w:rFonts w:ascii="Times New Roman" w:hAnsi="Times New Roman"/>
          <w:lang w:val="pt-BR"/>
        </w:rPr>
        <w:t xml:space="preserve"> (</w:t>
      </w:r>
      <w:r w:rsidR="00537D7B" w:rsidRPr="005D7FA3">
        <w:rPr>
          <w:rFonts w:ascii="Times New Roman" w:hAnsi="Times New Roman"/>
          <w:color w:val="000000" w:themeColor="text1"/>
          <w:lang w:val="pt-BR"/>
        </w:rPr>
        <w:t>3</w:t>
      </w:r>
      <w:r w:rsidR="00B54ABE">
        <w:rPr>
          <w:rFonts w:ascii="Times New Roman" w:hAnsi="Times New Roman"/>
          <w:lang w:val="pt-BR"/>
        </w:rPr>
        <w:t>)</w:t>
      </w:r>
      <w:r>
        <w:rPr>
          <w:rFonts w:ascii="Times New Roman" w:hAnsi="Times New Roman"/>
          <w:lang w:val="pt-BR"/>
        </w:rPr>
        <w:t xml:space="preserve">. </w:t>
      </w:r>
    </w:p>
    <w:p w14:paraId="4BAD7E60" w14:textId="46912A5E" w:rsidR="00BB4750" w:rsidRPr="006D4B11" w:rsidRDefault="00BB4750" w:rsidP="0039056D">
      <w:pPr>
        <w:pStyle w:val="TAMainText"/>
        <w:rPr>
          <w:rFonts w:ascii="Times New Roman" w:hAnsi="Times New Roman"/>
          <w:lang w:val="pt-BR"/>
        </w:rPr>
      </w:pPr>
      <w:r>
        <w:rPr>
          <w:rFonts w:ascii="Times New Roman" w:hAnsi="Times New Roman"/>
          <w:lang w:val="pt-BR"/>
        </w:rPr>
        <w:t xml:space="preserve">Os catalisadores tradicionais são tipo </w:t>
      </w:r>
      <w:proofErr w:type="spellStart"/>
      <w:proofErr w:type="gramStart"/>
      <w:r>
        <w:rPr>
          <w:rFonts w:ascii="Times New Roman" w:hAnsi="Times New Roman"/>
          <w:lang w:val="pt-BR"/>
        </w:rPr>
        <w:t>Co</w:t>
      </w:r>
      <w:proofErr w:type="spellEnd"/>
      <w:r>
        <w:rPr>
          <w:rFonts w:ascii="Times New Roman" w:hAnsi="Times New Roman"/>
          <w:lang w:val="pt-BR"/>
        </w:rPr>
        <w:t>(</w:t>
      </w:r>
      <w:proofErr w:type="gramEnd"/>
      <w:r>
        <w:rPr>
          <w:rFonts w:ascii="Times New Roman" w:hAnsi="Times New Roman"/>
          <w:lang w:val="pt-BR"/>
        </w:rPr>
        <w:t xml:space="preserve">ou </w:t>
      </w:r>
      <w:proofErr w:type="spellStart"/>
      <w:r>
        <w:rPr>
          <w:rFonts w:ascii="Times New Roman" w:hAnsi="Times New Roman"/>
          <w:lang w:val="pt-BR"/>
        </w:rPr>
        <w:t>Ni</w:t>
      </w:r>
      <w:proofErr w:type="spellEnd"/>
      <w:r>
        <w:rPr>
          <w:rFonts w:ascii="Times New Roman" w:hAnsi="Times New Roman"/>
          <w:lang w:val="pt-BR"/>
        </w:rPr>
        <w:t>)</w:t>
      </w:r>
      <w:proofErr w:type="spellStart"/>
      <w:r>
        <w:rPr>
          <w:rFonts w:ascii="Times New Roman" w:hAnsi="Times New Roman"/>
          <w:lang w:val="pt-BR"/>
        </w:rPr>
        <w:t>Mo</w:t>
      </w:r>
      <w:proofErr w:type="spellEnd"/>
      <w:r>
        <w:rPr>
          <w:rFonts w:ascii="Times New Roman" w:hAnsi="Times New Roman"/>
          <w:lang w:val="pt-BR"/>
        </w:rPr>
        <w:t xml:space="preserve"> suportados em γ-alumina e para melhorar sua atividade catalítica pode ser usado um terceiro íon </w:t>
      </w:r>
      <w:proofErr w:type="spellStart"/>
      <w:r>
        <w:rPr>
          <w:rFonts w:ascii="Times New Roman" w:hAnsi="Times New Roman"/>
          <w:lang w:val="pt-BR"/>
        </w:rPr>
        <w:t>d</w:t>
      </w:r>
      <w:r w:rsidR="003C19C4">
        <w:rPr>
          <w:rFonts w:ascii="Times New Roman" w:hAnsi="Times New Roman"/>
          <w:lang w:val="pt-BR"/>
        </w:rPr>
        <w:t>ivalente</w:t>
      </w:r>
      <w:proofErr w:type="spellEnd"/>
      <w:r w:rsidR="00B232F1">
        <w:rPr>
          <w:rFonts w:ascii="Times New Roman" w:hAnsi="Times New Roman"/>
          <w:lang w:val="pt-BR"/>
        </w:rPr>
        <w:t xml:space="preserve"> </w:t>
      </w:r>
      <w:r w:rsidR="00537D7B">
        <w:rPr>
          <w:rFonts w:ascii="Times New Roman" w:hAnsi="Times New Roman"/>
          <w:noProof/>
          <w:lang w:val="pt-BR"/>
        </w:rPr>
        <w:t>(</w:t>
      </w:r>
      <w:r w:rsidR="00537D7B" w:rsidRPr="005D7FA3">
        <w:rPr>
          <w:rFonts w:ascii="Times New Roman" w:hAnsi="Times New Roman"/>
          <w:noProof/>
          <w:color w:val="000000" w:themeColor="text1"/>
          <w:lang w:val="pt-BR"/>
        </w:rPr>
        <w:t>4</w:t>
      </w:r>
      <w:r w:rsidR="00B232F1">
        <w:rPr>
          <w:rFonts w:ascii="Times New Roman" w:hAnsi="Times New Roman"/>
          <w:noProof/>
          <w:lang w:val="pt-BR"/>
        </w:rPr>
        <w:t>)</w:t>
      </w:r>
      <w:r>
        <w:rPr>
          <w:rFonts w:ascii="Times New Roman" w:hAnsi="Times New Roman"/>
          <w:lang w:val="pt-BR"/>
        </w:rPr>
        <w:t>. Seguindo esse raciocínio, neste trabalho apresenta</w:t>
      </w:r>
      <w:r w:rsidR="00611F27">
        <w:rPr>
          <w:rFonts w:ascii="Times New Roman" w:hAnsi="Times New Roman"/>
          <w:lang w:val="pt-BR"/>
        </w:rPr>
        <w:t>-se</w:t>
      </w:r>
      <w:r>
        <w:rPr>
          <w:rFonts w:ascii="Times New Roman" w:hAnsi="Times New Roman"/>
          <w:lang w:val="pt-BR"/>
        </w:rPr>
        <w:t xml:space="preserve"> a síntese e caracterização de óxidos mistos</w:t>
      </w:r>
      <w:r w:rsidR="003C19C4">
        <w:rPr>
          <w:rFonts w:ascii="Times New Roman" w:hAnsi="Times New Roman"/>
          <w:lang w:val="pt-BR"/>
        </w:rPr>
        <w:t xml:space="preserve"> do tipo</w:t>
      </w:r>
      <w:r w:rsidR="00406002">
        <w:rPr>
          <w:rFonts w:ascii="Times New Roman" w:hAnsi="Times New Roman"/>
          <w:lang w:val="pt-BR"/>
        </w:rPr>
        <w:t xml:space="preserve"> </w:t>
      </w:r>
      <w:proofErr w:type="spellStart"/>
      <w:proofErr w:type="gramStart"/>
      <w:r w:rsidR="00406002">
        <w:rPr>
          <w:rFonts w:ascii="Times New Roman" w:hAnsi="Times New Roman"/>
          <w:lang w:val="pt-BR"/>
        </w:rPr>
        <w:t>CoMo</w:t>
      </w:r>
      <w:proofErr w:type="spellEnd"/>
      <w:r w:rsidR="00406002">
        <w:rPr>
          <w:rFonts w:ascii="Times New Roman" w:hAnsi="Times New Roman"/>
          <w:lang w:val="pt-BR"/>
        </w:rPr>
        <w:t>(</w:t>
      </w:r>
      <w:proofErr w:type="gramEnd"/>
      <w:r w:rsidR="00406002">
        <w:rPr>
          <w:rFonts w:ascii="Times New Roman" w:hAnsi="Times New Roman"/>
          <w:lang w:val="pt-BR"/>
        </w:rPr>
        <w:t xml:space="preserve">Zn </w:t>
      </w:r>
      <w:r>
        <w:rPr>
          <w:rFonts w:ascii="Times New Roman" w:hAnsi="Times New Roman"/>
          <w:lang w:val="pt-BR"/>
        </w:rPr>
        <w:t>ou</w:t>
      </w:r>
      <w:r w:rsidR="00406002">
        <w:rPr>
          <w:rFonts w:ascii="Times New Roman" w:hAnsi="Times New Roman"/>
          <w:lang w:val="pt-BR"/>
        </w:rPr>
        <w:t xml:space="preserve"> </w:t>
      </w:r>
      <w:r>
        <w:rPr>
          <w:rFonts w:ascii="Times New Roman" w:hAnsi="Times New Roman"/>
          <w:lang w:val="pt-BR"/>
        </w:rPr>
        <w:t xml:space="preserve">Mn)Al derivados de </w:t>
      </w:r>
      <w:proofErr w:type="spellStart"/>
      <w:r>
        <w:rPr>
          <w:rFonts w:ascii="Times New Roman" w:hAnsi="Times New Roman"/>
          <w:lang w:val="pt-BR"/>
        </w:rPr>
        <w:t>hidrotalcitas</w:t>
      </w:r>
      <w:proofErr w:type="spellEnd"/>
      <w:r>
        <w:rPr>
          <w:rFonts w:ascii="Times New Roman" w:hAnsi="Times New Roman"/>
          <w:lang w:val="pt-BR"/>
        </w:rPr>
        <w:t xml:space="preserve"> sintetizadas com o ânion tereftalato entre as lamelas. Vale ressaltar que diferentemente do catalisador usual, os materiais obtidos </w:t>
      </w:r>
      <w:r w:rsidR="00925693">
        <w:rPr>
          <w:rFonts w:ascii="Times New Roman" w:hAnsi="Times New Roman"/>
          <w:lang w:val="pt-BR"/>
        </w:rPr>
        <w:t>e</w:t>
      </w:r>
      <w:r w:rsidR="007274A6">
        <w:rPr>
          <w:rFonts w:ascii="Times New Roman" w:hAnsi="Times New Roman"/>
          <w:lang w:val="pt-BR"/>
        </w:rPr>
        <w:t xml:space="preserve"> apresentados neste trabalho </w:t>
      </w:r>
      <w:r>
        <w:rPr>
          <w:rFonts w:ascii="Times New Roman" w:hAnsi="Times New Roman"/>
          <w:lang w:val="pt-BR"/>
        </w:rPr>
        <w:t>são catalisadores não suportados (mássicos) inspirados em trabalhos já existentes do grupo LABCATH-UFRJ</w:t>
      </w:r>
      <w:r w:rsidR="009E664F">
        <w:rPr>
          <w:rFonts w:ascii="Times New Roman" w:hAnsi="Times New Roman"/>
          <w:lang w:val="pt-BR"/>
        </w:rPr>
        <w:t>,</w:t>
      </w:r>
      <w:r>
        <w:rPr>
          <w:rFonts w:ascii="Times New Roman" w:hAnsi="Times New Roman"/>
          <w:lang w:val="pt-BR"/>
        </w:rPr>
        <w:t xml:space="preserve"> que apresentaram resultados interessantes </w:t>
      </w:r>
      <w:r w:rsidR="00B232F1">
        <w:rPr>
          <w:rFonts w:ascii="Times New Roman" w:hAnsi="Times New Roman"/>
          <w:noProof/>
          <w:lang w:val="pt-BR"/>
        </w:rPr>
        <w:t>(</w:t>
      </w:r>
      <w:r w:rsidR="00537D7B" w:rsidRPr="005D7FA3">
        <w:rPr>
          <w:rFonts w:ascii="Times New Roman" w:hAnsi="Times New Roman"/>
          <w:noProof/>
          <w:color w:val="000000" w:themeColor="text1"/>
          <w:lang w:val="pt-BR"/>
        </w:rPr>
        <w:t>5</w:t>
      </w:r>
      <w:r w:rsidR="00B232F1">
        <w:rPr>
          <w:rFonts w:ascii="Times New Roman" w:hAnsi="Times New Roman"/>
          <w:noProof/>
          <w:lang w:val="pt-BR"/>
        </w:rPr>
        <w:t>)</w:t>
      </w:r>
      <w:r>
        <w:rPr>
          <w:rFonts w:ascii="Times New Roman" w:hAnsi="Times New Roman"/>
          <w:lang w:val="pt-BR"/>
        </w:rPr>
        <w:t>.</w:t>
      </w:r>
    </w:p>
    <w:p w14:paraId="59D5FED1" w14:textId="77777777" w:rsidR="00BB4750" w:rsidRPr="001F25B2" w:rsidRDefault="00BB4750" w:rsidP="0039056D">
      <w:pPr>
        <w:pStyle w:val="Ttulo2"/>
        <w:rPr>
          <w:rFonts w:ascii="Helvetica" w:hAnsi="Helvetica" w:cs="Helvetica"/>
          <w:sz w:val="24"/>
          <w:szCs w:val="24"/>
        </w:rPr>
      </w:pPr>
      <w:r w:rsidRPr="001F25B2">
        <w:rPr>
          <w:rFonts w:ascii="Helvetica" w:hAnsi="Helvetica" w:cs="Helvetica"/>
          <w:sz w:val="24"/>
          <w:szCs w:val="24"/>
        </w:rPr>
        <w:lastRenderedPageBreak/>
        <w:t>Experimental</w:t>
      </w:r>
    </w:p>
    <w:p w14:paraId="019D7EE2" w14:textId="313717E5" w:rsidR="00BB4750" w:rsidRDefault="00BB4750" w:rsidP="0039056D">
      <w:pPr>
        <w:pStyle w:val="TAMainText"/>
        <w:rPr>
          <w:rFonts w:ascii="Times New Roman" w:hAnsi="Times New Roman"/>
          <w:lang w:val="pt-BR"/>
        </w:rPr>
      </w:pPr>
      <w:r w:rsidRPr="006D4B11">
        <w:rPr>
          <w:rFonts w:ascii="Times New Roman" w:hAnsi="Times New Roman"/>
          <w:lang w:val="pt-BR"/>
        </w:rPr>
        <w:t xml:space="preserve">A rota </w:t>
      </w:r>
      <w:r>
        <w:rPr>
          <w:rFonts w:ascii="Times New Roman" w:hAnsi="Times New Roman"/>
          <w:lang w:val="pt-BR"/>
        </w:rPr>
        <w:t>de</w:t>
      </w:r>
      <w:r w:rsidRPr="006D4B11">
        <w:rPr>
          <w:rFonts w:ascii="Times New Roman" w:hAnsi="Times New Roman"/>
          <w:lang w:val="pt-BR"/>
        </w:rPr>
        <w:t xml:space="preserve"> preparo dos </w:t>
      </w:r>
      <w:r>
        <w:rPr>
          <w:rFonts w:ascii="Times New Roman" w:hAnsi="Times New Roman"/>
          <w:lang w:val="pt-BR"/>
        </w:rPr>
        <w:t>óxidos mistos passou</w:t>
      </w:r>
      <w:r w:rsidRPr="006D4B11">
        <w:rPr>
          <w:rFonts w:ascii="Times New Roman" w:hAnsi="Times New Roman"/>
          <w:lang w:val="pt-BR"/>
        </w:rPr>
        <w:t xml:space="preserve"> por diferentes etapas, dentre elas: </w:t>
      </w:r>
      <w:r w:rsidRPr="006D4B11">
        <w:rPr>
          <w:rFonts w:ascii="Times New Roman" w:hAnsi="Times New Roman"/>
          <w:i/>
          <w:lang w:val="pt-BR"/>
        </w:rPr>
        <w:t>(i)</w:t>
      </w:r>
      <w:r w:rsidRPr="006D4B11">
        <w:rPr>
          <w:rFonts w:ascii="Times New Roman" w:hAnsi="Times New Roman"/>
          <w:lang w:val="pt-BR"/>
        </w:rPr>
        <w:t xml:space="preserve"> síntese do precursor; (</w:t>
      </w:r>
      <w:proofErr w:type="spellStart"/>
      <w:r w:rsidRPr="006D4B11">
        <w:rPr>
          <w:rFonts w:ascii="Times New Roman" w:hAnsi="Times New Roman"/>
          <w:i/>
          <w:lang w:val="pt-BR"/>
        </w:rPr>
        <w:t>ii</w:t>
      </w:r>
      <w:proofErr w:type="spellEnd"/>
      <w:r w:rsidRPr="006D4B11">
        <w:rPr>
          <w:rFonts w:ascii="Times New Roman" w:hAnsi="Times New Roman"/>
          <w:lang w:val="pt-BR"/>
        </w:rPr>
        <w:t>) troca iônica para a incorporação de mol</w:t>
      </w:r>
      <w:r>
        <w:rPr>
          <w:rFonts w:ascii="Times New Roman" w:hAnsi="Times New Roman"/>
          <w:lang w:val="pt-BR"/>
        </w:rPr>
        <w:t xml:space="preserve">ibdênio na região </w:t>
      </w:r>
      <w:proofErr w:type="spellStart"/>
      <w:r>
        <w:rPr>
          <w:rFonts w:ascii="Times New Roman" w:hAnsi="Times New Roman"/>
          <w:lang w:val="pt-BR"/>
        </w:rPr>
        <w:t>interlamelar</w:t>
      </w:r>
      <w:proofErr w:type="spellEnd"/>
      <w:r>
        <w:rPr>
          <w:rFonts w:ascii="Times New Roman" w:hAnsi="Times New Roman"/>
          <w:lang w:val="pt-BR"/>
        </w:rPr>
        <w:t xml:space="preserve"> e </w:t>
      </w:r>
      <w:r w:rsidRPr="006D4B11">
        <w:rPr>
          <w:rFonts w:ascii="Times New Roman" w:hAnsi="Times New Roman"/>
          <w:lang w:val="pt-BR"/>
        </w:rPr>
        <w:t>(</w:t>
      </w:r>
      <w:proofErr w:type="spellStart"/>
      <w:r w:rsidRPr="006D4B11">
        <w:rPr>
          <w:rFonts w:ascii="Times New Roman" w:hAnsi="Times New Roman"/>
          <w:i/>
          <w:lang w:val="pt-BR"/>
        </w:rPr>
        <w:t>iii</w:t>
      </w:r>
      <w:proofErr w:type="spellEnd"/>
      <w:r w:rsidRPr="006D4B11">
        <w:rPr>
          <w:rFonts w:ascii="Times New Roman" w:hAnsi="Times New Roman"/>
          <w:lang w:val="pt-BR"/>
        </w:rPr>
        <w:t xml:space="preserve">) </w:t>
      </w:r>
      <w:r>
        <w:rPr>
          <w:rFonts w:ascii="Times New Roman" w:hAnsi="Times New Roman"/>
          <w:lang w:val="pt-BR"/>
        </w:rPr>
        <w:t>calcinação Nesse sentido, f</w:t>
      </w:r>
      <w:r w:rsidRPr="00A111B6">
        <w:rPr>
          <w:rFonts w:ascii="Times New Roman" w:hAnsi="Times New Roman"/>
          <w:lang w:val="pt-BR"/>
        </w:rPr>
        <w:t xml:space="preserve">oram realizadas sínteses de compostos do tipo </w:t>
      </w:r>
      <w:proofErr w:type="spellStart"/>
      <w:r w:rsidRPr="00A111B6">
        <w:rPr>
          <w:rFonts w:ascii="Times New Roman" w:hAnsi="Times New Roman"/>
          <w:lang w:val="pt-BR"/>
        </w:rPr>
        <w:t>hidrotalcitas</w:t>
      </w:r>
      <w:proofErr w:type="spellEnd"/>
      <w:r>
        <w:rPr>
          <w:rFonts w:ascii="Times New Roman" w:hAnsi="Times New Roman"/>
          <w:lang w:val="pt-BR"/>
        </w:rPr>
        <w:t xml:space="preserve"> </w:t>
      </w:r>
      <w:r w:rsidRPr="00A111B6">
        <w:rPr>
          <w:rFonts w:ascii="Times New Roman" w:hAnsi="Times New Roman"/>
          <w:lang w:val="pt-BR"/>
        </w:rPr>
        <w:t xml:space="preserve">de composição </w:t>
      </w:r>
      <w:r>
        <w:rPr>
          <w:rFonts w:ascii="Times New Roman" w:hAnsi="Times New Roman"/>
          <w:lang w:val="pt-BR"/>
        </w:rPr>
        <w:t>(</w:t>
      </w:r>
      <w:r w:rsidRPr="00A111B6">
        <w:rPr>
          <w:rFonts w:ascii="Times New Roman" w:hAnsi="Times New Roman"/>
          <w:lang w:val="pt-BR"/>
        </w:rPr>
        <w:t>Zn</w:t>
      </w:r>
      <w:r>
        <w:rPr>
          <w:rFonts w:ascii="Times New Roman" w:hAnsi="Times New Roman"/>
          <w:lang w:val="pt-BR"/>
        </w:rPr>
        <w:t xml:space="preserve"> ou </w:t>
      </w:r>
      <w:proofErr w:type="gramStart"/>
      <w:r>
        <w:rPr>
          <w:rFonts w:ascii="Times New Roman" w:hAnsi="Times New Roman"/>
          <w:lang w:val="pt-BR"/>
        </w:rPr>
        <w:t>Mn)</w:t>
      </w:r>
      <w:proofErr w:type="spellStart"/>
      <w:r>
        <w:rPr>
          <w:rFonts w:ascii="Times New Roman" w:hAnsi="Times New Roman"/>
          <w:lang w:val="pt-BR"/>
        </w:rPr>
        <w:t>CoAl</w:t>
      </w:r>
      <w:proofErr w:type="spellEnd"/>
      <w:proofErr w:type="gramEnd"/>
      <w:r>
        <w:rPr>
          <w:rFonts w:ascii="Times New Roman" w:hAnsi="Times New Roman"/>
          <w:lang w:val="pt-BR"/>
        </w:rPr>
        <w:t xml:space="preserve"> com </w:t>
      </w:r>
      <w:r w:rsidRPr="00A111B6">
        <w:rPr>
          <w:rFonts w:ascii="Times New Roman" w:hAnsi="Times New Roman"/>
          <w:lang w:val="pt-BR"/>
        </w:rPr>
        <w:t>tereftalato</w:t>
      </w:r>
      <w:r>
        <w:rPr>
          <w:rFonts w:ascii="Times New Roman" w:hAnsi="Times New Roman"/>
          <w:lang w:val="pt-BR"/>
        </w:rPr>
        <w:t xml:space="preserve"> (T6)</w:t>
      </w:r>
      <w:r w:rsidRPr="00A111B6">
        <w:rPr>
          <w:rFonts w:ascii="Times New Roman" w:hAnsi="Times New Roman"/>
          <w:lang w:val="pt-BR"/>
        </w:rPr>
        <w:t xml:space="preserve">, onde </w:t>
      </w:r>
      <w:r w:rsidR="005A15F9">
        <w:rPr>
          <w:rFonts w:ascii="Times New Roman" w:hAnsi="Times New Roman"/>
          <w:lang w:val="pt-BR"/>
        </w:rPr>
        <w:t xml:space="preserve">se </w:t>
      </w:r>
      <w:r w:rsidRPr="00A111B6">
        <w:rPr>
          <w:rFonts w:ascii="Times New Roman" w:hAnsi="Times New Roman"/>
          <w:lang w:val="pt-BR"/>
        </w:rPr>
        <w:t xml:space="preserve">variou a relação dos cátions metálicos </w:t>
      </w:r>
      <w:proofErr w:type="spellStart"/>
      <w:r w:rsidRPr="00A111B6">
        <w:rPr>
          <w:rFonts w:ascii="Times New Roman" w:hAnsi="Times New Roman"/>
          <w:lang w:val="pt-BR"/>
        </w:rPr>
        <w:t>divalentes</w:t>
      </w:r>
      <w:proofErr w:type="spellEnd"/>
      <w:r w:rsidRPr="00A111B6">
        <w:rPr>
          <w:rFonts w:ascii="Times New Roman" w:hAnsi="Times New Roman"/>
          <w:lang w:val="pt-BR"/>
        </w:rPr>
        <w:t xml:space="preserve">, </w:t>
      </w:r>
      <w:r w:rsidRPr="00A111B6">
        <w:rPr>
          <w:rFonts w:ascii="Times New Roman" w:hAnsi="Times New Roman"/>
          <w:i/>
          <w:lang w:val="pt-BR"/>
        </w:rPr>
        <w:t xml:space="preserve">y = </w:t>
      </w:r>
      <w:r w:rsidR="0076328F">
        <w:rPr>
          <w:rFonts w:ascii="Times New Roman" w:hAnsi="Times New Roman"/>
          <w:i/>
          <w:lang w:val="pt-BR"/>
        </w:rPr>
        <w:t>(</w:t>
      </w:r>
      <w:proofErr w:type="spellStart"/>
      <w:r w:rsidRPr="00A111B6">
        <w:rPr>
          <w:rFonts w:ascii="Times New Roman" w:hAnsi="Times New Roman"/>
          <w:i/>
          <w:lang w:val="pt-BR"/>
        </w:rPr>
        <w:t>n</w:t>
      </w:r>
      <w:r w:rsidRPr="00A111B6">
        <w:rPr>
          <w:rFonts w:ascii="Times New Roman" w:hAnsi="Times New Roman"/>
          <w:i/>
          <w:vertAlign w:val="subscript"/>
          <w:lang w:val="pt-BR"/>
        </w:rPr>
        <w:t>Co</w:t>
      </w:r>
      <w:proofErr w:type="spellEnd"/>
      <w:r w:rsidRPr="00A111B6">
        <w:rPr>
          <w:rFonts w:ascii="Times New Roman" w:hAnsi="Times New Roman"/>
          <w:i/>
          <w:vertAlign w:val="subscript"/>
          <w:lang w:val="pt-BR"/>
        </w:rPr>
        <w:t xml:space="preserve"> </w:t>
      </w:r>
      <w:r w:rsidRPr="00A111B6">
        <w:rPr>
          <w:rFonts w:ascii="Times New Roman" w:hAnsi="Times New Roman"/>
          <w:i/>
          <w:lang w:val="pt-BR"/>
        </w:rPr>
        <w:t>/(</w:t>
      </w:r>
      <w:proofErr w:type="spellStart"/>
      <w:r w:rsidRPr="00A111B6">
        <w:rPr>
          <w:rFonts w:ascii="Times New Roman" w:hAnsi="Times New Roman"/>
          <w:i/>
          <w:lang w:val="pt-BR"/>
        </w:rPr>
        <w:t>n</w:t>
      </w:r>
      <w:r w:rsidRPr="00A111B6">
        <w:rPr>
          <w:rFonts w:ascii="Times New Roman" w:hAnsi="Times New Roman"/>
          <w:i/>
          <w:vertAlign w:val="subscript"/>
          <w:lang w:val="pt-BR"/>
        </w:rPr>
        <w:t>Co</w:t>
      </w:r>
      <w:r w:rsidRPr="00A111B6">
        <w:rPr>
          <w:rFonts w:ascii="Times New Roman" w:hAnsi="Times New Roman"/>
          <w:i/>
          <w:lang w:val="pt-BR"/>
        </w:rPr>
        <w:t>+n</w:t>
      </w:r>
      <w:r w:rsidRPr="00A111B6">
        <w:rPr>
          <w:rFonts w:ascii="Times New Roman" w:hAnsi="Times New Roman"/>
          <w:i/>
          <w:vertAlign w:val="subscript"/>
          <w:lang w:val="pt-BR"/>
        </w:rPr>
        <w:t>Metal</w:t>
      </w:r>
      <w:proofErr w:type="spellEnd"/>
      <w:r w:rsidRPr="00A111B6">
        <w:rPr>
          <w:rFonts w:ascii="Times New Roman" w:hAnsi="Times New Roman"/>
          <w:i/>
          <w:lang w:val="pt-BR"/>
        </w:rPr>
        <w:t>)</w:t>
      </w:r>
      <w:r w:rsidR="0076328F">
        <w:rPr>
          <w:rFonts w:ascii="Times New Roman" w:hAnsi="Times New Roman"/>
          <w:i/>
          <w:lang w:val="pt-BR"/>
        </w:rPr>
        <w:t>).100</w:t>
      </w:r>
      <w:r w:rsidRPr="00A111B6">
        <w:rPr>
          <w:rFonts w:ascii="Times New Roman" w:hAnsi="Times New Roman"/>
          <w:lang w:val="pt-BR"/>
        </w:rPr>
        <w:t xml:space="preserve"> em</w:t>
      </w:r>
      <w:r w:rsidRPr="00A111B6">
        <w:rPr>
          <w:rFonts w:ascii="Times New Roman" w:hAnsi="Times New Roman"/>
          <w:i/>
          <w:lang w:val="pt-BR"/>
        </w:rPr>
        <w:t xml:space="preserve"> 20, 40 e 60 mol% </w:t>
      </w:r>
      <w:r w:rsidRPr="00A111B6">
        <w:rPr>
          <w:rFonts w:ascii="Times New Roman" w:hAnsi="Times New Roman"/>
          <w:lang w:val="pt-BR"/>
        </w:rPr>
        <w:t>e</w:t>
      </w:r>
      <w:r w:rsidRPr="00A111B6">
        <w:rPr>
          <w:rFonts w:ascii="Times New Roman" w:hAnsi="Times New Roman"/>
          <w:i/>
          <w:lang w:val="pt-BR"/>
        </w:rPr>
        <w:t xml:space="preserve"> </w:t>
      </w:r>
      <w:r w:rsidRPr="00A111B6">
        <w:rPr>
          <w:rFonts w:ascii="Times New Roman" w:hAnsi="Times New Roman"/>
          <w:lang w:val="pt-BR"/>
        </w:rPr>
        <w:t xml:space="preserve">manteve-se fixa a relação molar </w:t>
      </w:r>
      <w:r w:rsidRPr="00A111B6">
        <w:rPr>
          <w:rFonts w:ascii="Times New Roman" w:hAnsi="Times New Roman"/>
          <w:i/>
          <w:lang w:val="pt-BR"/>
        </w:rPr>
        <w:t>x=</w:t>
      </w:r>
      <w:r w:rsidRPr="00A111B6">
        <w:rPr>
          <w:rFonts w:ascii="Times New Roman" w:hAnsi="Times New Roman"/>
          <w:lang w:val="pt-BR"/>
        </w:rPr>
        <w:t xml:space="preserve"> </w:t>
      </w:r>
      <w:r w:rsidRPr="00A111B6">
        <w:rPr>
          <w:rFonts w:ascii="Times New Roman" w:hAnsi="Times New Roman"/>
          <w:i/>
          <w:lang w:val="pt-BR"/>
        </w:rPr>
        <w:t>Al</w:t>
      </w:r>
      <w:r w:rsidRPr="00A111B6">
        <w:rPr>
          <w:rFonts w:ascii="Times New Roman" w:hAnsi="Times New Roman"/>
          <w:i/>
          <w:vertAlign w:val="superscript"/>
          <w:lang w:val="pt-BR"/>
        </w:rPr>
        <w:t>3+</w:t>
      </w:r>
      <w:r w:rsidRPr="00A111B6">
        <w:rPr>
          <w:rFonts w:ascii="Times New Roman" w:hAnsi="Times New Roman"/>
          <w:i/>
          <w:lang w:val="pt-BR"/>
        </w:rPr>
        <w:t>/(Al</w:t>
      </w:r>
      <w:r w:rsidRPr="00A111B6">
        <w:rPr>
          <w:rFonts w:ascii="Times New Roman" w:hAnsi="Times New Roman"/>
          <w:i/>
          <w:vertAlign w:val="superscript"/>
          <w:lang w:val="pt-BR"/>
        </w:rPr>
        <w:t>3+</w:t>
      </w:r>
      <w:r w:rsidRPr="00A111B6">
        <w:rPr>
          <w:rFonts w:ascii="Times New Roman" w:hAnsi="Times New Roman"/>
          <w:i/>
          <w:lang w:val="pt-BR"/>
        </w:rPr>
        <w:t xml:space="preserve"> + M</w:t>
      </w:r>
      <w:r w:rsidRPr="00A111B6">
        <w:rPr>
          <w:rFonts w:ascii="Times New Roman" w:hAnsi="Times New Roman"/>
          <w:i/>
          <w:vertAlign w:val="superscript"/>
          <w:lang w:val="pt-BR"/>
        </w:rPr>
        <w:t>2+</w:t>
      </w:r>
      <w:r w:rsidRPr="00A111B6">
        <w:rPr>
          <w:rFonts w:ascii="Times New Roman" w:hAnsi="Times New Roman"/>
          <w:i/>
          <w:lang w:val="pt-BR"/>
        </w:rPr>
        <w:t>) em 0,5</w:t>
      </w:r>
      <w:r>
        <w:rPr>
          <w:rFonts w:ascii="Times New Roman" w:hAnsi="Times New Roman"/>
          <w:i/>
          <w:lang w:val="pt-BR"/>
        </w:rPr>
        <w:t xml:space="preserve">. </w:t>
      </w:r>
      <w:r>
        <w:rPr>
          <w:rFonts w:ascii="Times New Roman" w:hAnsi="Times New Roman"/>
          <w:lang w:val="pt-BR"/>
        </w:rPr>
        <w:t>A</w:t>
      </w:r>
      <w:r w:rsidRPr="00A111B6">
        <w:rPr>
          <w:rFonts w:ascii="Times New Roman" w:hAnsi="Times New Roman"/>
          <w:lang w:val="pt-BR"/>
        </w:rPr>
        <w:t xml:space="preserve"> síntese</w:t>
      </w:r>
      <w:r>
        <w:rPr>
          <w:rFonts w:ascii="Times New Roman" w:hAnsi="Times New Roman"/>
          <w:lang w:val="pt-BR"/>
        </w:rPr>
        <w:t xml:space="preserve"> dos precursores</w:t>
      </w:r>
      <w:r w:rsidRPr="00A111B6">
        <w:rPr>
          <w:rFonts w:ascii="Times New Roman" w:hAnsi="Times New Roman"/>
          <w:lang w:val="pt-BR"/>
        </w:rPr>
        <w:t xml:space="preserve"> consistiu no preparo de 100 </w:t>
      </w:r>
      <w:proofErr w:type="spellStart"/>
      <w:r w:rsidRPr="00A111B6">
        <w:rPr>
          <w:rFonts w:ascii="Times New Roman" w:hAnsi="Times New Roman"/>
          <w:lang w:val="pt-BR"/>
        </w:rPr>
        <w:t>mL</w:t>
      </w:r>
      <w:proofErr w:type="spellEnd"/>
      <w:r w:rsidRPr="00A111B6">
        <w:rPr>
          <w:rFonts w:ascii="Times New Roman" w:hAnsi="Times New Roman"/>
          <w:lang w:val="pt-BR"/>
        </w:rPr>
        <w:t xml:space="preserve"> de duas soluções aquosas, onde a primeira continha sais de nitrato de M</w:t>
      </w:r>
      <w:r w:rsidRPr="00A111B6">
        <w:rPr>
          <w:rFonts w:ascii="Times New Roman" w:hAnsi="Times New Roman"/>
          <w:vertAlign w:val="superscript"/>
          <w:lang w:val="pt-BR"/>
        </w:rPr>
        <w:t>2+</w:t>
      </w:r>
      <w:r w:rsidR="00882DD4">
        <w:rPr>
          <w:rFonts w:ascii="Times New Roman" w:hAnsi="Times New Roman"/>
          <w:vertAlign w:val="superscript"/>
          <w:lang w:val="pt-BR"/>
        </w:rPr>
        <w:t xml:space="preserve"> </w:t>
      </w:r>
      <w:r w:rsidR="00C474A0">
        <w:rPr>
          <w:rFonts w:ascii="Times New Roman" w:hAnsi="Times New Roman"/>
          <w:lang w:val="pt-BR"/>
        </w:rPr>
        <w:t>(Zn ou Mn)</w:t>
      </w:r>
      <w:r>
        <w:rPr>
          <w:rFonts w:ascii="Times New Roman" w:hAnsi="Times New Roman"/>
          <w:lang w:val="pt-BR"/>
        </w:rPr>
        <w:t>,</w:t>
      </w:r>
      <w:r w:rsidRPr="00A111B6">
        <w:rPr>
          <w:rFonts w:ascii="Times New Roman" w:hAnsi="Times New Roman"/>
          <w:lang w:val="pt-BR"/>
        </w:rPr>
        <w:t xml:space="preserve"> nitrato de cobalto e nitrato de alumínio. A segunda solução continha o ácido </w:t>
      </w:r>
      <w:proofErr w:type="spellStart"/>
      <w:r w:rsidRPr="00A111B6">
        <w:rPr>
          <w:rFonts w:ascii="Times New Roman" w:hAnsi="Times New Roman"/>
          <w:lang w:val="pt-BR"/>
        </w:rPr>
        <w:t>tereftálico</w:t>
      </w:r>
      <w:proofErr w:type="spellEnd"/>
      <w:r w:rsidRPr="00A111B6">
        <w:rPr>
          <w:rFonts w:ascii="Times New Roman" w:hAnsi="Times New Roman"/>
          <w:lang w:val="pt-BR"/>
        </w:rPr>
        <w:t xml:space="preserve"> (com 10% de excesso em relação ao valor estequiométrico) e hidróxido de sódio. As duas soluções foram adicionadas </w:t>
      </w:r>
      <w:r>
        <w:rPr>
          <w:rFonts w:ascii="Times New Roman" w:hAnsi="Times New Roman"/>
          <w:lang w:val="pt-BR"/>
        </w:rPr>
        <w:t>de forma alternada</w:t>
      </w:r>
      <w:r w:rsidRPr="00A111B6">
        <w:rPr>
          <w:rFonts w:ascii="Times New Roman" w:hAnsi="Times New Roman"/>
          <w:lang w:val="pt-BR"/>
        </w:rPr>
        <w:t xml:space="preserve"> em um balão de fundo redondo contendo 100 </w:t>
      </w:r>
      <w:proofErr w:type="spellStart"/>
      <w:r w:rsidRPr="00A111B6">
        <w:rPr>
          <w:rFonts w:ascii="Times New Roman" w:hAnsi="Times New Roman"/>
          <w:lang w:val="pt-BR"/>
        </w:rPr>
        <w:t>mL</w:t>
      </w:r>
      <w:proofErr w:type="spellEnd"/>
      <w:r w:rsidRPr="00A111B6">
        <w:rPr>
          <w:rFonts w:ascii="Times New Roman" w:hAnsi="Times New Roman"/>
          <w:lang w:val="pt-BR"/>
        </w:rPr>
        <w:t xml:space="preserve"> de água deionizada</w:t>
      </w:r>
      <w:r>
        <w:rPr>
          <w:rFonts w:ascii="Times New Roman" w:hAnsi="Times New Roman"/>
          <w:lang w:val="pt-BR"/>
        </w:rPr>
        <w:t xml:space="preserve"> e descarbonatada</w:t>
      </w:r>
      <w:r w:rsidRPr="00A111B6">
        <w:rPr>
          <w:rFonts w:ascii="Times New Roman" w:hAnsi="Times New Roman"/>
          <w:lang w:val="pt-BR"/>
        </w:rPr>
        <w:t xml:space="preserve">. O sistema foi mantido sob agitação, </w:t>
      </w:r>
      <w:proofErr w:type="spellStart"/>
      <w:r w:rsidRPr="00A111B6">
        <w:rPr>
          <w:rFonts w:ascii="Times New Roman" w:hAnsi="Times New Roman"/>
          <w:lang w:val="pt-BR"/>
        </w:rPr>
        <w:t>borbulhamento</w:t>
      </w:r>
      <w:proofErr w:type="spellEnd"/>
      <w:r w:rsidRPr="00A111B6">
        <w:rPr>
          <w:rFonts w:ascii="Times New Roman" w:hAnsi="Times New Roman"/>
          <w:lang w:val="pt-BR"/>
        </w:rPr>
        <w:t xml:space="preserve"> de N</w:t>
      </w:r>
      <w:r w:rsidRPr="00A111B6">
        <w:rPr>
          <w:rFonts w:ascii="Times New Roman" w:hAnsi="Times New Roman"/>
          <w:vertAlign w:val="subscript"/>
          <w:lang w:val="pt-BR"/>
        </w:rPr>
        <w:t>2</w:t>
      </w:r>
      <w:r>
        <w:rPr>
          <w:rFonts w:ascii="Times New Roman" w:hAnsi="Times New Roman"/>
          <w:lang w:val="pt-BR"/>
        </w:rPr>
        <w:t xml:space="preserve"> e temperatura de 60 °C</w:t>
      </w:r>
      <w:r w:rsidRPr="00A111B6">
        <w:rPr>
          <w:rFonts w:ascii="Times New Roman" w:hAnsi="Times New Roman"/>
          <w:lang w:val="pt-BR"/>
        </w:rPr>
        <w:t>. O pH foi controlado, próximo de 6,5</w:t>
      </w:r>
      <w:r>
        <w:rPr>
          <w:rFonts w:ascii="Times New Roman" w:hAnsi="Times New Roman"/>
          <w:lang w:val="pt-BR"/>
        </w:rPr>
        <w:t xml:space="preserve">. </w:t>
      </w:r>
      <w:r w:rsidRPr="00A111B6">
        <w:rPr>
          <w:rFonts w:ascii="Times New Roman" w:hAnsi="Times New Roman"/>
          <w:lang w:val="pt-BR"/>
        </w:rPr>
        <w:t>Após a adição das soluções, a mistura ficou por 4 h na temper</w:t>
      </w:r>
      <w:r>
        <w:rPr>
          <w:rFonts w:ascii="Times New Roman" w:hAnsi="Times New Roman"/>
          <w:lang w:val="pt-BR"/>
        </w:rPr>
        <w:t>atura de 60 °C</w:t>
      </w:r>
      <w:r w:rsidRPr="00A111B6">
        <w:rPr>
          <w:rFonts w:ascii="Times New Roman" w:hAnsi="Times New Roman"/>
          <w:lang w:val="pt-BR"/>
        </w:rPr>
        <w:t>. O envelhecimento ocorreu</w:t>
      </w:r>
      <w:r>
        <w:rPr>
          <w:rFonts w:ascii="Times New Roman" w:hAnsi="Times New Roman"/>
          <w:lang w:val="pt-BR"/>
        </w:rPr>
        <w:t xml:space="preserve"> por 16h à temperatura ambiente. </w:t>
      </w:r>
      <w:r w:rsidRPr="00A111B6">
        <w:rPr>
          <w:rFonts w:ascii="Times New Roman" w:hAnsi="Times New Roman"/>
          <w:lang w:val="pt-BR"/>
        </w:rPr>
        <w:t xml:space="preserve">A troca iônica do ânion tereftalato pelo </w:t>
      </w:r>
      <w:proofErr w:type="spellStart"/>
      <w:r w:rsidRPr="00A111B6">
        <w:rPr>
          <w:rFonts w:ascii="Times New Roman" w:hAnsi="Times New Roman"/>
          <w:lang w:val="pt-BR"/>
        </w:rPr>
        <w:t>heptamolibdato</w:t>
      </w:r>
      <w:proofErr w:type="spellEnd"/>
      <w:r w:rsidRPr="00A111B6">
        <w:rPr>
          <w:rFonts w:ascii="Times New Roman" w:hAnsi="Times New Roman"/>
          <w:lang w:val="pt-BR"/>
        </w:rPr>
        <w:t xml:space="preserve"> (Mo</w:t>
      </w:r>
      <w:r w:rsidRPr="00A111B6">
        <w:rPr>
          <w:rFonts w:ascii="Times New Roman" w:hAnsi="Times New Roman"/>
          <w:vertAlign w:val="subscript"/>
          <w:lang w:val="pt-BR"/>
        </w:rPr>
        <w:t>7</w:t>
      </w:r>
      <w:r w:rsidRPr="00A111B6">
        <w:rPr>
          <w:rFonts w:ascii="Times New Roman" w:hAnsi="Times New Roman"/>
          <w:lang w:val="pt-BR"/>
        </w:rPr>
        <w:t>O</w:t>
      </w:r>
      <w:r w:rsidRPr="00A111B6">
        <w:rPr>
          <w:rFonts w:ascii="Times New Roman" w:hAnsi="Times New Roman"/>
          <w:vertAlign w:val="subscript"/>
          <w:lang w:val="pt-BR"/>
        </w:rPr>
        <w:t>24</w:t>
      </w:r>
      <w:r w:rsidRPr="00A111B6">
        <w:rPr>
          <w:rFonts w:ascii="Times New Roman" w:hAnsi="Times New Roman"/>
          <w:vertAlign w:val="superscript"/>
          <w:lang w:val="pt-BR"/>
        </w:rPr>
        <w:t>6-</w:t>
      </w:r>
      <w:r w:rsidRPr="00A111B6">
        <w:rPr>
          <w:rFonts w:ascii="Times New Roman" w:hAnsi="Times New Roman"/>
          <w:lang w:val="pt-BR"/>
        </w:rPr>
        <w:t>)</w:t>
      </w:r>
      <w:r>
        <w:rPr>
          <w:rFonts w:ascii="Times New Roman" w:hAnsi="Times New Roman"/>
          <w:lang w:val="pt-BR"/>
        </w:rPr>
        <w:t xml:space="preserve"> foi realizada</w:t>
      </w:r>
      <w:r w:rsidRPr="00A111B6">
        <w:rPr>
          <w:rFonts w:ascii="Times New Roman" w:hAnsi="Times New Roman"/>
          <w:lang w:val="pt-BR"/>
        </w:rPr>
        <w:t xml:space="preserve"> em um balão de fundo redondo contendo 300 </w:t>
      </w:r>
      <w:proofErr w:type="spellStart"/>
      <w:r w:rsidRPr="00A111B6">
        <w:rPr>
          <w:rFonts w:ascii="Times New Roman" w:hAnsi="Times New Roman"/>
          <w:lang w:val="pt-BR"/>
        </w:rPr>
        <w:t>mL</w:t>
      </w:r>
      <w:proofErr w:type="spellEnd"/>
      <w:r w:rsidRPr="00A111B6">
        <w:rPr>
          <w:rFonts w:ascii="Times New Roman" w:hAnsi="Times New Roman"/>
          <w:lang w:val="pt-BR"/>
        </w:rPr>
        <w:t xml:space="preserve"> de água destilada e descarbonatada</w:t>
      </w:r>
      <w:r>
        <w:rPr>
          <w:rFonts w:ascii="Times New Roman" w:hAnsi="Times New Roman"/>
          <w:lang w:val="pt-BR"/>
        </w:rPr>
        <w:t>, onde</w:t>
      </w:r>
      <w:r w:rsidRPr="00A111B6">
        <w:rPr>
          <w:rFonts w:ascii="Times New Roman" w:hAnsi="Times New Roman"/>
          <w:lang w:val="pt-BR"/>
        </w:rPr>
        <w:t xml:space="preserve"> foi adicionado 1 g do precursor e quantidade de </w:t>
      </w:r>
      <w:proofErr w:type="spellStart"/>
      <w:r w:rsidRPr="00A111B6">
        <w:rPr>
          <w:rFonts w:ascii="Times New Roman" w:hAnsi="Times New Roman"/>
          <w:lang w:val="pt-BR"/>
        </w:rPr>
        <w:t>heptamolibdato</w:t>
      </w:r>
      <w:proofErr w:type="spellEnd"/>
      <w:r w:rsidRPr="00A111B6">
        <w:rPr>
          <w:rFonts w:ascii="Times New Roman" w:hAnsi="Times New Roman"/>
          <w:lang w:val="pt-BR"/>
        </w:rPr>
        <w:t xml:space="preserve"> de amônio com excesso de 50 % em relação à quantidade estequiométrica do ânion tereftalato</w:t>
      </w:r>
      <w:r>
        <w:rPr>
          <w:rFonts w:ascii="Times New Roman" w:hAnsi="Times New Roman"/>
          <w:lang w:val="pt-BR"/>
        </w:rPr>
        <w:t xml:space="preserve"> </w:t>
      </w:r>
      <w:r w:rsidR="00B232F1">
        <w:rPr>
          <w:rFonts w:ascii="Times New Roman" w:hAnsi="Times New Roman"/>
          <w:noProof/>
          <w:lang w:val="pt-BR"/>
        </w:rPr>
        <w:t>(</w:t>
      </w:r>
      <w:r w:rsidR="00537D7B" w:rsidRPr="005D7FA3">
        <w:rPr>
          <w:rFonts w:ascii="Times New Roman" w:hAnsi="Times New Roman"/>
          <w:noProof/>
          <w:color w:val="000000" w:themeColor="text1"/>
          <w:lang w:val="pt-BR"/>
        </w:rPr>
        <w:t>6-8</w:t>
      </w:r>
      <w:r w:rsidR="00B232F1">
        <w:rPr>
          <w:rFonts w:ascii="Times New Roman" w:hAnsi="Times New Roman"/>
          <w:noProof/>
          <w:lang w:val="pt-BR"/>
        </w:rPr>
        <w:t>)</w:t>
      </w:r>
      <w:r>
        <w:rPr>
          <w:rFonts w:ascii="Times New Roman" w:hAnsi="Times New Roman"/>
          <w:lang w:val="pt-BR"/>
        </w:rPr>
        <w:t xml:space="preserve">. </w:t>
      </w:r>
      <w:r w:rsidRPr="00A111B6">
        <w:rPr>
          <w:rFonts w:ascii="Times New Roman" w:hAnsi="Times New Roman"/>
          <w:lang w:val="pt-BR"/>
        </w:rPr>
        <w:t>O tempo utilizado para a troca</w:t>
      </w:r>
      <w:r>
        <w:rPr>
          <w:rFonts w:ascii="Times New Roman" w:hAnsi="Times New Roman"/>
          <w:lang w:val="pt-BR"/>
        </w:rPr>
        <w:t xml:space="preserve"> foi de 24 h, com</w:t>
      </w:r>
      <w:r w:rsidRPr="00A111B6">
        <w:rPr>
          <w:rFonts w:ascii="Times New Roman" w:hAnsi="Times New Roman"/>
          <w:lang w:val="pt-BR"/>
        </w:rPr>
        <w:t xml:space="preserve"> temperatura </w:t>
      </w:r>
      <w:r>
        <w:rPr>
          <w:rFonts w:ascii="Times New Roman" w:hAnsi="Times New Roman"/>
          <w:lang w:val="pt-BR"/>
        </w:rPr>
        <w:t xml:space="preserve">de 50 °C. Para obtenção dos óxidos mistos </w:t>
      </w:r>
      <w:r w:rsidRPr="00AA3F31">
        <w:rPr>
          <w:rFonts w:ascii="Times New Roman" w:hAnsi="Times New Roman"/>
          <w:lang w:val="pt-BR"/>
        </w:rPr>
        <w:t>os materiais foram calcinados a 500 °C</w:t>
      </w:r>
      <w:r>
        <w:rPr>
          <w:rFonts w:ascii="Times New Roman" w:hAnsi="Times New Roman"/>
          <w:lang w:val="pt-BR"/>
        </w:rPr>
        <w:t xml:space="preserve">, </w:t>
      </w:r>
      <w:r w:rsidRPr="00AA3F31">
        <w:rPr>
          <w:rFonts w:ascii="Times New Roman" w:hAnsi="Times New Roman"/>
          <w:lang w:val="pt-BR"/>
        </w:rPr>
        <w:t>por 3 h</w:t>
      </w:r>
      <w:r>
        <w:rPr>
          <w:rFonts w:ascii="Times New Roman" w:hAnsi="Times New Roman"/>
          <w:lang w:val="pt-BR"/>
        </w:rPr>
        <w:t xml:space="preserve">, </w:t>
      </w:r>
      <w:r w:rsidRPr="00AA3F31">
        <w:rPr>
          <w:rFonts w:ascii="Times New Roman" w:hAnsi="Times New Roman"/>
          <w:lang w:val="pt-BR"/>
        </w:rPr>
        <w:t>em fluxo de ar</w:t>
      </w:r>
      <w:r w:rsidR="00A566B9">
        <w:rPr>
          <w:rFonts w:ascii="Times New Roman" w:hAnsi="Times New Roman"/>
          <w:lang w:val="pt-BR"/>
        </w:rPr>
        <w:t xml:space="preserve"> 200 </w:t>
      </w:r>
      <w:proofErr w:type="spellStart"/>
      <w:r w:rsidR="00A566B9">
        <w:rPr>
          <w:rFonts w:ascii="Times New Roman" w:hAnsi="Times New Roman"/>
          <w:lang w:val="pt-BR"/>
        </w:rPr>
        <w:t>mL</w:t>
      </w:r>
      <w:proofErr w:type="spellEnd"/>
      <w:r w:rsidR="00A566B9">
        <w:rPr>
          <w:rFonts w:ascii="Times New Roman" w:hAnsi="Times New Roman"/>
          <w:lang w:val="pt-BR"/>
        </w:rPr>
        <w:t xml:space="preserve"> </w:t>
      </w:r>
      <w:r>
        <w:rPr>
          <w:rFonts w:ascii="Times New Roman" w:hAnsi="Times New Roman"/>
          <w:lang w:val="pt-BR"/>
        </w:rPr>
        <w:t>min</w:t>
      </w:r>
      <w:r w:rsidRPr="00AA3F31">
        <w:rPr>
          <w:rFonts w:ascii="Times New Roman" w:hAnsi="Times New Roman"/>
          <w:vertAlign w:val="superscript"/>
          <w:lang w:val="pt-BR"/>
        </w:rPr>
        <w:t>-1</w:t>
      </w:r>
      <w:r w:rsidRPr="00AA3F31">
        <w:rPr>
          <w:rFonts w:ascii="Times New Roman" w:hAnsi="Times New Roman"/>
          <w:lang w:val="pt-BR"/>
        </w:rPr>
        <w:t xml:space="preserve">, </w:t>
      </w:r>
      <w:r>
        <w:rPr>
          <w:rFonts w:ascii="Times New Roman" w:hAnsi="Times New Roman"/>
          <w:lang w:val="pt-BR"/>
        </w:rPr>
        <w:t>com</w:t>
      </w:r>
      <w:r w:rsidR="00A566B9">
        <w:rPr>
          <w:rFonts w:ascii="Times New Roman" w:hAnsi="Times New Roman"/>
          <w:lang w:val="pt-BR"/>
        </w:rPr>
        <w:t xml:space="preserve"> taxa de aquecimento de 10 °C </w:t>
      </w:r>
      <w:r w:rsidRPr="00AA3F31">
        <w:rPr>
          <w:rFonts w:ascii="Times New Roman" w:hAnsi="Times New Roman"/>
          <w:lang w:val="pt-BR"/>
        </w:rPr>
        <w:t>min</w:t>
      </w:r>
      <w:r w:rsidRPr="00AA3F31">
        <w:rPr>
          <w:rFonts w:ascii="Times New Roman" w:hAnsi="Times New Roman"/>
          <w:vertAlign w:val="superscript"/>
          <w:lang w:val="pt-BR"/>
        </w:rPr>
        <w:t>−1</w:t>
      </w:r>
      <w:r>
        <w:rPr>
          <w:rFonts w:ascii="Times New Roman" w:hAnsi="Times New Roman"/>
          <w:lang w:val="pt-BR"/>
        </w:rPr>
        <w:t>.</w:t>
      </w:r>
    </w:p>
    <w:p w14:paraId="1219473F" w14:textId="662B751D" w:rsidR="00BB4750" w:rsidRPr="00C8443D" w:rsidRDefault="00BB4750" w:rsidP="0039056D">
      <w:pPr>
        <w:pStyle w:val="TAMainText"/>
        <w:spacing w:after="120"/>
        <w:ind w:firstLine="0"/>
        <w:rPr>
          <w:rFonts w:ascii="Times New Roman" w:hAnsi="Times New Roman"/>
          <w:lang w:val="pt-BR"/>
        </w:rPr>
      </w:pPr>
      <w:r w:rsidRPr="00D60FBF">
        <w:rPr>
          <w:rFonts w:ascii="Times New Roman" w:hAnsi="Times New Roman"/>
          <w:i/>
          <w:lang w:val="pt-BR"/>
        </w:rPr>
        <w:t>Caracterizações</w:t>
      </w:r>
      <w:r>
        <w:rPr>
          <w:rFonts w:ascii="Times New Roman" w:hAnsi="Times New Roman"/>
          <w:lang w:val="pt-BR"/>
        </w:rPr>
        <w:t xml:space="preserve">: </w:t>
      </w:r>
      <w:r w:rsidRPr="00DB6213">
        <w:rPr>
          <w:rFonts w:ascii="Times New Roman" w:hAnsi="Times New Roman"/>
          <w:lang w:val="pt-BR"/>
        </w:rPr>
        <w:t>As análises de difração de raios X foram realizadas no laboratór</w:t>
      </w:r>
      <w:r>
        <w:rPr>
          <w:rFonts w:ascii="Times New Roman" w:hAnsi="Times New Roman"/>
          <w:lang w:val="pt-BR"/>
        </w:rPr>
        <w:t xml:space="preserve">io Multiusuários de análise </w:t>
      </w:r>
      <w:r w:rsidRPr="00DB6213">
        <w:rPr>
          <w:rFonts w:ascii="Times New Roman" w:hAnsi="Times New Roman"/>
          <w:lang w:val="pt-BR"/>
        </w:rPr>
        <w:t>(IQ-UFRJ)</w:t>
      </w:r>
      <w:r>
        <w:rPr>
          <w:rFonts w:ascii="Times New Roman" w:hAnsi="Times New Roman"/>
          <w:lang w:val="pt-BR"/>
        </w:rPr>
        <w:t xml:space="preserve"> em um </w:t>
      </w:r>
      <w:proofErr w:type="spellStart"/>
      <w:r w:rsidRPr="00DB6213">
        <w:rPr>
          <w:rFonts w:ascii="Times New Roman" w:hAnsi="Times New Roman"/>
          <w:lang w:val="pt-BR"/>
        </w:rPr>
        <w:t>difratômetro</w:t>
      </w:r>
      <w:proofErr w:type="spellEnd"/>
      <w:r w:rsidRPr="00DB6213">
        <w:rPr>
          <w:rFonts w:ascii="Times New Roman" w:hAnsi="Times New Roman"/>
          <w:lang w:val="pt-BR"/>
        </w:rPr>
        <w:t xml:space="preserve"> </w:t>
      </w:r>
      <w:proofErr w:type="spellStart"/>
      <w:r w:rsidRPr="00DB6213">
        <w:rPr>
          <w:rFonts w:ascii="Times New Roman" w:hAnsi="Times New Roman"/>
          <w:i/>
          <w:iCs/>
          <w:lang w:val="pt-BR"/>
        </w:rPr>
        <w:t>Rigaku</w:t>
      </w:r>
      <w:proofErr w:type="spellEnd"/>
      <w:r w:rsidRPr="00DB6213">
        <w:rPr>
          <w:rFonts w:ascii="Times New Roman" w:hAnsi="Times New Roman"/>
          <w:i/>
          <w:iCs/>
          <w:lang w:val="pt-BR"/>
        </w:rPr>
        <w:t xml:space="preserve">, modelo Última IV </w:t>
      </w:r>
      <w:r w:rsidRPr="00DB6213">
        <w:rPr>
          <w:rFonts w:ascii="Times New Roman" w:hAnsi="Times New Roman"/>
          <w:iCs/>
          <w:lang w:val="pt-BR"/>
        </w:rPr>
        <w:t>com</w:t>
      </w:r>
      <w:r w:rsidRPr="00DB6213">
        <w:rPr>
          <w:rFonts w:ascii="Times New Roman" w:hAnsi="Times New Roman"/>
          <w:lang w:val="pt-BR"/>
        </w:rPr>
        <w:t xml:space="preserve"> geometria de Bragg-Brentano. Uma tensão de 40 kV e corrente de 2</w:t>
      </w:r>
      <w:r>
        <w:rPr>
          <w:rFonts w:ascii="Times New Roman" w:hAnsi="Times New Roman"/>
          <w:lang w:val="pt-BR"/>
        </w:rPr>
        <w:t xml:space="preserve">0 </w:t>
      </w:r>
      <w:proofErr w:type="spellStart"/>
      <w:r>
        <w:rPr>
          <w:rFonts w:ascii="Times New Roman" w:hAnsi="Times New Roman"/>
          <w:lang w:val="pt-BR"/>
        </w:rPr>
        <w:t>mA</w:t>
      </w:r>
      <w:proofErr w:type="spellEnd"/>
      <w:r>
        <w:rPr>
          <w:rFonts w:ascii="Times New Roman" w:hAnsi="Times New Roman"/>
          <w:lang w:val="pt-BR"/>
        </w:rPr>
        <w:t xml:space="preserve"> </w:t>
      </w:r>
      <w:r w:rsidRPr="00DB6213">
        <w:rPr>
          <w:rFonts w:ascii="Times New Roman" w:hAnsi="Times New Roman"/>
          <w:lang w:val="pt-BR"/>
        </w:rPr>
        <w:t>foram aplicadas. Os dados foram coletados no intervalo de 3-80 ° em 2</w:t>
      </w:r>
      <w:r w:rsidRPr="00DB6213">
        <w:rPr>
          <w:rFonts w:ascii="Times New Roman" w:hAnsi="Times New Roman"/>
        </w:rPr>
        <w:t>θ</w:t>
      </w:r>
      <w:r w:rsidRPr="00DB6213">
        <w:rPr>
          <w:rFonts w:ascii="Times New Roman" w:hAnsi="Times New Roman"/>
          <w:lang w:val="pt-BR"/>
        </w:rPr>
        <w:t xml:space="preserve"> (</w:t>
      </w:r>
      <w:proofErr w:type="spellStart"/>
      <w:r w:rsidRPr="00DB6213">
        <w:rPr>
          <w:rFonts w:ascii="Times New Roman" w:hAnsi="Times New Roman"/>
          <w:lang w:val="pt-BR"/>
        </w:rPr>
        <w:t>CuK</w:t>
      </w:r>
      <w:proofErr w:type="spellEnd"/>
      <w:r w:rsidRPr="00DB6213">
        <w:rPr>
          <w:rFonts w:ascii="Times New Roman" w:hAnsi="Times New Roman"/>
        </w:rPr>
        <w:t>α</w:t>
      </w:r>
      <w:r w:rsidRPr="00DB6213">
        <w:rPr>
          <w:rFonts w:ascii="Times New Roman" w:hAnsi="Times New Roman"/>
          <w:lang w:val="pt-BR"/>
        </w:rPr>
        <w:t>), com passo angular de 0,02° à temperat</w:t>
      </w:r>
      <w:r w:rsidR="00CE54A2">
        <w:rPr>
          <w:rFonts w:ascii="Times New Roman" w:hAnsi="Times New Roman"/>
          <w:lang w:val="pt-BR"/>
        </w:rPr>
        <w:t>ura ambiente</w:t>
      </w:r>
      <w:r>
        <w:rPr>
          <w:rFonts w:ascii="Times New Roman" w:hAnsi="Times New Roman"/>
          <w:lang w:val="pt-BR"/>
        </w:rPr>
        <w:t>. Os espectros de</w:t>
      </w:r>
      <w:r w:rsidR="00400816">
        <w:rPr>
          <w:rFonts w:ascii="Times New Roman" w:hAnsi="Times New Roman"/>
          <w:lang w:val="pt-BR"/>
        </w:rPr>
        <w:t xml:space="preserve"> infravermelho</w:t>
      </w:r>
      <w:r>
        <w:rPr>
          <w:rFonts w:ascii="Times New Roman" w:hAnsi="Times New Roman"/>
          <w:lang w:val="pt-BR"/>
        </w:rPr>
        <w:t xml:space="preserve"> foram coletados</w:t>
      </w:r>
      <w:r w:rsidRPr="00D60FBF">
        <w:rPr>
          <w:rFonts w:ascii="Times New Roman" w:hAnsi="Times New Roman"/>
          <w:lang w:val="pt-BR"/>
        </w:rPr>
        <w:t xml:space="preserve"> no aparelho da marca </w:t>
      </w:r>
      <w:proofErr w:type="spellStart"/>
      <w:r w:rsidRPr="00D60FBF">
        <w:rPr>
          <w:rFonts w:ascii="Times New Roman" w:hAnsi="Times New Roman"/>
          <w:lang w:val="pt-BR"/>
        </w:rPr>
        <w:t>Perkin</w:t>
      </w:r>
      <w:proofErr w:type="spellEnd"/>
      <w:r w:rsidRPr="00D60FBF">
        <w:rPr>
          <w:rFonts w:ascii="Times New Roman" w:hAnsi="Times New Roman"/>
          <w:lang w:val="pt-BR"/>
        </w:rPr>
        <w:t xml:space="preserve"> Elmer modelo Spectrum </w:t>
      </w:r>
      <w:proofErr w:type="spellStart"/>
      <w:r w:rsidRPr="00D60FBF">
        <w:rPr>
          <w:rFonts w:ascii="Times New Roman" w:hAnsi="Times New Roman"/>
          <w:lang w:val="pt-BR"/>
        </w:rPr>
        <w:t>One</w:t>
      </w:r>
      <w:proofErr w:type="spellEnd"/>
      <w:r w:rsidRPr="00D60FBF">
        <w:rPr>
          <w:rFonts w:ascii="Times New Roman" w:hAnsi="Times New Roman"/>
          <w:lang w:val="pt-BR"/>
        </w:rPr>
        <w:t>, na faixa de comprimento de onda de 4000 a 400 cm</w:t>
      </w:r>
      <w:r w:rsidRPr="00D60FBF">
        <w:rPr>
          <w:rFonts w:ascii="Times New Roman" w:hAnsi="Times New Roman"/>
          <w:vertAlign w:val="superscript"/>
          <w:lang w:val="pt-BR"/>
        </w:rPr>
        <w:t>−1</w:t>
      </w:r>
      <w:r w:rsidRPr="00D60FBF">
        <w:rPr>
          <w:rFonts w:ascii="Times New Roman" w:hAnsi="Times New Roman"/>
          <w:lang w:val="pt-BR"/>
        </w:rPr>
        <w:t>.</w:t>
      </w:r>
      <w:r>
        <w:rPr>
          <w:rFonts w:ascii="Times New Roman" w:hAnsi="Times New Roman"/>
          <w:lang w:val="pt-BR"/>
        </w:rPr>
        <w:t xml:space="preserve"> Análises Raman </w:t>
      </w:r>
      <w:r w:rsidRPr="0018785B">
        <w:rPr>
          <w:rFonts w:ascii="Times New Roman" w:hAnsi="Times New Roman"/>
          <w:lang w:val="pt-BR"/>
        </w:rPr>
        <w:t>foram re</w:t>
      </w:r>
      <w:r>
        <w:rPr>
          <w:rFonts w:ascii="Times New Roman" w:hAnsi="Times New Roman"/>
          <w:lang w:val="pt-BR"/>
        </w:rPr>
        <w:t>alizadas</w:t>
      </w:r>
      <w:r w:rsidRPr="0018785B">
        <w:rPr>
          <w:rFonts w:ascii="Times New Roman" w:hAnsi="Times New Roman"/>
          <w:lang w:val="pt-BR"/>
        </w:rPr>
        <w:t xml:space="preserve"> no</w:t>
      </w:r>
      <w:r>
        <w:rPr>
          <w:rFonts w:ascii="Times New Roman" w:hAnsi="Times New Roman"/>
          <w:lang w:val="pt-BR"/>
        </w:rPr>
        <w:t xml:space="preserve"> departamento de química da UFJF</w:t>
      </w:r>
      <w:r w:rsidRPr="0018785B">
        <w:rPr>
          <w:rFonts w:ascii="Times New Roman" w:hAnsi="Times New Roman"/>
          <w:lang w:val="pt-BR"/>
        </w:rPr>
        <w:t xml:space="preserve">, onde foi utilizado o espectrômetro </w:t>
      </w:r>
      <w:proofErr w:type="spellStart"/>
      <w:r w:rsidRPr="0018785B">
        <w:rPr>
          <w:rFonts w:ascii="Times New Roman" w:hAnsi="Times New Roman"/>
          <w:lang w:val="pt-BR"/>
        </w:rPr>
        <w:t>Senterra</w:t>
      </w:r>
      <w:proofErr w:type="spellEnd"/>
      <w:r w:rsidRPr="0018785B">
        <w:rPr>
          <w:rFonts w:ascii="Times New Roman" w:hAnsi="Times New Roman"/>
          <w:lang w:val="pt-BR"/>
        </w:rPr>
        <w:t xml:space="preserve">, marca </w:t>
      </w:r>
      <w:proofErr w:type="spellStart"/>
      <w:r w:rsidRPr="0018785B">
        <w:rPr>
          <w:rFonts w:ascii="Times New Roman" w:hAnsi="Times New Roman"/>
          <w:lang w:val="pt-BR"/>
        </w:rPr>
        <w:t>Bruker</w:t>
      </w:r>
      <w:proofErr w:type="spellEnd"/>
      <w:r w:rsidRPr="0018785B">
        <w:rPr>
          <w:rFonts w:ascii="Times New Roman" w:hAnsi="Times New Roman"/>
          <w:lang w:val="pt-BR"/>
        </w:rPr>
        <w:t xml:space="preserve">, conectado ao microscópio Olympus BX51 com objetiva de 50x. Para as amostras da série </w:t>
      </w:r>
      <w:proofErr w:type="spellStart"/>
      <w:r w:rsidRPr="0018785B">
        <w:rPr>
          <w:rFonts w:ascii="Times New Roman" w:hAnsi="Times New Roman"/>
          <w:lang w:val="pt-BR"/>
        </w:rPr>
        <w:t>CoZnAl</w:t>
      </w:r>
      <w:proofErr w:type="spellEnd"/>
      <w:r w:rsidRPr="0018785B">
        <w:rPr>
          <w:rFonts w:ascii="Times New Roman" w:hAnsi="Times New Roman"/>
          <w:lang w:val="pt-BR"/>
        </w:rPr>
        <w:t xml:space="preserve"> </w:t>
      </w:r>
      <w:r>
        <w:rPr>
          <w:rFonts w:ascii="Times New Roman" w:hAnsi="Times New Roman"/>
          <w:lang w:val="pt-BR"/>
        </w:rPr>
        <w:t>foi utilizada a</w:t>
      </w:r>
      <w:r w:rsidRPr="0018785B">
        <w:rPr>
          <w:rFonts w:ascii="Times New Roman" w:hAnsi="Times New Roman"/>
          <w:lang w:val="pt-BR"/>
        </w:rPr>
        <w:t xml:space="preserve"> potência do laser de 25 mW e</w:t>
      </w:r>
      <w:r w:rsidR="00924525">
        <w:rPr>
          <w:rFonts w:ascii="Times New Roman" w:hAnsi="Times New Roman"/>
          <w:lang w:val="pt-BR"/>
        </w:rPr>
        <w:t xml:space="preserve"> </w:t>
      </w:r>
      <w:r w:rsidR="00924525" w:rsidRPr="0018785B">
        <w:rPr>
          <w:rFonts w:ascii="Times New Roman" w:hAnsi="Times New Roman"/>
          <w:lang w:val="pt-BR"/>
        </w:rPr>
        <w:t>para</w:t>
      </w:r>
      <w:r w:rsidRPr="0018785B">
        <w:rPr>
          <w:rFonts w:ascii="Times New Roman" w:hAnsi="Times New Roman"/>
          <w:lang w:val="pt-BR"/>
        </w:rPr>
        <w:t xml:space="preserve"> </w:t>
      </w:r>
      <w:r w:rsidR="00924525" w:rsidRPr="0018785B">
        <w:rPr>
          <w:rFonts w:ascii="Times New Roman" w:hAnsi="Times New Roman"/>
          <w:lang w:val="pt-BR"/>
        </w:rPr>
        <w:t xml:space="preserve">série </w:t>
      </w:r>
      <w:proofErr w:type="spellStart"/>
      <w:r w:rsidR="00924525" w:rsidRPr="0018785B">
        <w:rPr>
          <w:rFonts w:ascii="Times New Roman" w:hAnsi="Times New Roman"/>
          <w:lang w:val="pt-BR"/>
        </w:rPr>
        <w:t>CoMnAl</w:t>
      </w:r>
      <w:proofErr w:type="spellEnd"/>
      <w:r w:rsidR="00924525" w:rsidRPr="0018785B">
        <w:rPr>
          <w:rFonts w:ascii="Times New Roman" w:hAnsi="Times New Roman"/>
          <w:lang w:val="pt-BR"/>
        </w:rPr>
        <w:t xml:space="preserve"> </w:t>
      </w:r>
      <w:r w:rsidRPr="0018785B">
        <w:rPr>
          <w:rFonts w:ascii="Times New Roman" w:hAnsi="Times New Roman"/>
          <w:lang w:val="pt-BR"/>
        </w:rPr>
        <w:t xml:space="preserve">10 </w:t>
      </w:r>
      <w:proofErr w:type="gramStart"/>
      <w:r w:rsidRPr="0018785B">
        <w:rPr>
          <w:rFonts w:ascii="Times New Roman" w:hAnsi="Times New Roman"/>
          <w:lang w:val="pt-BR"/>
        </w:rPr>
        <w:t>mW .</w:t>
      </w:r>
      <w:proofErr w:type="gramEnd"/>
      <w:r w:rsidRPr="0018785B">
        <w:rPr>
          <w:rFonts w:ascii="Times New Roman" w:hAnsi="Times New Roman"/>
          <w:lang w:val="pt-BR"/>
        </w:rPr>
        <w:t xml:space="preserve"> Os espectros foram adquiridos utilizando excitação de 785 </w:t>
      </w:r>
      <w:proofErr w:type="spellStart"/>
      <w:r w:rsidRPr="0018785B">
        <w:rPr>
          <w:rFonts w:ascii="Times New Roman" w:hAnsi="Times New Roman"/>
          <w:lang w:val="pt-BR"/>
        </w:rPr>
        <w:t>nm</w:t>
      </w:r>
      <w:proofErr w:type="spellEnd"/>
      <w:r w:rsidRPr="0018785B">
        <w:rPr>
          <w:rFonts w:ascii="Times New Roman" w:hAnsi="Times New Roman"/>
          <w:lang w:val="pt-BR"/>
        </w:rPr>
        <w:t xml:space="preserve"> (feixe de laser </w:t>
      </w:r>
      <w:proofErr w:type="spellStart"/>
      <w:r w:rsidRPr="0018785B">
        <w:rPr>
          <w:rFonts w:ascii="Times New Roman" w:hAnsi="Times New Roman"/>
          <w:lang w:val="pt-BR"/>
        </w:rPr>
        <w:t>He-Ne</w:t>
      </w:r>
      <w:proofErr w:type="spellEnd"/>
      <w:r w:rsidRPr="0018785B">
        <w:rPr>
          <w:rFonts w:ascii="Times New Roman" w:hAnsi="Times New Roman"/>
          <w:lang w:val="pt-BR"/>
        </w:rPr>
        <w:t>) e acumulação de 20s, no intervalo de 100 a 1200 cm</w:t>
      </w:r>
      <w:r w:rsidRPr="0018785B">
        <w:rPr>
          <w:rFonts w:ascii="Times New Roman" w:hAnsi="Times New Roman"/>
          <w:vertAlign w:val="superscript"/>
          <w:lang w:val="pt-BR"/>
        </w:rPr>
        <w:t>-1</w:t>
      </w:r>
      <w:r>
        <w:rPr>
          <w:rFonts w:ascii="Times New Roman" w:hAnsi="Times New Roman"/>
          <w:lang w:val="pt-BR"/>
        </w:rPr>
        <w:t xml:space="preserve">. </w:t>
      </w:r>
      <w:r w:rsidRPr="00D60FBF">
        <w:rPr>
          <w:rFonts w:ascii="Times New Roman" w:hAnsi="Times New Roman"/>
          <w:lang w:val="pt-BR"/>
        </w:rPr>
        <w:t>A determinação das prop</w:t>
      </w:r>
      <w:r>
        <w:rPr>
          <w:rFonts w:ascii="Times New Roman" w:hAnsi="Times New Roman"/>
          <w:lang w:val="pt-BR"/>
        </w:rPr>
        <w:t xml:space="preserve">riedades </w:t>
      </w:r>
      <w:proofErr w:type="spellStart"/>
      <w:r>
        <w:rPr>
          <w:rFonts w:ascii="Times New Roman" w:hAnsi="Times New Roman"/>
          <w:lang w:val="pt-BR"/>
        </w:rPr>
        <w:t>texturais</w:t>
      </w:r>
      <w:proofErr w:type="spellEnd"/>
      <w:r>
        <w:rPr>
          <w:rFonts w:ascii="Times New Roman" w:hAnsi="Times New Roman"/>
          <w:lang w:val="pt-BR"/>
        </w:rPr>
        <w:t xml:space="preserve"> dos óxidos foram realizadas</w:t>
      </w:r>
      <w:r w:rsidRPr="00D60FBF">
        <w:rPr>
          <w:rFonts w:ascii="Times New Roman" w:hAnsi="Times New Roman"/>
          <w:lang w:val="pt-BR"/>
        </w:rPr>
        <w:t xml:space="preserve"> num aparelho da marca </w:t>
      </w:r>
      <w:proofErr w:type="spellStart"/>
      <w:r w:rsidRPr="00D60FBF">
        <w:rPr>
          <w:rFonts w:ascii="Times New Roman" w:hAnsi="Times New Roman"/>
          <w:lang w:val="pt-BR"/>
        </w:rPr>
        <w:t>Micromeritics</w:t>
      </w:r>
      <w:proofErr w:type="spellEnd"/>
      <w:r w:rsidRPr="00D60FBF">
        <w:rPr>
          <w:rFonts w:ascii="Times New Roman" w:hAnsi="Times New Roman"/>
          <w:lang w:val="pt-BR"/>
        </w:rPr>
        <w:t xml:space="preserve">, modelo ASAP 2010, modo </w:t>
      </w:r>
      <w:proofErr w:type="spellStart"/>
      <w:r w:rsidRPr="00D60FBF">
        <w:rPr>
          <w:rFonts w:ascii="Times New Roman" w:hAnsi="Times New Roman"/>
          <w:lang w:val="pt-BR"/>
        </w:rPr>
        <w:t>fissisorção</w:t>
      </w:r>
      <w:proofErr w:type="spellEnd"/>
      <w:r w:rsidRPr="00D60FBF">
        <w:rPr>
          <w:rFonts w:ascii="Times New Roman" w:hAnsi="Times New Roman"/>
          <w:lang w:val="pt-BR"/>
        </w:rPr>
        <w:t>, por adsorção de N</w:t>
      </w:r>
      <w:r w:rsidRPr="00D60FBF">
        <w:rPr>
          <w:rFonts w:ascii="Times New Roman" w:hAnsi="Times New Roman"/>
          <w:vertAlign w:val="subscript"/>
          <w:lang w:val="pt-BR"/>
        </w:rPr>
        <w:t>2</w:t>
      </w:r>
      <w:r w:rsidRPr="00D60FBF">
        <w:rPr>
          <w:rFonts w:ascii="Times New Roman" w:hAnsi="Times New Roman"/>
          <w:lang w:val="pt-BR"/>
        </w:rPr>
        <w:t xml:space="preserve"> a 77 K</w:t>
      </w:r>
      <w:r>
        <w:rPr>
          <w:rFonts w:ascii="Times New Roman" w:hAnsi="Times New Roman"/>
          <w:lang w:val="pt-BR"/>
        </w:rPr>
        <w:t xml:space="preserve">. </w:t>
      </w:r>
      <w:r w:rsidRPr="00E30619">
        <w:rPr>
          <w:rFonts w:ascii="Times New Roman" w:hAnsi="Times New Roman"/>
          <w:lang w:val="pt-BR"/>
        </w:rPr>
        <w:t xml:space="preserve">A análise de ICP foi realizada na Central Analítica da Universidade de São Paulo - USP em um Espectrômetro </w:t>
      </w:r>
      <w:r w:rsidRPr="00E30619">
        <w:rPr>
          <w:rFonts w:ascii="Times New Roman" w:hAnsi="Times New Roman"/>
          <w:lang w:val="pt-BR"/>
        </w:rPr>
        <w:t xml:space="preserve">Ótico de Emissão Atômica com Plasma Indutivamente Acoplado (ICP-OES) fabricante </w:t>
      </w:r>
      <w:proofErr w:type="spellStart"/>
      <w:r w:rsidRPr="00E30619">
        <w:rPr>
          <w:rFonts w:ascii="Times New Roman" w:hAnsi="Times New Roman"/>
          <w:lang w:val="pt-BR"/>
        </w:rPr>
        <w:t>Spectro</w:t>
      </w:r>
      <w:proofErr w:type="spellEnd"/>
      <w:r w:rsidRPr="00E30619">
        <w:rPr>
          <w:rFonts w:ascii="Times New Roman" w:hAnsi="Times New Roman"/>
          <w:lang w:val="pt-BR"/>
        </w:rPr>
        <w:t xml:space="preserve"> e modelo Arcos.</w:t>
      </w:r>
    </w:p>
    <w:p w14:paraId="6ECEF6A1" w14:textId="77777777" w:rsidR="00BB4750" w:rsidRDefault="00BB4750" w:rsidP="0039056D">
      <w:pPr>
        <w:pStyle w:val="Ttulo2"/>
        <w:rPr>
          <w:rFonts w:ascii="Helvetica" w:hAnsi="Helvetica" w:cs="Helvetica"/>
          <w:sz w:val="24"/>
          <w:szCs w:val="24"/>
        </w:rPr>
      </w:pPr>
      <w:r w:rsidRPr="001F25B2">
        <w:rPr>
          <w:rFonts w:ascii="Helvetica" w:hAnsi="Helvetica" w:cs="Helvetica"/>
          <w:sz w:val="24"/>
          <w:szCs w:val="24"/>
        </w:rPr>
        <w:t>Resultados e Discussão</w:t>
      </w:r>
    </w:p>
    <w:p w14:paraId="14D8736B" w14:textId="77777777" w:rsidR="00BB4750" w:rsidRPr="004307A7" w:rsidRDefault="00BB4750" w:rsidP="0039056D">
      <w:pPr>
        <w:spacing w:after="120" w:line="240" w:lineRule="auto"/>
        <w:jc w:val="both"/>
        <w:rPr>
          <w:rFonts w:ascii="Times New Roman" w:hAnsi="Times New Roman"/>
          <w:i/>
          <w:iCs/>
          <w:sz w:val="20"/>
          <w:szCs w:val="20"/>
          <w:u w:val="single"/>
        </w:rPr>
      </w:pPr>
      <w:r w:rsidRPr="004307A7">
        <w:rPr>
          <w:rFonts w:ascii="Times New Roman" w:hAnsi="Times New Roman"/>
          <w:i/>
          <w:iCs/>
          <w:sz w:val="20"/>
          <w:szCs w:val="20"/>
          <w:u w:val="single"/>
        </w:rPr>
        <w:t>Precursores</w:t>
      </w:r>
    </w:p>
    <w:p w14:paraId="4ED0818C" w14:textId="77777777" w:rsidR="00BB4750" w:rsidRPr="006559F7" w:rsidRDefault="00BB4750" w:rsidP="0039056D">
      <w:pPr>
        <w:spacing w:line="240" w:lineRule="auto"/>
        <w:ind w:firstLine="708"/>
        <w:jc w:val="both"/>
        <w:rPr>
          <w:rFonts w:ascii="Times New Roman" w:hAnsi="Times New Roman"/>
          <w:sz w:val="20"/>
          <w:szCs w:val="20"/>
        </w:rPr>
      </w:pPr>
      <w:r w:rsidRPr="00FC3C90">
        <w:rPr>
          <w:rFonts w:ascii="Times New Roman" w:hAnsi="Times New Roman"/>
          <w:sz w:val="20"/>
          <w:szCs w:val="20"/>
        </w:rPr>
        <w:t>A fase cristalina</w:t>
      </w:r>
      <w:bookmarkStart w:id="2" w:name="_Hlk130503632"/>
      <w:r w:rsidRPr="00FC3C90">
        <w:rPr>
          <w:rFonts w:ascii="Times New Roman" w:hAnsi="Times New Roman"/>
          <w:sz w:val="20"/>
          <w:szCs w:val="20"/>
        </w:rPr>
        <w:t xml:space="preserve"> no qual os precursores foram cristalizados foi avaliada </w:t>
      </w:r>
      <w:bookmarkEnd w:id="2"/>
      <w:r w:rsidRPr="00FC3C90">
        <w:rPr>
          <w:rFonts w:ascii="Times New Roman" w:hAnsi="Times New Roman"/>
          <w:sz w:val="20"/>
          <w:szCs w:val="20"/>
        </w:rPr>
        <w:t xml:space="preserve">por difração de raios X </w:t>
      </w:r>
      <w:r>
        <w:rPr>
          <w:rFonts w:ascii="Times New Roman" w:hAnsi="Times New Roman"/>
          <w:sz w:val="20"/>
          <w:szCs w:val="20"/>
        </w:rPr>
        <w:t>e o</w:t>
      </w:r>
      <w:r w:rsidRPr="00FC3C90">
        <w:rPr>
          <w:rFonts w:ascii="Times New Roman" w:hAnsi="Times New Roman"/>
          <w:sz w:val="20"/>
          <w:szCs w:val="20"/>
        </w:rPr>
        <w:t xml:space="preserve">s </w:t>
      </w:r>
      <w:proofErr w:type="spellStart"/>
      <w:r>
        <w:rPr>
          <w:rFonts w:ascii="Times New Roman" w:hAnsi="Times New Roman"/>
          <w:sz w:val="20"/>
          <w:szCs w:val="20"/>
        </w:rPr>
        <w:t>difratogramas</w:t>
      </w:r>
      <w:proofErr w:type="spellEnd"/>
      <w:r w:rsidRPr="00FC3C90">
        <w:rPr>
          <w:rFonts w:ascii="Times New Roman" w:hAnsi="Times New Roman"/>
          <w:sz w:val="20"/>
          <w:szCs w:val="20"/>
        </w:rPr>
        <w:t xml:space="preserve"> </w:t>
      </w:r>
      <w:r>
        <w:rPr>
          <w:rFonts w:ascii="Times New Roman" w:hAnsi="Times New Roman"/>
          <w:sz w:val="20"/>
          <w:szCs w:val="20"/>
        </w:rPr>
        <w:t xml:space="preserve">estão </w:t>
      </w:r>
      <w:r w:rsidRPr="00FC3C90">
        <w:rPr>
          <w:rFonts w:ascii="Times New Roman" w:hAnsi="Times New Roman"/>
          <w:sz w:val="20"/>
          <w:szCs w:val="20"/>
        </w:rPr>
        <w:t>dispostos na</w:t>
      </w:r>
      <w:r>
        <w:rPr>
          <w:rFonts w:ascii="Times New Roman" w:hAnsi="Times New Roman"/>
          <w:sz w:val="20"/>
          <w:szCs w:val="20"/>
        </w:rPr>
        <w:t>s</w:t>
      </w:r>
      <w:r w:rsidRPr="00FC3C90">
        <w:rPr>
          <w:rFonts w:ascii="Times New Roman" w:hAnsi="Times New Roman"/>
          <w:sz w:val="20"/>
          <w:szCs w:val="20"/>
        </w:rPr>
        <w:t xml:space="preserve"> Figura</w:t>
      </w:r>
      <w:r>
        <w:rPr>
          <w:rFonts w:ascii="Times New Roman" w:hAnsi="Times New Roman"/>
          <w:sz w:val="20"/>
          <w:szCs w:val="20"/>
        </w:rPr>
        <w:t>s</w:t>
      </w:r>
      <w:r w:rsidRPr="00FC3C90">
        <w:rPr>
          <w:rFonts w:ascii="Times New Roman" w:hAnsi="Times New Roman"/>
          <w:sz w:val="20"/>
          <w:szCs w:val="20"/>
        </w:rPr>
        <w:t xml:space="preserve"> </w:t>
      </w:r>
      <w:r>
        <w:rPr>
          <w:rFonts w:ascii="Times New Roman" w:hAnsi="Times New Roman"/>
          <w:sz w:val="20"/>
          <w:szCs w:val="20"/>
        </w:rPr>
        <w:t>1a e 1b.</w:t>
      </w:r>
      <w:r w:rsidRPr="00FC3C90">
        <w:rPr>
          <w:rFonts w:ascii="Times New Roman" w:hAnsi="Times New Roman"/>
          <w:sz w:val="20"/>
          <w:szCs w:val="20"/>
        </w:rPr>
        <w:t xml:space="preserve"> </w:t>
      </w:r>
    </w:p>
    <w:tbl>
      <w:tblPr>
        <w:tblW w:w="0" w:type="auto"/>
        <w:tblLook w:val="04A0" w:firstRow="1" w:lastRow="0" w:firstColumn="1" w:lastColumn="0" w:noHBand="0" w:noVBand="1"/>
      </w:tblPr>
      <w:tblGrid>
        <w:gridCol w:w="4758"/>
      </w:tblGrid>
      <w:tr w:rsidR="00BB4750" w:rsidRPr="00957156" w14:paraId="0E517561" w14:textId="77777777" w:rsidTr="0039056D">
        <w:tc>
          <w:tcPr>
            <w:tcW w:w="4758" w:type="dxa"/>
            <w:shd w:val="clear" w:color="auto" w:fill="auto"/>
          </w:tcPr>
          <w:p w14:paraId="3006C21C" w14:textId="2E8E22A6" w:rsidR="00BB4750" w:rsidRPr="00957156" w:rsidRDefault="00AA2426" w:rsidP="0039056D">
            <w:pPr>
              <w:spacing w:after="0" w:line="240" w:lineRule="auto"/>
              <w:jc w:val="center"/>
            </w:pPr>
            <w:r w:rsidRPr="00AA2426">
              <w:rPr>
                <w:noProof/>
                <w:lang w:eastAsia="pt-BR"/>
              </w:rPr>
              <w:drawing>
                <wp:inline distT="0" distB="0" distL="0" distR="0" wp14:anchorId="6347A8AA" wp14:editId="64A0D3E4">
                  <wp:extent cx="2790088" cy="1440000"/>
                  <wp:effectExtent l="0" t="0" r="0" b="8255"/>
                  <wp:docPr id="16" name="Imagem 16" descr="C:\Users\LabCat\Desktop\web\pos-doc(2019)\CBCAT-23\Figuras\drx-hdl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bCat\Desktop\web\pos-doc(2019)\CBCAT-23\Figuras\drx-hdlZ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088" cy="1440000"/>
                          </a:xfrm>
                          <a:prstGeom prst="rect">
                            <a:avLst/>
                          </a:prstGeom>
                          <a:noFill/>
                          <a:ln>
                            <a:noFill/>
                          </a:ln>
                        </pic:spPr>
                      </pic:pic>
                    </a:graphicData>
                  </a:graphic>
                </wp:inline>
              </w:drawing>
            </w:r>
          </w:p>
        </w:tc>
      </w:tr>
      <w:tr w:rsidR="00BB4750" w:rsidRPr="00957156" w14:paraId="2DF42881" w14:textId="77777777" w:rsidTr="0039056D">
        <w:tc>
          <w:tcPr>
            <w:tcW w:w="4758" w:type="dxa"/>
            <w:shd w:val="clear" w:color="auto" w:fill="auto"/>
          </w:tcPr>
          <w:p w14:paraId="6610CF78" w14:textId="39187D35" w:rsidR="00BB4750" w:rsidRPr="00957156" w:rsidRDefault="00AA2426" w:rsidP="0039056D">
            <w:pPr>
              <w:spacing w:after="0" w:line="240" w:lineRule="auto"/>
              <w:jc w:val="center"/>
            </w:pPr>
            <w:r w:rsidRPr="00AA2426">
              <w:rPr>
                <w:noProof/>
                <w:lang w:eastAsia="pt-BR"/>
              </w:rPr>
              <w:drawing>
                <wp:inline distT="0" distB="0" distL="0" distR="0" wp14:anchorId="4F4FF1C8" wp14:editId="427F6BDC">
                  <wp:extent cx="2790388" cy="1548000"/>
                  <wp:effectExtent l="0" t="0" r="0" b="0"/>
                  <wp:docPr id="17" name="Imagem 17" descr="C:\Users\LabCat\Desktop\web\pos-doc(2019)\CBCAT-23\Figuras\drx-hd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abCat\Desktop\web\pos-doc(2019)\CBCAT-23\Figuras\drx-hdlM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0388" cy="1548000"/>
                          </a:xfrm>
                          <a:prstGeom prst="rect">
                            <a:avLst/>
                          </a:prstGeom>
                          <a:noFill/>
                          <a:ln>
                            <a:noFill/>
                          </a:ln>
                        </pic:spPr>
                      </pic:pic>
                    </a:graphicData>
                  </a:graphic>
                </wp:inline>
              </w:drawing>
            </w:r>
          </w:p>
        </w:tc>
      </w:tr>
    </w:tbl>
    <w:p w14:paraId="0AC2A4A6" w14:textId="77777777" w:rsidR="00BB4750" w:rsidRDefault="00BB4750" w:rsidP="0039056D">
      <w:pPr>
        <w:pStyle w:val="VAFigureCaption"/>
        <w:spacing w:before="0" w:after="12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proofErr w:type="spellStart"/>
      <w:r>
        <w:rPr>
          <w:rFonts w:ascii="Times New Roman" w:hAnsi="Times New Roman"/>
          <w:lang w:val="pt-BR"/>
        </w:rPr>
        <w:t>Difratogramas</w:t>
      </w:r>
      <w:proofErr w:type="spellEnd"/>
      <w:r>
        <w:rPr>
          <w:rFonts w:ascii="Times New Roman" w:hAnsi="Times New Roman"/>
          <w:lang w:val="pt-BR"/>
        </w:rPr>
        <w:t xml:space="preserve"> das amostras das séries (a) </w:t>
      </w:r>
      <w:proofErr w:type="spellStart"/>
      <w:r>
        <w:rPr>
          <w:rFonts w:ascii="Times New Roman" w:hAnsi="Times New Roman"/>
          <w:lang w:val="pt-BR"/>
        </w:rPr>
        <w:t>CoZnAl</w:t>
      </w:r>
      <w:proofErr w:type="spellEnd"/>
      <w:r>
        <w:rPr>
          <w:rFonts w:ascii="Times New Roman" w:hAnsi="Times New Roman"/>
          <w:lang w:val="pt-BR"/>
        </w:rPr>
        <w:t xml:space="preserve">-tereftalato; (b) </w:t>
      </w:r>
      <w:proofErr w:type="spellStart"/>
      <w:r>
        <w:rPr>
          <w:rFonts w:ascii="Times New Roman" w:hAnsi="Times New Roman"/>
          <w:lang w:val="pt-BR"/>
        </w:rPr>
        <w:t>CoMnAl</w:t>
      </w:r>
      <w:proofErr w:type="spellEnd"/>
      <w:r>
        <w:rPr>
          <w:rFonts w:ascii="Times New Roman" w:hAnsi="Times New Roman"/>
          <w:lang w:val="pt-BR"/>
        </w:rPr>
        <w:t>-tereftalato.</w:t>
      </w:r>
    </w:p>
    <w:p w14:paraId="6833283A" w14:textId="3CA91824" w:rsidR="00BB4750" w:rsidRPr="00E72BB2" w:rsidRDefault="00BB4750" w:rsidP="0039056D">
      <w:pPr>
        <w:spacing w:after="0" w:line="240" w:lineRule="auto"/>
        <w:ind w:firstLine="708"/>
        <w:jc w:val="both"/>
        <w:rPr>
          <w:lang w:eastAsia="pt-BR"/>
        </w:rPr>
      </w:pPr>
      <w:r w:rsidRPr="00FC3C90">
        <w:rPr>
          <w:rFonts w:ascii="Times New Roman" w:hAnsi="Times New Roman"/>
          <w:sz w:val="20"/>
          <w:szCs w:val="20"/>
        </w:rPr>
        <w:t xml:space="preserve">Os materiais apresentaram um padrão típico de um composto do tipo </w:t>
      </w:r>
      <w:proofErr w:type="spellStart"/>
      <w:r w:rsidRPr="00FC3C90">
        <w:rPr>
          <w:rFonts w:ascii="Times New Roman" w:hAnsi="Times New Roman"/>
          <w:sz w:val="20"/>
          <w:szCs w:val="20"/>
        </w:rPr>
        <w:t>hidrotalcita</w:t>
      </w:r>
      <w:proofErr w:type="spellEnd"/>
      <w:r w:rsidRPr="00FC3C90">
        <w:rPr>
          <w:rFonts w:ascii="Times New Roman" w:hAnsi="Times New Roman"/>
          <w:sz w:val="20"/>
          <w:szCs w:val="20"/>
        </w:rPr>
        <w:t xml:space="preserve">, onde são observados picos espaçados em 2θ &lt; </w:t>
      </w:r>
      <w:r w:rsidRPr="00CA2832">
        <w:rPr>
          <w:rFonts w:ascii="Times New Roman" w:hAnsi="Times New Roman"/>
          <w:sz w:val="20"/>
          <w:szCs w:val="20"/>
        </w:rPr>
        <w:t>30</w:t>
      </w:r>
      <w:proofErr w:type="gramStart"/>
      <w:r w:rsidRPr="00CA2832">
        <w:rPr>
          <w:rFonts w:ascii="Times New Roman" w:hAnsi="Times New Roman"/>
          <w:sz w:val="20"/>
          <w:szCs w:val="20"/>
        </w:rPr>
        <w:t>°</w:t>
      </w:r>
      <w:r w:rsidR="007660BC" w:rsidRPr="00CA2832">
        <w:rPr>
          <w:rFonts w:ascii="Times New Roman" w:hAnsi="Times New Roman"/>
          <w:sz w:val="20"/>
          <w:szCs w:val="20"/>
        </w:rPr>
        <w:t>(</w:t>
      </w:r>
      <w:proofErr w:type="gramEnd"/>
      <w:r w:rsidR="007660BC" w:rsidRPr="00CA2832">
        <w:rPr>
          <w:rFonts w:ascii="Times New Roman" w:hAnsi="Times New Roman"/>
          <w:sz w:val="20"/>
          <w:szCs w:val="20"/>
        </w:rPr>
        <w:t>9)</w:t>
      </w:r>
      <w:r w:rsidRPr="00CA2832">
        <w:rPr>
          <w:rFonts w:ascii="Times New Roman" w:hAnsi="Times New Roman"/>
          <w:sz w:val="20"/>
          <w:szCs w:val="20"/>
        </w:rPr>
        <w:t>.</w:t>
      </w:r>
      <w:r w:rsidRPr="00CA2832">
        <w:rPr>
          <w:rFonts w:ascii="Times New Roman" w:eastAsia="Calibri" w:hAnsi="Times New Roman"/>
          <w:sz w:val="24"/>
          <w:szCs w:val="24"/>
        </w:rPr>
        <w:t xml:space="preserve"> </w:t>
      </w:r>
      <w:r w:rsidRPr="005B3D80">
        <w:rPr>
          <w:rFonts w:ascii="Times New Roman" w:hAnsi="Times New Roman"/>
          <w:sz w:val="20"/>
          <w:szCs w:val="20"/>
        </w:rPr>
        <w:t xml:space="preserve">Os valores dos ângulos de Bragg tendem a mudar com o aumento do tamanho do ânion intercalado entre as lamelas, neste caso, quanto maior o ânion maior será o valor da distância </w:t>
      </w:r>
      <w:proofErr w:type="spellStart"/>
      <w:r w:rsidRPr="005B3D80">
        <w:rPr>
          <w:rFonts w:ascii="Times New Roman" w:hAnsi="Times New Roman"/>
          <w:sz w:val="20"/>
          <w:szCs w:val="20"/>
        </w:rPr>
        <w:t>interplanar</w:t>
      </w:r>
      <w:proofErr w:type="spellEnd"/>
      <w:r w:rsidRPr="005B3D80">
        <w:rPr>
          <w:rFonts w:ascii="Times New Roman" w:hAnsi="Times New Roman"/>
          <w:sz w:val="20"/>
          <w:szCs w:val="20"/>
        </w:rPr>
        <w:t xml:space="preserve"> (</w:t>
      </w:r>
      <w:r w:rsidRPr="00A97309">
        <w:rPr>
          <w:rFonts w:ascii="Times New Roman" w:hAnsi="Times New Roman"/>
          <w:i/>
          <w:iCs/>
          <w:sz w:val="20"/>
          <w:szCs w:val="20"/>
        </w:rPr>
        <w:t>d</w:t>
      </w:r>
      <w:r w:rsidRPr="005B3D80">
        <w:rPr>
          <w:rFonts w:ascii="Times New Roman" w:hAnsi="Times New Roman"/>
          <w:sz w:val="20"/>
          <w:szCs w:val="20"/>
        </w:rPr>
        <w:t>) e os picos tendem a se deslocar para menores valores de 2θ</w:t>
      </w:r>
      <w:r w:rsidR="00756C0D">
        <w:rPr>
          <w:rFonts w:ascii="Times New Roman" w:hAnsi="Times New Roman"/>
          <w:sz w:val="20"/>
          <w:szCs w:val="20"/>
        </w:rPr>
        <w:t xml:space="preserve"> (9)</w:t>
      </w:r>
      <w:r w:rsidRPr="005B3D80">
        <w:rPr>
          <w:rFonts w:ascii="Times New Roman" w:hAnsi="Times New Roman"/>
          <w:sz w:val="20"/>
          <w:szCs w:val="20"/>
        </w:rPr>
        <w:t>. Assim, considerando o ânion tereftalato com o tamanho de aproximadamente, 9,5 Å, disposto verticalmente entre as lamelas da HDT, e para uma radiação com comprimento de onda (</w:t>
      </w:r>
      <w:proofErr w:type="spellStart"/>
      <w:r w:rsidRPr="00A97309">
        <w:rPr>
          <w:rFonts w:ascii="Times New Roman" w:hAnsi="Times New Roman"/>
          <w:sz w:val="20"/>
          <w:szCs w:val="20"/>
        </w:rPr>
        <w:t>CuK</w:t>
      </w:r>
      <w:proofErr w:type="spellEnd"/>
      <w:r w:rsidRPr="00A97309">
        <w:rPr>
          <w:rFonts w:ascii="Times New Roman" w:hAnsi="Times New Roman"/>
          <w:sz w:val="20"/>
          <w:szCs w:val="20"/>
        </w:rPr>
        <w:t>α</w:t>
      </w:r>
      <w:r w:rsidRPr="005B3D80">
        <w:rPr>
          <w:rFonts w:ascii="Times New Roman" w:hAnsi="Times New Roman"/>
          <w:sz w:val="20"/>
          <w:szCs w:val="20"/>
        </w:rPr>
        <w:t xml:space="preserve">) é de se esperar que o pico 003, por exemplo, desloque para 2θ próximo de 6,14° quando a espessura da lamela é de 4,9 Å. Os dados de difração de raios X por </w:t>
      </w:r>
      <w:proofErr w:type="spellStart"/>
      <w:r w:rsidRPr="005B3D80">
        <w:rPr>
          <w:rFonts w:ascii="Times New Roman" w:hAnsi="Times New Roman"/>
          <w:sz w:val="20"/>
          <w:szCs w:val="20"/>
        </w:rPr>
        <w:t>policristais</w:t>
      </w:r>
      <w:proofErr w:type="spellEnd"/>
      <w:r w:rsidRPr="005B3D80">
        <w:rPr>
          <w:rFonts w:ascii="Times New Roman" w:hAnsi="Times New Roman"/>
          <w:sz w:val="20"/>
          <w:szCs w:val="20"/>
        </w:rPr>
        <w:t xml:space="preserve"> para as amostras da série mostram que o pico 003 est</w:t>
      </w:r>
      <w:r w:rsidR="00611EB7">
        <w:rPr>
          <w:rFonts w:ascii="Times New Roman" w:hAnsi="Times New Roman"/>
          <w:sz w:val="20"/>
          <w:szCs w:val="20"/>
        </w:rPr>
        <w:t>á</w:t>
      </w:r>
      <w:r w:rsidRPr="005B3D80">
        <w:rPr>
          <w:rFonts w:ascii="Times New Roman" w:hAnsi="Times New Roman"/>
          <w:sz w:val="20"/>
          <w:szCs w:val="20"/>
        </w:rPr>
        <w:t xml:space="preserve"> em 2θ igual a 6,27°, sugerindo a intercalação do ânion.</w:t>
      </w:r>
      <w:r>
        <w:rPr>
          <w:rFonts w:ascii="Times New Roman" w:hAnsi="Times New Roman"/>
          <w:sz w:val="20"/>
          <w:szCs w:val="20"/>
        </w:rPr>
        <w:t xml:space="preserve"> </w:t>
      </w:r>
      <w:r w:rsidRPr="005B3D80">
        <w:rPr>
          <w:rFonts w:ascii="Times New Roman" w:hAnsi="Times New Roman"/>
          <w:sz w:val="20"/>
          <w:szCs w:val="20"/>
        </w:rPr>
        <w:t xml:space="preserve">Os parâmetros de cela unitária </w:t>
      </w:r>
      <w:r w:rsidRPr="00502027">
        <w:rPr>
          <w:rFonts w:ascii="Times New Roman" w:hAnsi="Times New Roman"/>
          <w:i/>
          <w:iCs/>
          <w:sz w:val="20"/>
          <w:szCs w:val="20"/>
        </w:rPr>
        <w:t>a</w:t>
      </w:r>
      <w:r w:rsidRPr="005B3D80">
        <w:rPr>
          <w:rFonts w:ascii="Times New Roman" w:hAnsi="Times New Roman"/>
          <w:sz w:val="20"/>
          <w:szCs w:val="20"/>
        </w:rPr>
        <w:t xml:space="preserve"> e </w:t>
      </w:r>
      <w:r w:rsidRPr="00502027">
        <w:rPr>
          <w:rFonts w:ascii="Times New Roman" w:hAnsi="Times New Roman"/>
          <w:i/>
          <w:iCs/>
          <w:sz w:val="20"/>
          <w:szCs w:val="20"/>
        </w:rPr>
        <w:t xml:space="preserve">c </w:t>
      </w:r>
      <w:r w:rsidRPr="005B3D80">
        <w:rPr>
          <w:rFonts w:ascii="Times New Roman" w:hAnsi="Times New Roman"/>
          <w:sz w:val="20"/>
          <w:szCs w:val="20"/>
        </w:rPr>
        <w:t xml:space="preserve">foram calculados, respectivamente, a partir das reflexões </w:t>
      </w:r>
      <w:r w:rsidRPr="0076328F">
        <w:rPr>
          <w:rFonts w:ascii="Times New Roman" w:hAnsi="Times New Roman"/>
          <w:i/>
          <w:iCs/>
          <w:sz w:val="20"/>
          <w:szCs w:val="20"/>
        </w:rPr>
        <w:t>(110)</w:t>
      </w:r>
      <w:r w:rsidRPr="005B3D80">
        <w:rPr>
          <w:rFonts w:ascii="Times New Roman" w:hAnsi="Times New Roman"/>
          <w:sz w:val="20"/>
          <w:szCs w:val="20"/>
        </w:rPr>
        <w:t xml:space="preserve"> e </w:t>
      </w:r>
      <w:r w:rsidRPr="0076328F">
        <w:rPr>
          <w:rFonts w:ascii="Times New Roman" w:hAnsi="Times New Roman"/>
          <w:i/>
          <w:iCs/>
          <w:sz w:val="20"/>
          <w:szCs w:val="20"/>
        </w:rPr>
        <w:t>(003)</w:t>
      </w:r>
      <w:r w:rsidRPr="005B3D80">
        <w:rPr>
          <w:rFonts w:ascii="Times New Roman" w:hAnsi="Times New Roman"/>
          <w:sz w:val="20"/>
          <w:szCs w:val="20"/>
        </w:rPr>
        <w:t xml:space="preserve">, usando a relação </w:t>
      </w:r>
      <w:r w:rsidRPr="000533B1">
        <w:rPr>
          <w:rFonts w:ascii="Times New Roman" w:hAnsi="Times New Roman"/>
          <w:i/>
          <w:iCs/>
          <w:sz w:val="20"/>
          <w:szCs w:val="20"/>
        </w:rPr>
        <w:t>a=2d</w:t>
      </w:r>
      <w:r w:rsidRPr="000533B1">
        <w:rPr>
          <w:rFonts w:ascii="Times New Roman" w:hAnsi="Times New Roman"/>
          <w:i/>
          <w:iCs/>
          <w:sz w:val="20"/>
          <w:szCs w:val="20"/>
          <w:vertAlign w:val="subscript"/>
        </w:rPr>
        <w:t>110</w:t>
      </w:r>
      <w:r w:rsidRPr="005B3D80">
        <w:rPr>
          <w:rFonts w:ascii="Times New Roman" w:hAnsi="Times New Roman"/>
          <w:sz w:val="20"/>
          <w:szCs w:val="20"/>
        </w:rPr>
        <w:t xml:space="preserve"> e </w:t>
      </w:r>
      <w:r w:rsidRPr="000533B1">
        <w:rPr>
          <w:rFonts w:ascii="Times New Roman" w:hAnsi="Times New Roman"/>
          <w:i/>
          <w:iCs/>
          <w:sz w:val="20"/>
          <w:szCs w:val="20"/>
        </w:rPr>
        <w:t>c=3d</w:t>
      </w:r>
      <w:r w:rsidRPr="000533B1">
        <w:rPr>
          <w:rFonts w:ascii="Times New Roman" w:hAnsi="Times New Roman"/>
          <w:i/>
          <w:iCs/>
          <w:sz w:val="20"/>
          <w:szCs w:val="20"/>
          <w:vertAlign w:val="subscript"/>
        </w:rPr>
        <w:t>003</w:t>
      </w:r>
      <w:r>
        <w:rPr>
          <w:rFonts w:ascii="Times New Roman" w:hAnsi="Times New Roman"/>
          <w:sz w:val="20"/>
          <w:szCs w:val="20"/>
        </w:rPr>
        <w:t>.</w:t>
      </w:r>
      <w:r w:rsidRPr="006559F7">
        <w:rPr>
          <w:rFonts w:ascii="Times New Roman" w:eastAsia="Calibri" w:hAnsi="Times New Roman"/>
          <w:sz w:val="24"/>
          <w:szCs w:val="24"/>
        </w:rPr>
        <w:t xml:space="preserve"> </w:t>
      </w:r>
      <w:r w:rsidRPr="006559F7">
        <w:rPr>
          <w:rFonts w:ascii="Times New Roman" w:hAnsi="Times New Roman"/>
          <w:sz w:val="20"/>
          <w:szCs w:val="20"/>
        </w:rPr>
        <w:t>Para as amostras da série CoZnAl</w:t>
      </w:r>
      <w:r>
        <w:rPr>
          <w:rFonts w:ascii="Times New Roman" w:hAnsi="Times New Roman"/>
          <w:sz w:val="20"/>
          <w:szCs w:val="20"/>
        </w:rPr>
        <w:t>T6</w:t>
      </w:r>
      <w:r w:rsidRPr="006559F7">
        <w:rPr>
          <w:rFonts w:ascii="Times New Roman" w:hAnsi="Times New Roman"/>
          <w:sz w:val="20"/>
          <w:szCs w:val="20"/>
        </w:rPr>
        <w:t xml:space="preserve"> o parâmetro </w:t>
      </w:r>
      <w:r w:rsidRPr="000533B1">
        <w:rPr>
          <w:rFonts w:ascii="Times New Roman" w:hAnsi="Times New Roman"/>
          <w:i/>
          <w:iCs/>
          <w:sz w:val="20"/>
          <w:szCs w:val="20"/>
        </w:rPr>
        <w:t>a</w:t>
      </w:r>
      <w:r w:rsidRPr="006559F7">
        <w:rPr>
          <w:rFonts w:ascii="Times New Roman" w:hAnsi="Times New Roman"/>
          <w:sz w:val="20"/>
          <w:szCs w:val="20"/>
        </w:rPr>
        <w:t xml:space="preserve"> calculado é igual 3,04 Å, característico de compostos do tipo </w:t>
      </w:r>
      <w:proofErr w:type="spellStart"/>
      <w:r w:rsidRPr="006559F7">
        <w:rPr>
          <w:rFonts w:ascii="Times New Roman" w:hAnsi="Times New Roman"/>
          <w:sz w:val="20"/>
          <w:szCs w:val="20"/>
        </w:rPr>
        <w:t>hidrotalacita</w:t>
      </w:r>
      <w:proofErr w:type="spellEnd"/>
      <w:r w:rsidRPr="006559F7">
        <w:rPr>
          <w:rFonts w:ascii="Times New Roman" w:hAnsi="Times New Roman"/>
          <w:sz w:val="20"/>
          <w:szCs w:val="20"/>
        </w:rPr>
        <w:t>, sugerindo que os íons Zn</w:t>
      </w:r>
      <w:r w:rsidRPr="006559F7">
        <w:rPr>
          <w:rFonts w:ascii="Times New Roman" w:hAnsi="Times New Roman"/>
          <w:sz w:val="20"/>
          <w:szCs w:val="20"/>
          <w:vertAlign w:val="superscript"/>
        </w:rPr>
        <w:t>2+</w:t>
      </w:r>
      <w:r w:rsidRPr="006559F7">
        <w:rPr>
          <w:rFonts w:ascii="Times New Roman" w:hAnsi="Times New Roman"/>
          <w:sz w:val="20"/>
          <w:szCs w:val="20"/>
        </w:rPr>
        <w:t xml:space="preserve"> foram </w:t>
      </w:r>
      <w:proofErr w:type="spellStart"/>
      <w:r w:rsidRPr="006559F7">
        <w:rPr>
          <w:rFonts w:ascii="Times New Roman" w:hAnsi="Times New Roman"/>
          <w:sz w:val="20"/>
          <w:szCs w:val="20"/>
        </w:rPr>
        <w:t>isomorficamente</w:t>
      </w:r>
      <w:proofErr w:type="spellEnd"/>
      <w:r w:rsidRPr="006559F7">
        <w:rPr>
          <w:rFonts w:ascii="Times New Roman" w:hAnsi="Times New Roman"/>
          <w:sz w:val="20"/>
          <w:szCs w:val="20"/>
        </w:rPr>
        <w:t xml:space="preserve"> substituídos por íons Co</w:t>
      </w:r>
      <w:r w:rsidRPr="006559F7">
        <w:rPr>
          <w:rFonts w:ascii="Times New Roman" w:hAnsi="Times New Roman"/>
          <w:sz w:val="20"/>
          <w:szCs w:val="20"/>
          <w:vertAlign w:val="superscript"/>
        </w:rPr>
        <w:t>2+</w:t>
      </w:r>
      <w:r w:rsidRPr="006559F7">
        <w:rPr>
          <w:rFonts w:ascii="Times New Roman" w:hAnsi="Times New Roman"/>
          <w:sz w:val="20"/>
          <w:szCs w:val="20"/>
        </w:rPr>
        <w:t xml:space="preserve"> nas lamelas das </w:t>
      </w:r>
      <w:proofErr w:type="spellStart"/>
      <w:r w:rsidRPr="006559F7">
        <w:rPr>
          <w:rFonts w:ascii="Times New Roman" w:hAnsi="Times New Roman"/>
          <w:sz w:val="20"/>
          <w:szCs w:val="20"/>
        </w:rPr>
        <w:t>hidrotalcitas</w:t>
      </w:r>
      <w:proofErr w:type="spellEnd"/>
      <w:r w:rsidRPr="006559F7">
        <w:rPr>
          <w:rFonts w:ascii="Times New Roman" w:hAnsi="Times New Roman"/>
          <w:sz w:val="20"/>
          <w:szCs w:val="20"/>
        </w:rPr>
        <w:t xml:space="preserve">. O valor do parâmetro </w:t>
      </w:r>
      <w:r w:rsidRPr="008734C3">
        <w:rPr>
          <w:rFonts w:ascii="Times New Roman" w:hAnsi="Times New Roman"/>
          <w:i/>
          <w:iCs/>
          <w:sz w:val="20"/>
          <w:szCs w:val="20"/>
        </w:rPr>
        <w:t xml:space="preserve">c </w:t>
      </w:r>
      <w:r w:rsidRPr="006559F7">
        <w:rPr>
          <w:rFonts w:ascii="Times New Roman" w:hAnsi="Times New Roman"/>
          <w:sz w:val="20"/>
          <w:szCs w:val="20"/>
        </w:rPr>
        <w:t xml:space="preserve">para as amostras foi igual a 42,3Å. Esses valores </w:t>
      </w:r>
      <w:r>
        <w:rPr>
          <w:rFonts w:ascii="Times New Roman" w:hAnsi="Times New Roman"/>
          <w:sz w:val="20"/>
          <w:szCs w:val="20"/>
        </w:rPr>
        <w:t>estão em consonância com</w:t>
      </w:r>
      <w:r w:rsidRPr="006559F7">
        <w:rPr>
          <w:rFonts w:ascii="Times New Roman" w:hAnsi="Times New Roman"/>
          <w:sz w:val="20"/>
          <w:szCs w:val="20"/>
        </w:rPr>
        <w:t xml:space="preserve"> valores reportados na </w:t>
      </w:r>
      <w:r w:rsidRPr="006559F7">
        <w:rPr>
          <w:rFonts w:ascii="Times New Roman" w:hAnsi="Times New Roman"/>
          <w:sz w:val="20"/>
          <w:szCs w:val="20"/>
        </w:rPr>
        <w:lastRenderedPageBreak/>
        <w:t>literatura para compostos d</w:t>
      </w:r>
      <w:r w:rsidR="0023402E">
        <w:rPr>
          <w:rFonts w:ascii="Times New Roman" w:hAnsi="Times New Roman"/>
          <w:sz w:val="20"/>
          <w:szCs w:val="20"/>
        </w:rPr>
        <w:t xml:space="preserve">o tipo </w:t>
      </w:r>
      <w:proofErr w:type="spellStart"/>
      <w:r w:rsidR="0023402E">
        <w:rPr>
          <w:rFonts w:ascii="Times New Roman" w:hAnsi="Times New Roman"/>
          <w:sz w:val="20"/>
          <w:szCs w:val="20"/>
        </w:rPr>
        <w:t>hidrotalcitas</w:t>
      </w:r>
      <w:proofErr w:type="spellEnd"/>
      <w:r w:rsidR="0023402E">
        <w:rPr>
          <w:rFonts w:ascii="Times New Roman" w:hAnsi="Times New Roman"/>
          <w:sz w:val="20"/>
          <w:szCs w:val="20"/>
        </w:rPr>
        <w:t xml:space="preserve"> contendo o</w:t>
      </w:r>
      <w:r w:rsidRPr="006559F7">
        <w:rPr>
          <w:rFonts w:ascii="Times New Roman" w:hAnsi="Times New Roman"/>
          <w:sz w:val="20"/>
          <w:szCs w:val="20"/>
        </w:rPr>
        <w:t xml:space="preserve"> ânion </w:t>
      </w:r>
      <w:r w:rsidR="0023402E">
        <w:rPr>
          <w:rFonts w:ascii="Times New Roman" w:hAnsi="Times New Roman"/>
          <w:sz w:val="20"/>
          <w:szCs w:val="20"/>
        </w:rPr>
        <w:t xml:space="preserve">tereftalato </w:t>
      </w:r>
      <w:r w:rsidR="00B232F1">
        <w:rPr>
          <w:rFonts w:ascii="Times New Roman" w:hAnsi="Times New Roman"/>
          <w:noProof/>
          <w:sz w:val="20"/>
          <w:szCs w:val="20"/>
        </w:rPr>
        <w:t>(</w:t>
      </w:r>
      <w:r w:rsidR="00480136" w:rsidRPr="005D7FA3">
        <w:rPr>
          <w:rFonts w:ascii="Times New Roman" w:hAnsi="Times New Roman"/>
          <w:noProof/>
          <w:color w:val="000000" w:themeColor="text1"/>
          <w:sz w:val="20"/>
          <w:szCs w:val="20"/>
        </w:rPr>
        <w:t>7</w:t>
      </w:r>
      <w:r w:rsidR="00B232F1">
        <w:rPr>
          <w:rFonts w:ascii="Times New Roman" w:hAnsi="Times New Roman"/>
          <w:noProof/>
          <w:sz w:val="20"/>
          <w:szCs w:val="20"/>
        </w:rPr>
        <w:t>)</w:t>
      </w:r>
      <w:r w:rsidR="00CE54A2">
        <w:rPr>
          <w:rFonts w:ascii="Times New Roman" w:hAnsi="Times New Roman"/>
          <w:noProof/>
          <w:sz w:val="20"/>
          <w:szCs w:val="20"/>
        </w:rPr>
        <w:t>.</w:t>
      </w:r>
    </w:p>
    <w:p w14:paraId="0D9B348E" w14:textId="54308590" w:rsidR="00BB4750" w:rsidRPr="009B3654" w:rsidRDefault="00BB4750" w:rsidP="0039056D">
      <w:pPr>
        <w:spacing w:line="240" w:lineRule="auto"/>
        <w:ind w:firstLine="708"/>
        <w:jc w:val="both"/>
        <w:rPr>
          <w:rFonts w:ascii="Times New Roman" w:hAnsi="Times New Roman"/>
          <w:sz w:val="20"/>
          <w:szCs w:val="20"/>
          <w:lang w:eastAsia="pt-BR"/>
        </w:rPr>
      </w:pPr>
      <w:r w:rsidRPr="00F973E4">
        <w:rPr>
          <w:rFonts w:ascii="Times New Roman" w:hAnsi="Times New Roman"/>
          <w:sz w:val="20"/>
          <w:szCs w:val="20"/>
          <w:lang w:eastAsia="pt-BR"/>
        </w:rPr>
        <w:t xml:space="preserve">A caracterização dos materiais a partir da espectroscopia na região do </w:t>
      </w:r>
      <w:r w:rsidRPr="009B3654">
        <w:rPr>
          <w:rFonts w:ascii="Times New Roman" w:hAnsi="Times New Roman"/>
          <w:sz w:val="20"/>
          <w:szCs w:val="20"/>
          <w:lang w:eastAsia="pt-BR"/>
        </w:rPr>
        <w:t>infravermelho foi realizada e os resultados estão dispostos na</w:t>
      </w:r>
      <w:r w:rsidR="00CE54A2">
        <w:rPr>
          <w:rFonts w:ascii="Times New Roman" w:hAnsi="Times New Roman"/>
          <w:sz w:val="20"/>
          <w:szCs w:val="20"/>
          <w:lang w:eastAsia="pt-BR"/>
        </w:rPr>
        <w:t>s</w:t>
      </w:r>
      <w:r w:rsidRPr="009B3654">
        <w:rPr>
          <w:rFonts w:ascii="Times New Roman" w:hAnsi="Times New Roman"/>
          <w:sz w:val="20"/>
          <w:szCs w:val="20"/>
          <w:lang w:eastAsia="pt-BR"/>
        </w:rPr>
        <w:t xml:space="preserve"> Figura </w:t>
      </w:r>
      <w:r>
        <w:rPr>
          <w:rFonts w:ascii="Times New Roman" w:hAnsi="Times New Roman"/>
          <w:sz w:val="20"/>
          <w:szCs w:val="20"/>
          <w:lang w:eastAsia="pt-BR"/>
        </w:rPr>
        <w:t>2</w:t>
      </w:r>
      <w:r w:rsidR="00925693">
        <w:rPr>
          <w:rFonts w:ascii="Times New Roman" w:hAnsi="Times New Roman"/>
          <w:sz w:val="20"/>
          <w:szCs w:val="20"/>
          <w:lang w:eastAsia="pt-BR"/>
        </w:rPr>
        <w:t>a</w:t>
      </w:r>
      <w:r w:rsidR="00CE54A2">
        <w:rPr>
          <w:rFonts w:ascii="Times New Roman" w:hAnsi="Times New Roman"/>
          <w:sz w:val="20"/>
          <w:szCs w:val="20"/>
          <w:lang w:eastAsia="pt-BR"/>
        </w:rPr>
        <w:t xml:space="preserve"> e 2b</w:t>
      </w:r>
      <w:r w:rsidRPr="009B3654">
        <w:rPr>
          <w:rFonts w:ascii="Times New Roman" w:hAnsi="Times New Roman"/>
          <w:sz w:val="20"/>
          <w:szCs w:val="20"/>
          <w:lang w:eastAsia="pt-BR"/>
        </w:rPr>
        <w:t>, onde é possível observar duas bandas intensas em 1397</w:t>
      </w:r>
      <w:r w:rsidR="005D7FA3">
        <w:rPr>
          <w:rFonts w:ascii="Times New Roman" w:hAnsi="Times New Roman"/>
          <w:sz w:val="20"/>
          <w:szCs w:val="20"/>
          <w:lang w:eastAsia="pt-BR"/>
        </w:rPr>
        <w:t xml:space="preserve"> cm</w:t>
      </w:r>
      <w:r w:rsidR="005D7FA3" w:rsidRPr="005D7FA3">
        <w:rPr>
          <w:rFonts w:ascii="Times New Roman" w:hAnsi="Times New Roman"/>
          <w:sz w:val="20"/>
          <w:szCs w:val="20"/>
          <w:vertAlign w:val="superscript"/>
          <w:lang w:eastAsia="pt-BR"/>
        </w:rPr>
        <w:t>-1</w:t>
      </w:r>
      <w:r w:rsidRPr="009B3654">
        <w:rPr>
          <w:rFonts w:ascii="Times New Roman" w:hAnsi="Times New Roman"/>
          <w:sz w:val="20"/>
          <w:szCs w:val="20"/>
          <w:lang w:eastAsia="pt-BR"/>
        </w:rPr>
        <w:t xml:space="preserve"> e 1580 cm</w:t>
      </w:r>
      <w:r w:rsidRPr="009B3654">
        <w:rPr>
          <w:rFonts w:ascii="Times New Roman" w:hAnsi="Times New Roman"/>
          <w:sz w:val="20"/>
          <w:szCs w:val="20"/>
          <w:vertAlign w:val="superscript"/>
          <w:lang w:eastAsia="pt-BR"/>
        </w:rPr>
        <w:t>-1</w:t>
      </w:r>
      <w:r w:rsidRPr="009B3654">
        <w:rPr>
          <w:rFonts w:ascii="Times New Roman" w:hAnsi="Times New Roman"/>
          <w:sz w:val="20"/>
          <w:szCs w:val="20"/>
          <w:lang w:eastAsia="pt-BR"/>
        </w:rPr>
        <w:t xml:space="preserve">, atribuídas, respectivamente, aos estiramentos simétrico e </w:t>
      </w:r>
      <w:proofErr w:type="spellStart"/>
      <w:r w:rsidRPr="009B3654">
        <w:rPr>
          <w:rFonts w:ascii="Times New Roman" w:hAnsi="Times New Roman"/>
          <w:sz w:val="20"/>
          <w:szCs w:val="20"/>
          <w:lang w:eastAsia="pt-BR"/>
        </w:rPr>
        <w:t>assimetrico</w:t>
      </w:r>
      <w:proofErr w:type="spellEnd"/>
      <w:r w:rsidRPr="009B3654">
        <w:rPr>
          <w:rFonts w:ascii="Times New Roman" w:hAnsi="Times New Roman"/>
          <w:sz w:val="20"/>
          <w:szCs w:val="20"/>
          <w:lang w:eastAsia="pt-BR"/>
        </w:rPr>
        <w:t xml:space="preserve"> do grupo </w:t>
      </w:r>
      <w:proofErr w:type="spellStart"/>
      <w:r w:rsidRPr="009B3654">
        <w:rPr>
          <w:rFonts w:ascii="Times New Roman" w:hAnsi="Times New Roman"/>
          <w:sz w:val="20"/>
          <w:szCs w:val="20"/>
          <w:lang w:eastAsia="pt-BR"/>
        </w:rPr>
        <w:t>carboxilato</w:t>
      </w:r>
      <w:proofErr w:type="spellEnd"/>
      <w:r w:rsidRPr="009B3654">
        <w:rPr>
          <w:rFonts w:ascii="Times New Roman" w:hAnsi="Times New Roman"/>
          <w:sz w:val="20"/>
          <w:szCs w:val="20"/>
          <w:lang w:eastAsia="pt-BR"/>
        </w:rPr>
        <w:t xml:space="preserve"> do ânion tereftalato </w:t>
      </w:r>
      <w:r w:rsidR="00B232F1">
        <w:rPr>
          <w:rFonts w:ascii="Times New Roman" w:hAnsi="Times New Roman"/>
          <w:noProof/>
          <w:sz w:val="20"/>
          <w:szCs w:val="20"/>
          <w:lang w:eastAsia="pt-BR"/>
        </w:rPr>
        <w:t>(</w:t>
      </w:r>
      <w:r w:rsidR="00480136" w:rsidRPr="005D7FA3">
        <w:rPr>
          <w:rFonts w:ascii="Times New Roman" w:hAnsi="Times New Roman"/>
          <w:noProof/>
          <w:color w:val="000000" w:themeColor="text1"/>
          <w:sz w:val="20"/>
          <w:szCs w:val="20"/>
          <w:lang w:eastAsia="pt-BR"/>
        </w:rPr>
        <w:t>6-8</w:t>
      </w:r>
      <w:r w:rsidR="00B232F1">
        <w:rPr>
          <w:rFonts w:ascii="Times New Roman" w:hAnsi="Times New Roman"/>
          <w:noProof/>
          <w:sz w:val="20"/>
          <w:szCs w:val="20"/>
          <w:lang w:eastAsia="pt-BR"/>
        </w:rPr>
        <w:t>)</w:t>
      </w:r>
      <w:r w:rsidRPr="009B3654">
        <w:rPr>
          <w:rFonts w:ascii="Times New Roman" w:hAnsi="Times New Roman"/>
          <w:sz w:val="20"/>
          <w:szCs w:val="20"/>
          <w:lang w:eastAsia="pt-BR"/>
        </w:rPr>
        <w:t>. As bandas em 1504, 1310 e 1153 cm</w:t>
      </w:r>
      <w:r w:rsidRPr="009B3654">
        <w:rPr>
          <w:rFonts w:ascii="Times New Roman" w:hAnsi="Times New Roman"/>
          <w:sz w:val="20"/>
          <w:szCs w:val="20"/>
          <w:vertAlign w:val="superscript"/>
          <w:lang w:eastAsia="pt-BR"/>
        </w:rPr>
        <w:t xml:space="preserve">-1 </w:t>
      </w:r>
      <w:r w:rsidRPr="009B3654">
        <w:rPr>
          <w:rFonts w:ascii="Times New Roman" w:hAnsi="Times New Roman"/>
          <w:sz w:val="20"/>
          <w:szCs w:val="20"/>
          <w:lang w:eastAsia="pt-BR"/>
        </w:rPr>
        <w:t>estão relacionadas aos modos vibracionais C-H, C-O e C-C do ânion tereftalato. Adicionalmente, as bandas em 825 e 743 cm</w:t>
      </w:r>
      <w:r w:rsidRPr="009B3654">
        <w:rPr>
          <w:rFonts w:ascii="Times New Roman" w:hAnsi="Times New Roman"/>
          <w:sz w:val="20"/>
          <w:szCs w:val="20"/>
          <w:vertAlign w:val="superscript"/>
          <w:lang w:eastAsia="pt-BR"/>
        </w:rPr>
        <w:t xml:space="preserve">-1 </w:t>
      </w:r>
      <w:r w:rsidRPr="009B3654">
        <w:rPr>
          <w:rFonts w:ascii="Times New Roman" w:hAnsi="Times New Roman"/>
          <w:sz w:val="20"/>
          <w:szCs w:val="20"/>
          <w:lang w:eastAsia="pt-BR"/>
        </w:rPr>
        <w:t>são atribuídas à vibração do anel benzênico do ânion.</w:t>
      </w:r>
      <w:r>
        <w:rPr>
          <w:rFonts w:ascii="Times New Roman" w:hAnsi="Times New Roman"/>
          <w:sz w:val="20"/>
          <w:szCs w:val="20"/>
          <w:lang w:eastAsia="pt-BR"/>
        </w:rPr>
        <w:t xml:space="preserve"> </w:t>
      </w:r>
    </w:p>
    <w:tbl>
      <w:tblPr>
        <w:tblW w:w="0" w:type="auto"/>
        <w:tblLook w:val="04A0" w:firstRow="1" w:lastRow="0" w:firstColumn="1" w:lastColumn="0" w:noHBand="0" w:noVBand="1"/>
      </w:tblPr>
      <w:tblGrid>
        <w:gridCol w:w="4758"/>
      </w:tblGrid>
      <w:tr w:rsidR="00BB4750" w:rsidRPr="00957156" w14:paraId="13E323BA" w14:textId="77777777" w:rsidTr="0039056D">
        <w:tc>
          <w:tcPr>
            <w:tcW w:w="4758" w:type="dxa"/>
            <w:shd w:val="clear" w:color="auto" w:fill="auto"/>
          </w:tcPr>
          <w:p w14:paraId="163BEC40" w14:textId="77777777" w:rsidR="00BB4750" w:rsidRPr="00957156" w:rsidRDefault="00BB4750" w:rsidP="0039056D">
            <w:pPr>
              <w:spacing w:after="0" w:line="240" w:lineRule="auto"/>
              <w:jc w:val="center"/>
              <w:rPr>
                <w:rFonts w:ascii="Times New Roman" w:hAnsi="Times New Roman"/>
              </w:rPr>
            </w:pPr>
            <w:r w:rsidRPr="007B0991">
              <w:rPr>
                <w:noProof/>
                <w:lang w:eastAsia="pt-BR"/>
              </w:rPr>
              <w:drawing>
                <wp:inline distT="0" distB="0" distL="0" distR="0" wp14:anchorId="395FB492" wp14:editId="279F15BD">
                  <wp:extent cx="2715895" cy="1439545"/>
                  <wp:effectExtent l="0" t="0" r="0" b="0"/>
                  <wp:docPr id="6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1439545"/>
                          </a:xfrm>
                          <a:prstGeom prst="rect">
                            <a:avLst/>
                          </a:prstGeom>
                          <a:noFill/>
                          <a:ln>
                            <a:noFill/>
                          </a:ln>
                        </pic:spPr>
                      </pic:pic>
                    </a:graphicData>
                  </a:graphic>
                </wp:inline>
              </w:drawing>
            </w:r>
          </w:p>
        </w:tc>
      </w:tr>
      <w:tr w:rsidR="00BB4750" w:rsidRPr="00957156" w14:paraId="6A443A99" w14:textId="77777777" w:rsidTr="0039056D">
        <w:tc>
          <w:tcPr>
            <w:tcW w:w="4758" w:type="dxa"/>
            <w:shd w:val="clear" w:color="auto" w:fill="auto"/>
          </w:tcPr>
          <w:p w14:paraId="0BDE4D32" w14:textId="77777777" w:rsidR="00BB4750" w:rsidRPr="00957156" w:rsidRDefault="00BB4750" w:rsidP="0039056D">
            <w:pPr>
              <w:spacing w:after="0" w:line="240" w:lineRule="auto"/>
              <w:jc w:val="center"/>
              <w:rPr>
                <w:rFonts w:ascii="Times New Roman" w:hAnsi="Times New Roman"/>
              </w:rPr>
            </w:pPr>
            <w:r w:rsidRPr="007B0991">
              <w:rPr>
                <w:noProof/>
                <w:lang w:eastAsia="pt-BR"/>
              </w:rPr>
              <w:drawing>
                <wp:inline distT="0" distB="0" distL="0" distR="0" wp14:anchorId="1D11BF31" wp14:editId="4CE071DF">
                  <wp:extent cx="2722880" cy="1337310"/>
                  <wp:effectExtent l="0" t="0" r="0" b="0"/>
                  <wp:docPr id="6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2880" cy="1337310"/>
                          </a:xfrm>
                          <a:prstGeom prst="rect">
                            <a:avLst/>
                          </a:prstGeom>
                          <a:noFill/>
                          <a:ln>
                            <a:noFill/>
                          </a:ln>
                        </pic:spPr>
                      </pic:pic>
                    </a:graphicData>
                  </a:graphic>
                </wp:inline>
              </w:drawing>
            </w:r>
          </w:p>
        </w:tc>
      </w:tr>
    </w:tbl>
    <w:p w14:paraId="5688EBB4" w14:textId="77777777" w:rsidR="00CE54A2" w:rsidRDefault="00BB4750" w:rsidP="00CE54A2">
      <w:pPr>
        <w:pStyle w:val="VAFigureCaption"/>
        <w:spacing w:before="0" w:after="16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Espectros de IV das amostras das séries (a) </w:t>
      </w:r>
      <w:proofErr w:type="spellStart"/>
      <w:r>
        <w:rPr>
          <w:rFonts w:ascii="Times New Roman" w:hAnsi="Times New Roman"/>
          <w:lang w:val="pt-BR"/>
        </w:rPr>
        <w:t>CoZnAl</w:t>
      </w:r>
      <w:proofErr w:type="spellEnd"/>
      <w:r>
        <w:rPr>
          <w:rFonts w:ascii="Times New Roman" w:hAnsi="Times New Roman"/>
          <w:lang w:val="pt-BR"/>
        </w:rPr>
        <w:t>-tere</w:t>
      </w:r>
      <w:r w:rsidR="00CE54A2">
        <w:rPr>
          <w:rFonts w:ascii="Times New Roman" w:hAnsi="Times New Roman"/>
          <w:lang w:val="pt-BR"/>
        </w:rPr>
        <w:t xml:space="preserve">ftalato; (b) </w:t>
      </w:r>
      <w:proofErr w:type="spellStart"/>
      <w:r w:rsidR="00CE54A2">
        <w:rPr>
          <w:rFonts w:ascii="Times New Roman" w:hAnsi="Times New Roman"/>
          <w:lang w:val="pt-BR"/>
        </w:rPr>
        <w:t>CoMnAl</w:t>
      </w:r>
      <w:proofErr w:type="spellEnd"/>
      <w:r w:rsidR="00CE54A2">
        <w:rPr>
          <w:rFonts w:ascii="Times New Roman" w:hAnsi="Times New Roman"/>
          <w:lang w:val="pt-BR"/>
        </w:rPr>
        <w:t>-tereftalato.</w:t>
      </w:r>
    </w:p>
    <w:p w14:paraId="5DC73659" w14:textId="77777777" w:rsidR="00BB4750" w:rsidRPr="00CE54A2" w:rsidRDefault="00BB4750" w:rsidP="00CE54A2">
      <w:pPr>
        <w:pStyle w:val="VAFigureCaption"/>
        <w:spacing w:before="0" w:after="160"/>
        <w:rPr>
          <w:rFonts w:ascii="Times New Roman" w:hAnsi="Times New Roman"/>
          <w:sz w:val="20"/>
          <w:lang w:val="pt-BR"/>
        </w:rPr>
      </w:pPr>
      <w:r w:rsidRPr="00CE54A2">
        <w:rPr>
          <w:i/>
          <w:iCs/>
          <w:sz w:val="20"/>
          <w:u w:val="single"/>
          <w:lang w:val="pt-BR"/>
        </w:rPr>
        <w:t>Troca iônica</w:t>
      </w:r>
    </w:p>
    <w:p w14:paraId="3E7CEBFE" w14:textId="56C5BC45" w:rsidR="00BB4750" w:rsidRPr="00795F5B" w:rsidRDefault="00BB4750" w:rsidP="0039056D">
      <w:pPr>
        <w:spacing w:line="240" w:lineRule="auto"/>
        <w:ind w:firstLine="708"/>
        <w:jc w:val="both"/>
        <w:rPr>
          <w:rFonts w:ascii="Times New Roman" w:hAnsi="Times New Roman"/>
          <w:sz w:val="20"/>
          <w:szCs w:val="20"/>
        </w:rPr>
      </w:pPr>
      <w:r>
        <w:rPr>
          <w:rFonts w:ascii="Times New Roman" w:hAnsi="Times New Roman"/>
          <w:sz w:val="20"/>
          <w:szCs w:val="20"/>
        </w:rPr>
        <w:t xml:space="preserve">Os dados de DRX para as amostras </w:t>
      </w:r>
      <w:proofErr w:type="spellStart"/>
      <w:r>
        <w:rPr>
          <w:rFonts w:ascii="Times New Roman" w:hAnsi="Times New Roman"/>
          <w:sz w:val="20"/>
          <w:szCs w:val="20"/>
        </w:rPr>
        <w:t>CoZnAlMo</w:t>
      </w:r>
      <w:proofErr w:type="spellEnd"/>
      <w:r>
        <w:rPr>
          <w:rFonts w:ascii="Times New Roman" w:hAnsi="Times New Roman"/>
          <w:sz w:val="20"/>
          <w:szCs w:val="20"/>
        </w:rPr>
        <w:t xml:space="preserve"> e </w:t>
      </w:r>
      <w:proofErr w:type="spellStart"/>
      <w:r>
        <w:rPr>
          <w:rFonts w:ascii="Times New Roman" w:hAnsi="Times New Roman"/>
          <w:sz w:val="20"/>
          <w:szCs w:val="20"/>
        </w:rPr>
        <w:t>CoMnAlMo</w:t>
      </w:r>
      <w:proofErr w:type="spellEnd"/>
      <w:r>
        <w:rPr>
          <w:rFonts w:ascii="Times New Roman" w:hAnsi="Times New Roman"/>
          <w:sz w:val="20"/>
          <w:szCs w:val="20"/>
        </w:rPr>
        <w:t xml:space="preserve"> após troca iônica são apresentados nas Figuras 3a e 3b. Os compostos da mesma série </w:t>
      </w:r>
      <w:r w:rsidRPr="00795F5B">
        <w:rPr>
          <w:rFonts w:ascii="Times New Roman" w:hAnsi="Times New Roman"/>
          <w:sz w:val="20"/>
          <w:szCs w:val="20"/>
        </w:rPr>
        <w:t xml:space="preserve">apresentaram </w:t>
      </w:r>
      <w:r>
        <w:rPr>
          <w:rFonts w:ascii="Times New Roman" w:hAnsi="Times New Roman"/>
          <w:sz w:val="20"/>
          <w:szCs w:val="20"/>
        </w:rPr>
        <w:t>perfis</w:t>
      </w:r>
      <w:r w:rsidRPr="00795F5B">
        <w:rPr>
          <w:rFonts w:ascii="Times New Roman" w:hAnsi="Times New Roman"/>
          <w:sz w:val="20"/>
          <w:szCs w:val="20"/>
        </w:rPr>
        <w:t xml:space="preserve"> de difração </w:t>
      </w:r>
      <w:r>
        <w:rPr>
          <w:rFonts w:ascii="Times New Roman" w:hAnsi="Times New Roman"/>
          <w:sz w:val="20"/>
          <w:szCs w:val="20"/>
        </w:rPr>
        <w:t xml:space="preserve">muito </w:t>
      </w:r>
      <w:r w:rsidRPr="00795F5B">
        <w:rPr>
          <w:rFonts w:ascii="Times New Roman" w:hAnsi="Times New Roman"/>
          <w:sz w:val="20"/>
          <w:szCs w:val="20"/>
        </w:rPr>
        <w:t>similar</w:t>
      </w:r>
      <w:r>
        <w:rPr>
          <w:rFonts w:ascii="Times New Roman" w:hAnsi="Times New Roman"/>
          <w:sz w:val="20"/>
          <w:szCs w:val="20"/>
        </w:rPr>
        <w:t>es</w:t>
      </w:r>
      <w:r w:rsidRPr="00795F5B">
        <w:rPr>
          <w:rFonts w:ascii="Times New Roman" w:hAnsi="Times New Roman"/>
          <w:sz w:val="20"/>
          <w:szCs w:val="20"/>
        </w:rPr>
        <w:t xml:space="preserve"> onde, verifica</w:t>
      </w:r>
      <w:r w:rsidR="00C57C76">
        <w:rPr>
          <w:rFonts w:ascii="Times New Roman" w:hAnsi="Times New Roman"/>
          <w:sz w:val="20"/>
          <w:szCs w:val="20"/>
        </w:rPr>
        <w:t>m</w:t>
      </w:r>
      <w:r w:rsidRPr="00795F5B">
        <w:rPr>
          <w:rFonts w:ascii="Times New Roman" w:hAnsi="Times New Roman"/>
          <w:sz w:val="20"/>
          <w:szCs w:val="20"/>
        </w:rPr>
        <w:t>-se picos em 2θ igual a 8,2° seguido de um pico em 18,2° e um pico alargado e pouco definido em 27,8°</w:t>
      </w:r>
      <w:r>
        <w:rPr>
          <w:rFonts w:ascii="Times New Roman" w:hAnsi="Times New Roman"/>
          <w:sz w:val="20"/>
          <w:szCs w:val="20"/>
        </w:rPr>
        <w:t xml:space="preserve"> e, no caso, da série contendo Mn somente os dois últimos picos apareceram. </w:t>
      </w:r>
      <w:r w:rsidRPr="00795F5B">
        <w:rPr>
          <w:rFonts w:ascii="Times New Roman" w:hAnsi="Times New Roman"/>
          <w:sz w:val="20"/>
          <w:szCs w:val="20"/>
        </w:rPr>
        <w:t>Os picos nas posições descritas também foram observados em outros trabalhos</w:t>
      </w:r>
      <w:r>
        <w:rPr>
          <w:rFonts w:ascii="Times New Roman" w:hAnsi="Times New Roman"/>
          <w:sz w:val="20"/>
          <w:szCs w:val="20"/>
        </w:rPr>
        <w:t xml:space="preserve"> </w:t>
      </w:r>
      <w:r w:rsidR="00B232F1">
        <w:rPr>
          <w:rFonts w:ascii="Times New Roman" w:hAnsi="Times New Roman"/>
          <w:noProof/>
          <w:sz w:val="20"/>
          <w:szCs w:val="20"/>
        </w:rPr>
        <w:t>(</w:t>
      </w:r>
      <w:r w:rsidR="00480136" w:rsidRPr="005D7FA3">
        <w:rPr>
          <w:rFonts w:ascii="Times New Roman" w:hAnsi="Times New Roman"/>
          <w:noProof/>
          <w:color w:val="000000" w:themeColor="text1"/>
          <w:sz w:val="20"/>
          <w:szCs w:val="20"/>
        </w:rPr>
        <w:t>5,8,10</w:t>
      </w:r>
      <w:r w:rsidR="00B232F1">
        <w:rPr>
          <w:rFonts w:ascii="Times New Roman" w:hAnsi="Times New Roman"/>
          <w:noProof/>
          <w:sz w:val="20"/>
          <w:szCs w:val="20"/>
        </w:rPr>
        <w:t>)</w:t>
      </w:r>
      <w:r>
        <w:rPr>
          <w:rFonts w:ascii="Times New Roman" w:hAnsi="Times New Roman"/>
          <w:sz w:val="20"/>
          <w:szCs w:val="20"/>
        </w:rPr>
        <w:t xml:space="preserve"> quando o ânion </w:t>
      </w:r>
      <w:proofErr w:type="spellStart"/>
      <w:r>
        <w:rPr>
          <w:rFonts w:ascii="Times New Roman" w:hAnsi="Times New Roman"/>
          <w:sz w:val="20"/>
          <w:szCs w:val="20"/>
        </w:rPr>
        <w:t>heptamolibdato</w:t>
      </w:r>
      <w:proofErr w:type="spellEnd"/>
      <w:r>
        <w:rPr>
          <w:rFonts w:ascii="Times New Roman" w:hAnsi="Times New Roman"/>
          <w:sz w:val="20"/>
          <w:szCs w:val="20"/>
        </w:rPr>
        <w:t xml:space="preserve"> foi intercalado entre as lamelas, sugerindo, portanto, que houve a troca iônica. Adicionalmente, </w:t>
      </w:r>
      <w:r w:rsidRPr="008A2BAA">
        <w:rPr>
          <w:rFonts w:ascii="Times New Roman" w:hAnsi="Times New Roman"/>
          <w:sz w:val="20"/>
          <w:szCs w:val="20"/>
        </w:rPr>
        <w:t>o pico marcado com o símbolo “#” relacionado a fase do precursor</w:t>
      </w:r>
      <w:r>
        <w:rPr>
          <w:rFonts w:ascii="Times New Roman" w:hAnsi="Times New Roman"/>
          <w:sz w:val="20"/>
          <w:szCs w:val="20"/>
        </w:rPr>
        <w:t xml:space="preserve"> foi ob</w:t>
      </w:r>
      <w:r w:rsidR="009522DE">
        <w:rPr>
          <w:rFonts w:ascii="Times New Roman" w:hAnsi="Times New Roman"/>
          <w:sz w:val="20"/>
          <w:szCs w:val="20"/>
        </w:rPr>
        <w:t>s</w:t>
      </w:r>
      <w:r>
        <w:rPr>
          <w:rFonts w:ascii="Times New Roman" w:hAnsi="Times New Roman"/>
          <w:sz w:val="20"/>
          <w:szCs w:val="20"/>
        </w:rPr>
        <w:t>ervado para as amostras contendo Zn na sua composição</w:t>
      </w:r>
      <w:r w:rsidRPr="008A2BAA">
        <w:rPr>
          <w:rFonts w:ascii="Times New Roman" w:hAnsi="Times New Roman"/>
          <w:sz w:val="20"/>
          <w:szCs w:val="20"/>
        </w:rPr>
        <w:t xml:space="preserve">. </w:t>
      </w:r>
      <w:r>
        <w:rPr>
          <w:rFonts w:ascii="Times New Roman" w:hAnsi="Times New Roman"/>
          <w:sz w:val="20"/>
          <w:szCs w:val="20"/>
        </w:rPr>
        <w:t>O</w:t>
      </w:r>
      <w:r w:rsidRPr="00957156">
        <w:rPr>
          <w:rFonts w:ascii="Times New Roman" w:hAnsi="Times New Roman"/>
          <w:sz w:val="20"/>
          <w:szCs w:val="20"/>
        </w:rPr>
        <w:t>s dados de difração de raios X demostram, tanto para</w:t>
      </w:r>
      <w:r w:rsidR="00A566B9">
        <w:rPr>
          <w:rFonts w:ascii="Times New Roman" w:hAnsi="Times New Roman"/>
          <w:sz w:val="20"/>
          <w:szCs w:val="20"/>
        </w:rPr>
        <w:t xml:space="preserve"> as amostras da série de zinco </w:t>
      </w:r>
      <w:r w:rsidRPr="00957156">
        <w:rPr>
          <w:rFonts w:ascii="Times New Roman" w:hAnsi="Times New Roman"/>
          <w:sz w:val="20"/>
          <w:szCs w:val="20"/>
        </w:rPr>
        <w:t xml:space="preserve">quanto para </w:t>
      </w:r>
      <w:r>
        <w:rPr>
          <w:rFonts w:ascii="Times New Roman" w:hAnsi="Times New Roman"/>
          <w:sz w:val="20"/>
          <w:szCs w:val="20"/>
        </w:rPr>
        <w:t>àquelas</w:t>
      </w:r>
      <w:r w:rsidRPr="00957156">
        <w:rPr>
          <w:rFonts w:ascii="Times New Roman" w:hAnsi="Times New Roman"/>
          <w:sz w:val="20"/>
          <w:szCs w:val="20"/>
        </w:rPr>
        <w:t xml:space="preserve"> de manganês, que houve uma perda significativa na cristalinidade desses materiais. Segundo </w:t>
      </w:r>
      <w:proofErr w:type="spellStart"/>
      <w:r w:rsidRPr="00CE54A2">
        <w:rPr>
          <w:rFonts w:ascii="Times New Roman" w:hAnsi="Times New Roman"/>
          <w:sz w:val="20"/>
          <w:szCs w:val="20"/>
        </w:rPr>
        <w:t>Hibino</w:t>
      </w:r>
      <w:proofErr w:type="spellEnd"/>
      <w:r>
        <w:rPr>
          <w:rFonts w:ascii="Times New Roman" w:hAnsi="Times New Roman"/>
          <w:color w:val="FF0000"/>
          <w:sz w:val="20"/>
          <w:szCs w:val="20"/>
        </w:rPr>
        <w:t xml:space="preserve"> </w:t>
      </w:r>
      <w:r w:rsidRPr="00957156">
        <w:rPr>
          <w:rFonts w:ascii="Times New Roman" w:hAnsi="Times New Roman"/>
          <w:sz w:val="20"/>
          <w:szCs w:val="20"/>
        </w:rPr>
        <w:t xml:space="preserve">e </w:t>
      </w:r>
      <w:proofErr w:type="spellStart"/>
      <w:r w:rsidRPr="00957156">
        <w:rPr>
          <w:rFonts w:ascii="Times New Roman" w:hAnsi="Times New Roman"/>
          <w:sz w:val="20"/>
          <w:szCs w:val="20"/>
        </w:rPr>
        <w:t>Tsunashima</w:t>
      </w:r>
      <w:proofErr w:type="spellEnd"/>
      <w:r w:rsidRPr="00957156">
        <w:rPr>
          <w:rFonts w:ascii="Times New Roman" w:hAnsi="Times New Roman"/>
          <w:sz w:val="20"/>
          <w:szCs w:val="20"/>
        </w:rPr>
        <w:t xml:space="preserve"> (1997)</w:t>
      </w:r>
      <w:r>
        <w:rPr>
          <w:rFonts w:ascii="Times New Roman" w:hAnsi="Times New Roman"/>
          <w:sz w:val="20"/>
          <w:szCs w:val="20"/>
        </w:rPr>
        <w:t xml:space="preserve"> </w:t>
      </w:r>
      <w:r w:rsidR="00B232F1">
        <w:rPr>
          <w:rFonts w:ascii="Times New Roman" w:hAnsi="Times New Roman"/>
          <w:noProof/>
          <w:sz w:val="20"/>
          <w:szCs w:val="20"/>
        </w:rPr>
        <w:t>(</w:t>
      </w:r>
      <w:r w:rsidR="00F30F9A" w:rsidRPr="005D7FA3">
        <w:rPr>
          <w:rFonts w:ascii="Times New Roman" w:hAnsi="Times New Roman"/>
          <w:noProof/>
          <w:color w:val="000000" w:themeColor="text1"/>
          <w:sz w:val="20"/>
          <w:szCs w:val="20"/>
        </w:rPr>
        <w:t>11</w:t>
      </w:r>
      <w:r w:rsidR="00B232F1">
        <w:rPr>
          <w:rFonts w:ascii="Times New Roman" w:hAnsi="Times New Roman"/>
          <w:noProof/>
          <w:sz w:val="20"/>
          <w:szCs w:val="20"/>
        </w:rPr>
        <w:t>)</w:t>
      </w:r>
      <w:r>
        <w:rPr>
          <w:rFonts w:ascii="Times New Roman" w:hAnsi="Times New Roman"/>
          <w:sz w:val="20"/>
          <w:szCs w:val="20"/>
        </w:rPr>
        <w:t>,</w:t>
      </w:r>
      <w:r w:rsidRPr="00957156">
        <w:rPr>
          <w:rFonts w:ascii="Times New Roman" w:hAnsi="Times New Roman"/>
          <w:sz w:val="20"/>
          <w:szCs w:val="20"/>
        </w:rPr>
        <w:t xml:space="preserve"> </w:t>
      </w:r>
      <w:proofErr w:type="spellStart"/>
      <w:r w:rsidRPr="00957156">
        <w:rPr>
          <w:rFonts w:ascii="Times New Roman" w:hAnsi="Times New Roman"/>
          <w:sz w:val="20"/>
          <w:szCs w:val="20"/>
        </w:rPr>
        <w:t>HDLs</w:t>
      </w:r>
      <w:proofErr w:type="spellEnd"/>
      <w:r w:rsidRPr="00957156">
        <w:rPr>
          <w:rFonts w:ascii="Times New Roman" w:hAnsi="Times New Roman"/>
          <w:sz w:val="20"/>
          <w:szCs w:val="20"/>
        </w:rPr>
        <w:t xml:space="preserve"> contendo </w:t>
      </w:r>
      <w:proofErr w:type="spellStart"/>
      <w:r w:rsidRPr="00957156">
        <w:rPr>
          <w:rFonts w:ascii="Times New Roman" w:hAnsi="Times New Roman"/>
          <w:sz w:val="20"/>
          <w:szCs w:val="20"/>
        </w:rPr>
        <w:t>polioxometalatos</w:t>
      </w:r>
      <w:proofErr w:type="spellEnd"/>
      <w:r w:rsidRPr="00957156">
        <w:rPr>
          <w:rFonts w:ascii="Times New Roman" w:hAnsi="Times New Roman"/>
          <w:sz w:val="20"/>
          <w:szCs w:val="20"/>
        </w:rPr>
        <w:t xml:space="preserve"> apresentam, comumente, baixa cristalinidade, pois existe a possibilidade de ocorrer hidrólise dos ânions de compensação e das lamelas em solução aquosa, o que pode gerar produtos pouco ordenados. </w:t>
      </w:r>
      <w:r w:rsidRPr="00957156">
        <w:rPr>
          <w:rFonts w:ascii="Times New Roman" w:hAnsi="Times New Roman"/>
          <w:sz w:val="20"/>
          <w:szCs w:val="20"/>
        </w:rPr>
        <w:t xml:space="preserve">Além disso, existe a possibilidade da existência de outros ânions na região </w:t>
      </w:r>
      <w:proofErr w:type="spellStart"/>
      <w:r w:rsidRPr="00957156">
        <w:rPr>
          <w:rFonts w:ascii="Times New Roman" w:hAnsi="Times New Roman"/>
          <w:sz w:val="20"/>
          <w:szCs w:val="20"/>
        </w:rPr>
        <w:t>interlamelar</w:t>
      </w:r>
      <w:proofErr w:type="spellEnd"/>
      <w:r w:rsidRPr="00957156">
        <w:rPr>
          <w:rFonts w:ascii="Times New Roman" w:hAnsi="Times New Roman"/>
          <w:sz w:val="20"/>
          <w:szCs w:val="20"/>
        </w:rPr>
        <w:t xml:space="preserve">, como por exemplo, diferentes espécies de </w:t>
      </w:r>
      <w:proofErr w:type="spellStart"/>
      <w:r w:rsidRPr="00957156">
        <w:rPr>
          <w:rFonts w:ascii="Times New Roman" w:hAnsi="Times New Roman"/>
          <w:sz w:val="20"/>
          <w:szCs w:val="20"/>
        </w:rPr>
        <w:t>molibdato</w:t>
      </w:r>
      <w:proofErr w:type="spellEnd"/>
      <w:r w:rsidRPr="00957156">
        <w:rPr>
          <w:rFonts w:ascii="Times New Roman" w:hAnsi="Times New Roman"/>
          <w:sz w:val="20"/>
          <w:szCs w:val="20"/>
        </w:rPr>
        <w:t xml:space="preserve"> ou até mesmo impurezas como nitrato e carbonato. </w:t>
      </w:r>
    </w:p>
    <w:tbl>
      <w:tblPr>
        <w:tblW w:w="0" w:type="auto"/>
        <w:tblLook w:val="04A0" w:firstRow="1" w:lastRow="0" w:firstColumn="1" w:lastColumn="0" w:noHBand="0" w:noVBand="1"/>
      </w:tblPr>
      <w:tblGrid>
        <w:gridCol w:w="4758"/>
      </w:tblGrid>
      <w:tr w:rsidR="00BB4750" w:rsidRPr="00957156" w14:paraId="2A5589E8" w14:textId="77777777" w:rsidTr="0039056D">
        <w:tc>
          <w:tcPr>
            <w:tcW w:w="4758" w:type="dxa"/>
            <w:shd w:val="clear" w:color="auto" w:fill="auto"/>
          </w:tcPr>
          <w:p w14:paraId="59764C2F" w14:textId="6AD084EE" w:rsidR="00BB4750" w:rsidRPr="00957156" w:rsidRDefault="00B41079" w:rsidP="0039056D">
            <w:pPr>
              <w:spacing w:after="0" w:line="240" w:lineRule="auto"/>
              <w:jc w:val="center"/>
              <w:rPr>
                <w:rFonts w:ascii="Times New Roman" w:hAnsi="Times New Roman"/>
                <w:sz w:val="20"/>
                <w:szCs w:val="20"/>
              </w:rPr>
            </w:pPr>
            <w:r w:rsidRPr="00B41079">
              <w:rPr>
                <w:rFonts w:ascii="Times New Roman" w:hAnsi="Times New Roman"/>
                <w:noProof/>
                <w:sz w:val="20"/>
                <w:szCs w:val="20"/>
                <w:lang w:eastAsia="pt-BR"/>
              </w:rPr>
              <w:drawing>
                <wp:inline distT="0" distB="0" distL="0" distR="0" wp14:anchorId="6F7F9A81" wp14:editId="378A2B4C">
                  <wp:extent cx="2722511" cy="1303200"/>
                  <wp:effectExtent l="0" t="0" r="1905" b="0"/>
                  <wp:docPr id="18" name="Imagem 18" descr="C:\Users\LabCat\Desktop\web\pos-doc(2019)\CBCAT-23\Figuras\drx-hdlZn-tro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abCat\Desktop\web\pos-doc(2019)\CBCAT-23\Figuras\drx-hdlZn-troc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2511" cy="1303200"/>
                          </a:xfrm>
                          <a:prstGeom prst="rect">
                            <a:avLst/>
                          </a:prstGeom>
                          <a:noFill/>
                          <a:ln>
                            <a:noFill/>
                          </a:ln>
                        </pic:spPr>
                      </pic:pic>
                    </a:graphicData>
                  </a:graphic>
                </wp:inline>
              </w:drawing>
            </w:r>
          </w:p>
        </w:tc>
      </w:tr>
      <w:tr w:rsidR="00BB4750" w:rsidRPr="00957156" w14:paraId="24BB297B" w14:textId="77777777" w:rsidTr="0039056D">
        <w:tc>
          <w:tcPr>
            <w:tcW w:w="4758" w:type="dxa"/>
            <w:shd w:val="clear" w:color="auto" w:fill="auto"/>
          </w:tcPr>
          <w:p w14:paraId="2E985329" w14:textId="0C47A896" w:rsidR="00BB4750" w:rsidRPr="00957156" w:rsidRDefault="00B41079" w:rsidP="0039056D">
            <w:pPr>
              <w:spacing w:after="0" w:line="240" w:lineRule="auto"/>
              <w:jc w:val="center"/>
            </w:pPr>
            <w:r w:rsidRPr="00B41079">
              <w:rPr>
                <w:noProof/>
                <w:lang w:eastAsia="pt-BR"/>
              </w:rPr>
              <w:drawing>
                <wp:inline distT="0" distB="0" distL="0" distR="0" wp14:anchorId="1FA3DB1A" wp14:editId="4648997A">
                  <wp:extent cx="2682180" cy="1306800"/>
                  <wp:effectExtent l="0" t="0" r="4445" b="8255"/>
                  <wp:docPr id="19" name="Imagem 19" descr="C:\Users\LabCat\Desktop\web\pos-doc(2019)\CBCAT-23\Figuras\drx-hdlMn-tro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abCat\Desktop\web\pos-doc(2019)\CBCAT-23\Figuras\drx-hdlMn-troc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2180" cy="1306800"/>
                          </a:xfrm>
                          <a:prstGeom prst="rect">
                            <a:avLst/>
                          </a:prstGeom>
                          <a:noFill/>
                          <a:ln>
                            <a:noFill/>
                          </a:ln>
                        </pic:spPr>
                      </pic:pic>
                    </a:graphicData>
                  </a:graphic>
                </wp:inline>
              </w:drawing>
            </w:r>
          </w:p>
        </w:tc>
      </w:tr>
    </w:tbl>
    <w:p w14:paraId="3B332881" w14:textId="77777777" w:rsidR="00BB4750" w:rsidRPr="00F12C67" w:rsidRDefault="00BB4750" w:rsidP="0039056D">
      <w:pPr>
        <w:pStyle w:val="VAFigureCaption"/>
        <w:spacing w:after="16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proofErr w:type="spellStart"/>
      <w:r w:rsidRPr="00F12C67">
        <w:rPr>
          <w:rFonts w:ascii="Times New Roman" w:hAnsi="Times New Roman"/>
          <w:lang w:val="pt-BR"/>
        </w:rPr>
        <w:t>Difratogramas</w:t>
      </w:r>
      <w:proofErr w:type="spellEnd"/>
      <w:r w:rsidRPr="00F12C67">
        <w:rPr>
          <w:rFonts w:ascii="Times New Roman" w:hAnsi="Times New Roman"/>
          <w:lang w:val="pt-BR"/>
        </w:rPr>
        <w:t xml:space="preserve"> e para as amostras das séries (a) </w:t>
      </w:r>
      <w:proofErr w:type="spellStart"/>
      <w:r w:rsidRPr="00F12C67">
        <w:rPr>
          <w:rFonts w:ascii="Times New Roman" w:hAnsi="Times New Roman"/>
          <w:lang w:val="pt-BR"/>
        </w:rPr>
        <w:t>CoZnAlMo</w:t>
      </w:r>
      <w:proofErr w:type="spellEnd"/>
      <w:r w:rsidRPr="00F12C67">
        <w:rPr>
          <w:rFonts w:ascii="Times New Roman" w:hAnsi="Times New Roman"/>
          <w:lang w:val="pt-BR"/>
        </w:rPr>
        <w:t xml:space="preserve">. (#) fase do precursor e (b) </w:t>
      </w:r>
      <w:proofErr w:type="spellStart"/>
      <w:r w:rsidRPr="00F12C67">
        <w:rPr>
          <w:rFonts w:ascii="Times New Roman" w:hAnsi="Times New Roman"/>
          <w:lang w:val="pt-BR"/>
        </w:rPr>
        <w:t>CoMnAlMo</w:t>
      </w:r>
      <w:proofErr w:type="spellEnd"/>
      <w:r w:rsidRPr="00F12C67">
        <w:rPr>
          <w:rFonts w:ascii="Times New Roman" w:hAnsi="Times New Roman"/>
          <w:lang w:val="pt-BR"/>
        </w:rPr>
        <w:t>.</w:t>
      </w:r>
    </w:p>
    <w:p w14:paraId="6EB640DB" w14:textId="77777777" w:rsidR="0023402E" w:rsidRDefault="00BB4750" w:rsidP="0039056D">
      <w:pPr>
        <w:pStyle w:val="VAFigureCaption"/>
        <w:spacing w:before="0" w:after="160"/>
        <w:ind w:firstLine="708"/>
        <w:rPr>
          <w:rFonts w:ascii="Times New Roman" w:hAnsi="Times New Roman"/>
          <w:sz w:val="20"/>
          <w:lang w:val="pt-BR"/>
        </w:rPr>
      </w:pPr>
      <w:r w:rsidRPr="00F12C67">
        <w:rPr>
          <w:rFonts w:ascii="Times New Roman" w:hAnsi="Times New Roman"/>
          <w:sz w:val="20"/>
          <w:lang w:val="pt-BR"/>
        </w:rPr>
        <w:t xml:space="preserve">No intuito de examinar os ânions na região </w:t>
      </w:r>
      <w:proofErr w:type="spellStart"/>
      <w:r w:rsidRPr="00F12C67">
        <w:rPr>
          <w:rFonts w:ascii="Times New Roman" w:hAnsi="Times New Roman"/>
          <w:sz w:val="20"/>
          <w:lang w:val="pt-BR"/>
        </w:rPr>
        <w:t>interlamelar</w:t>
      </w:r>
      <w:proofErr w:type="spellEnd"/>
      <w:r w:rsidRPr="00F12C67">
        <w:rPr>
          <w:rFonts w:ascii="Times New Roman" w:hAnsi="Times New Roman"/>
          <w:sz w:val="20"/>
          <w:lang w:val="pt-BR"/>
        </w:rPr>
        <w:t xml:space="preserve"> após a troca iônica, as amostras das séries </w:t>
      </w:r>
      <w:proofErr w:type="spellStart"/>
      <w:r w:rsidRPr="00F12C67">
        <w:rPr>
          <w:rFonts w:ascii="Times New Roman" w:hAnsi="Times New Roman"/>
          <w:sz w:val="20"/>
          <w:lang w:val="pt-BR"/>
        </w:rPr>
        <w:t>CoZnAlMo</w:t>
      </w:r>
      <w:proofErr w:type="spellEnd"/>
      <w:r w:rsidRPr="00F12C67">
        <w:rPr>
          <w:rFonts w:ascii="Times New Roman" w:hAnsi="Times New Roman"/>
          <w:sz w:val="20"/>
          <w:lang w:val="pt-BR"/>
        </w:rPr>
        <w:t xml:space="preserve"> e </w:t>
      </w:r>
      <w:proofErr w:type="spellStart"/>
      <w:r w:rsidRPr="00F12C67">
        <w:rPr>
          <w:rFonts w:ascii="Times New Roman" w:hAnsi="Times New Roman"/>
          <w:sz w:val="20"/>
          <w:lang w:val="pt-BR"/>
        </w:rPr>
        <w:t>CoMnAlMo</w:t>
      </w:r>
      <w:proofErr w:type="spellEnd"/>
      <w:r w:rsidRPr="00F12C67">
        <w:rPr>
          <w:rFonts w:ascii="Times New Roman" w:hAnsi="Times New Roman"/>
          <w:sz w:val="20"/>
          <w:lang w:val="pt-BR"/>
        </w:rPr>
        <w:t xml:space="preserve"> foram avaliadas por espectroscopia Raman e os resultados estão </w:t>
      </w:r>
      <w:r w:rsidR="00CE54A2">
        <w:rPr>
          <w:rFonts w:ascii="Times New Roman" w:hAnsi="Times New Roman"/>
          <w:sz w:val="20"/>
          <w:lang w:val="pt-BR"/>
        </w:rPr>
        <w:t>dispostos</w:t>
      </w:r>
      <w:r w:rsidRPr="00F12C67">
        <w:rPr>
          <w:rFonts w:ascii="Times New Roman" w:hAnsi="Times New Roman"/>
          <w:sz w:val="20"/>
          <w:lang w:val="pt-BR"/>
        </w:rPr>
        <w:t xml:space="preserve"> nas Figuras 4a e 4b. </w:t>
      </w:r>
    </w:p>
    <w:p w14:paraId="408474E7" w14:textId="6F826348" w:rsidR="0023402E" w:rsidRDefault="00B41079" w:rsidP="0023402E">
      <w:pPr>
        <w:rPr>
          <w:lang w:eastAsia="pt-BR"/>
        </w:rPr>
      </w:pPr>
      <w:r w:rsidRPr="00B41079">
        <w:rPr>
          <w:noProof/>
          <w:lang w:eastAsia="pt-BR"/>
        </w:rPr>
        <w:drawing>
          <wp:inline distT="0" distB="0" distL="0" distR="0" wp14:anchorId="0DE79342" wp14:editId="1D955E8E">
            <wp:extent cx="2963927" cy="1368000"/>
            <wp:effectExtent l="0" t="0" r="8255" b="3810"/>
            <wp:docPr id="20" name="Imagem 20" descr="C:\Users\LabCat\Desktop\web\pos-doc(2019)\CBCAT-23\Figuras\Raman-C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abCat\Desktop\web\pos-doc(2019)\CBCAT-23\Figuras\Raman-CoZ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3927" cy="1368000"/>
                    </a:xfrm>
                    <a:prstGeom prst="rect">
                      <a:avLst/>
                    </a:prstGeom>
                    <a:noFill/>
                    <a:ln>
                      <a:noFill/>
                    </a:ln>
                  </pic:spPr>
                </pic:pic>
              </a:graphicData>
            </a:graphic>
          </wp:inline>
        </w:drawing>
      </w:r>
      <w:r w:rsidRPr="00B41079">
        <w:rPr>
          <w:noProof/>
          <w:lang w:eastAsia="pt-BR"/>
        </w:rPr>
        <w:drawing>
          <wp:inline distT="0" distB="0" distL="0" distR="0" wp14:anchorId="0A08D82C" wp14:editId="062E1A6D">
            <wp:extent cx="2971456" cy="1447200"/>
            <wp:effectExtent l="0" t="0" r="635" b="635"/>
            <wp:docPr id="21" name="Imagem 21" descr="C:\Users\LabCat\Desktop\web\pos-doc(2019)\CBCAT-23\Figuras\Raman-Co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abCat\Desktop\web\pos-doc(2019)\CBCAT-23\Figuras\Raman-CoM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1456" cy="1447200"/>
                    </a:xfrm>
                    <a:prstGeom prst="rect">
                      <a:avLst/>
                    </a:prstGeom>
                    <a:noFill/>
                    <a:ln>
                      <a:noFill/>
                    </a:ln>
                  </pic:spPr>
                </pic:pic>
              </a:graphicData>
            </a:graphic>
          </wp:inline>
        </w:drawing>
      </w:r>
    </w:p>
    <w:p w14:paraId="27301945" w14:textId="77777777" w:rsidR="0023402E" w:rsidRPr="008F30DB" w:rsidRDefault="0023402E" w:rsidP="0023402E">
      <w:pPr>
        <w:spacing w:after="120" w:line="240" w:lineRule="auto"/>
        <w:jc w:val="both"/>
        <w:rPr>
          <w:rFonts w:ascii="Times New Roman" w:hAnsi="Times New Roman"/>
          <w:sz w:val="18"/>
          <w:szCs w:val="18"/>
        </w:rPr>
      </w:pPr>
      <w:r w:rsidRPr="008F30DB">
        <w:rPr>
          <w:rFonts w:ascii="Times New Roman" w:hAnsi="Times New Roman"/>
          <w:b/>
          <w:sz w:val="18"/>
          <w:szCs w:val="18"/>
        </w:rPr>
        <w:t>Figura 4.</w:t>
      </w:r>
      <w:r w:rsidRPr="008F30DB">
        <w:rPr>
          <w:rFonts w:ascii="Times New Roman" w:hAnsi="Times New Roman"/>
          <w:sz w:val="18"/>
          <w:szCs w:val="18"/>
        </w:rPr>
        <w:t xml:space="preserve"> Espectros Raman das séries de Zinco (a) e Manganês (b) após troca iônica.</w:t>
      </w:r>
    </w:p>
    <w:p w14:paraId="7EC8A10F" w14:textId="77777777" w:rsidR="0023402E" w:rsidRPr="0023402E" w:rsidRDefault="0023402E" w:rsidP="0023402E">
      <w:pPr>
        <w:rPr>
          <w:lang w:eastAsia="pt-BR"/>
        </w:rPr>
      </w:pPr>
    </w:p>
    <w:p w14:paraId="34A5A804" w14:textId="0D1A12F8" w:rsidR="00BB4750" w:rsidRPr="00F12C67" w:rsidRDefault="00CE54A2" w:rsidP="0039056D">
      <w:pPr>
        <w:pStyle w:val="VAFigureCaption"/>
        <w:spacing w:before="0" w:after="160"/>
        <w:ind w:firstLine="708"/>
        <w:rPr>
          <w:rFonts w:ascii="Times New Roman" w:hAnsi="Times New Roman"/>
          <w:sz w:val="20"/>
          <w:lang w:val="pt-BR"/>
        </w:rPr>
      </w:pPr>
      <w:r>
        <w:rPr>
          <w:rFonts w:ascii="Times New Roman" w:hAnsi="Times New Roman"/>
          <w:sz w:val="20"/>
          <w:lang w:val="pt-BR"/>
        </w:rPr>
        <w:lastRenderedPageBreak/>
        <w:t>U</w:t>
      </w:r>
      <w:r w:rsidR="00BB4750" w:rsidRPr="00F12C67">
        <w:rPr>
          <w:rFonts w:ascii="Times New Roman" w:hAnsi="Times New Roman"/>
          <w:sz w:val="20"/>
          <w:lang w:val="pt-BR"/>
        </w:rPr>
        <w:t xml:space="preserve">m perfil muito semelhante para as amostras contendo </w:t>
      </w:r>
      <w:proofErr w:type="spellStart"/>
      <w:r w:rsidR="00BB4750" w:rsidRPr="00F12C67">
        <w:rPr>
          <w:rFonts w:ascii="Times New Roman" w:hAnsi="Times New Roman"/>
          <w:sz w:val="20"/>
          <w:lang w:val="pt-BR"/>
        </w:rPr>
        <w:t>CoZnAlMo</w:t>
      </w:r>
      <w:proofErr w:type="spellEnd"/>
      <w:r>
        <w:rPr>
          <w:rFonts w:ascii="Times New Roman" w:hAnsi="Times New Roman"/>
          <w:sz w:val="20"/>
          <w:lang w:val="pt-BR"/>
        </w:rPr>
        <w:t xml:space="preserve"> é observado</w:t>
      </w:r>
      <w:r w:rsidR="000A300A">
        <w:rPr>
          <w:rFonts w:ascii="Times New Roman" w:hAnsi="Times New Roman"/>
          <w:sz w:val="20"/>
          <w:lang w:val="pt-BR"/>
        </w:rPr>
        <w:t>, onde bandas característica</w:t>
      </w:r>
      <w:r w:rsidR="00BB4750" w:rsidRPr="00F12C67">
        <w:rPr>
          <w:rFonts w:ascii="Times New Roman" w:hAnsi="Times New Roman"/>
          <w:sz w:val="20"/>
          <w:lang w:val="pt-BR"/>
        </w:rPr>
        <w:t xml:space="preserve">s do ânion </w:t>
      </w:r>
      <w:proofErr w:type="spellStart"/>
      <w:r w:rsidR="00BB4750" w:rsidRPr="00F12C67">
        <w:rPr>
          <w:rFonts w:ascii="Times New Roman" w:hAnsi="Times New Roman"/>
          <w:sz w:val="20"/>
          <w:lang w:val="pt-BR"/>
        </w:rPr>
        <w:t>heptamolibdato</w:t>
      </w:r>
      <w:proofErr w:type="spellEnd"/>
      <w:r w:rsidR="00BB4750" w:rsidRPr="00F12C67">
        <w:rPr>
          <w:rFonts w:ascii="Times New Roman" w:hAnsi="Times New Roman"/>
          <w:sz w:val="20"/>
          <w:lang w:val="pt-BR"/>
        </w:rPr>
        <w:t xml:space="preserve"> Mo</w:t>
      </w:r>
      <w:r w:rsidR="00BB4750" w:rsidRPr="00F12C67">
        <w:rPr>
          <w:rFonts w:ascii="Times New Roman" w:hAnsi="Times New Roman"/>
          <w:sz w:val="20"/>
          <w:vertAlign w:val="subscript"/>
          <w:lang w:val="pt-BR"/>
        </w:rPr>
        <w:t>7</w:t>
      </w:r>
      <w:r w:rsidR="00BB4750" w:rsidRPr="00F12C67">
        <w:rPr>
          <w:rFonts w:ascii="Times New Roman" w:hAnsi="Times New Roman"/>
          <w:sz w:val="20"/>
          <w:lang w:val="pt-BR"/>
        </w:rPr>
        <w:t>O</w:t>
      </w:r>
      <w:r w:rsidR="00BB4750" w:rsidRPr="00F12C67">
        <w:rPr>
          <w:rFonts w:ascii="Times New Roman" w:hAnsi="Times New Roman"/>
          <w:sz w:val="20"/>
          <w:vertAlign w:val="subscript"/>
          <w:lang w:val="pt-BR"/>
        </w:rPr>
        <w:t>24</w:t>
      </w:r>
      <w:r w:rsidR="00BB4750" w:rsidRPr="00F12C67">
        <w:rPr>
          <w:rFonts w:ascii="Times New Roman" w:hAnsi="Times New Roman"/>
          <w:sz w:val="20"/>
          <w:vertAlign w:val="superscript"/>
          <w:lang w:val="pt-BR"/>
        </w:rPr>
        <w:t>6-</w:t>
      </w:r>
      <w:r>
        <w:rPr>
          <w:rFonts w:ascii="Times New Roman" w:hAnsi="Times New Roman"/>
          <w:sz w:val="20"/>
          <w:lang w:val="pt-BR"/>
        </w:rPr>
        <w:t xml:space="preserve"> aparecem</w:t>
      </w:r>
      <w:r w:rsidR="00BB4750" w:rsidRPr="00F12C67">
        <w:rPr>
          <w:rFonts w:ascii="Times New Roman" w:hAnsi="Times New Roman"/>
          <w:sz w:val="20"/>
          <w:lang w:val="pt-BR"/>
        </w:rPr>
        <w:t xml:space="preserve"> em 945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568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350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xml:space="preserve"> e 218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xml:space="preserve"> atribuídos, respectivamente, ao estiramento simétrico (</w:t>
      </w:r>
      <w:proofErr w:type="spellStart"/>
      <w:r w:rsidR="00BB4750" w:rsidRPr="00F12C67">
        <w:rPr>
          <w:rFonts w:ascii="Times New Roman" w:hAnsi="Times New Roman"/>
          <w:sz w:val="20"/>
          <w:lang w:val="pt-BR"/>
        </w:rPr>
        <w:t>Mo</w:t>
      </w:r>
      <w:proofErr w:type="spellEnd"/>
      <w:r w:rsidR="00BB4750" w:rsidRPr="00F12C67">
        <w:rPr>
          <w:rFonts w:ascii="Times New Roman" w:hAnsi="Times New Roman"/>
          <w:sz w:val="20"/>
          <w:lang w:val="pt-BR"/>
        </w:rPr>
        <w:t>=O), estiramento (</w:t>
      </w:r>
      <w:proofErr w:type="spellStart"/>
      <w:r w:rsidR="00BB4750" w:rsidRPr="00F12C67">
        <w:rPr>
          <w:rFonts w:ascii="Times New Roman" w:hAnsi="Times New Roman"/>
          <w:sz w:val="20"/>
          <w:lang w:val="pt-BR"/>
        </w:rPr>
        <w:t>Mo-O-Mo</w:t>
      </w:r>
      <w:proofErr w:type="spellEnd"/>
      <w:r w:rsidR="00BB4750" w:rsidRPr="00F12C67">
        <w:rPr>
          <w:rFonts w:ascii="Times New Roman" w:hAnsi="Times New Roman"/>
          <w:sz w:val="20"/>
          <w:lang w:val="pt-BR"/>
        </w:rPr>
        <w:t>), deformação angular (</w:t>
      </w:r>
      <w:proofErr w:type="spellStart"/>
      <w:r w:rsidR="00BB4750" w:rsidRPr="00F12C67">
        <w:rPr>
          <w:rFonts w:ascii="Times New Roman" w:hAnsi="Times New Roman"/>
          <w:sz w:val="20"/>
          <w:lang w:val="pt-BR"/>
        </w:rPr>
        <w:t>Mo</w:t>
      </w:r>
      <w:proofErr w:type="spellEnd"/>
      <w:r w:rsidR="00BB4750" w:rsidRPr="00F12C67">
        <w:rPr>
          <w:rFonts w:ascii="Times New Roman" w:hAnsi="Times New Roman"/>
          <w:sz w:val="20"/>
          <w:lang w:val="pt-BR"/>
        </w:rPr>
        <w:t>=O) e deformação (</w:t>
      </w:r>
      <w:proofErr w:type="spellStart"/>
      <w:r w:rsidR="00BB4750" w:rsidRPr="00F12C67">
        <w:rPr>
          <w:rFonts w:ascii="Times New Roman" w:hAnsi="Times New Roman"/>
          <w:sz w:val="20"/>
          <w:lang w:val="pt-BR"/>
        </w:rPr>
        <w:t>Mo</w:t>
      </w:r>
      <w:proofErr w:type="spellEnd"/>
      <w:r w:rsidR="00BB4750" w:rsidRPr="00F12C67">
        <w:rPr>
          <w:rFonts w:ascii="Times New Roman" w:hAnsi="Times New Roman"/>
          <w:sz w:val="20"/>
          <w:lang w:val="pt-BR"/>
        </w:rPr>
        <w:t>=O=</w:t>
      </w:r>
      <w:proofErr w:type="spellStart"/>
      <w:r w:rsidR="00BB4750" w:rsidRPr="00F12C67">
        <w:rPr>
          <w:rFonts w:ascii="Times New Roman" w:hAnsi="Times New Roman"/>
          <w:sz w:val="20"/>
          <w:lang w:val="pt-BR"/>
        </w:rPr>
        <w:t>Mo</w:t>
      </w:r>
      <w:proofErr w:type="spellEnd"/>
      <w:r w:rsidR="00BB4750" w:rsidRPr="00F12C67">
        <w:rPr>
          <w:rFonts w:ascii="Times New Roman" w:hAnsi="Times New Roman"/>
          <w:sz w:val="20"/>
          <w:lang w:val="pt-BR"/>
        </w:rPr>
        <w:t xml:space="preserve">) </w:t>
      </w:r>
      <w:r w:rsidR="00B232F1">
        <w:rPr>
          <w:rFonts w:ascii="Times New Roman" w:hAnsi="Times New Roman"/>
          <w:noProof/>
          <w:sz w:val="20"/>
          <w:lang w:val="pt-BR"/>
        </w:rPr>
        <w:t>(</w:t>
      </w:r>
      <w:r w:rsidR="00F30F9A" w:rsidRPr="005D7FA3">
        <w:rPr>
          <w:rFonts w:ascii="Times New Roman" w:hAnsi="Times New Roman"/>
          <w:noProof/>
          <w:color w:val="000000" w:themeColor="text1"/>
          <w:sz w:val="20"/>
          <w:lang w:val="pt-BR"/>
        </w:rPr>
        <w:t>12,13</w:t>
      </w:r>
      <w:r w:rsidR="00B232F1">
        <w:rPr>
          <w:rFonts w:ascii="Times New Roman" w:hAnsi="Times New Roman"/>
          <w:noProof/>
          <w:sz w:val="20"/>
          <w:lang w:val="pt-BR"/>
        </w:rPr>
        <w:t>)</w:t>
      </w:r>
      <w:r w:rsidR="00BB4750" w:rsidRPr="00F12C67">
        <w:rPr>
          <w:rFonts w:ascii="Times New Roman" w:hAnsi="Times New Roman"/>
          <w:sz w:val="20"/>
          <w:lang w:val="pt-BR"/>
        </w:rPr>
        <w:t xml:space="preserve">. Já para amostras da série </w:t>
      </w:r>
      <w:proofErr w:type="spellStart"/>
      <w:r w:rsidR="00BB4750" w:rsidRPr="00F12C67">
        <w:rPr>
          <w:rFonts w:ascii="Times New Roman" w:hAnsi="Times New Roman"/>
          <w:sz w:val="20"/>
          <w:lang w:val="pt-BR"/>
        </w:rPr>
        <w:t>CoMnAlMo</w:t>
      </w:r>
      <w:proofErr w:type="spellEnd"/>
      <w:r w:rsidR="00BB4750" w:rsidRPr="00F12C67">
        <w:rPr>
          <w:rFonts w:ascii="Times New Roman" w:hAnsi="Times New Roman"/>
          <w:sz w:val="20"/>
          <w:lang w:val="pt-BR"/>
        </w:rPr>
        <w:t xml:space="preserve"> os perfis dos espectros são bem diferentes quando comparados com os espectros da série </w:t>
      </w:r>
      <w:proofErr w:type="spellStart"/>
      <w:r w:rsidR="00BB4750" w:rsidRPr="00F12C67">
        <w:rPr>
          <w:rFonts w:ascii="Times New Roman" w:hAnsi="Times New Roman"/>
          <w:sz w:val="20"/>
          <w:lang w:val="pt-BR"/>
        </w:rPr>
        <w:t>CoZnAlMo</w:t>
      </w:r>
      <w:proofErr w:type="spellEnd"/>
      <w:r w:rsidR="00BB4750" w:rsidRPr="00F12C67">
        <w:rPr>
          <w:rFonts w:ascii="Times New Roman" w:hAnsi="Times New Roman"/>
          <w:sz w:val="20"/>
          <w:lang w:val="pt-BR"/>
        </w:rPr>
        <w:t xml:space="preserve">, sugerindo espécies de </w:t>
      </w:r>
      <w:proofErr w:type="spellStart"/>
      <w:r w:rsidR="00BB4750" w:rsidRPr="00F12C67">
        <w:rPr>
          <w:rFonts w:ascii="Times New Roman" w:hAnsi="Times New Roman"/>
          <w:sz w:val="20"/>
          <w:lang w:val="pt-BR"/>
        </w:rPr>
        <w:t>oxo-molibdatos</w:t>
      </w:r>
      <w:proofErr w:type="spellEnd"/>
      <w:r w:rsidR="00BB4750" w:rsidRPr="00F12C67">
        <w:rPr>
          <w:rFonts w:ascii="Times New Roman" w:hAnsi="Times New Roman"/>
          <w:sz w:val="20"/>
          <w:lang w:val="pt-BR"/>
        </w:rPr>
        <w:t xml:space="preserve"> diferentes</w:t>
      </w:r>
      <w:r w:rsidR="00753D4D">
        <w:rPr>
          <w:rFonts w:ascii="Times New Roman" w:hAnsi="Times New Roman"/>
          <w:sz w:val="20"/>
          <w:lang w:val="pt-BR"/>
        </w:rPr>
        <w:t>,</w:t>
      </w:r>
      <w:r w:rsidR="00BB4750" w:rsidRPr="00F12C67">
        <w:rPr>
          <w:rFonts w:ascii="Times New Roman" w:hAnsi="Times New Roman"/>
          <w:sz w:val="20"/>
          <w:lang w:val="pt-BR"/>
        </w:rPr>
        <w:t xml:space="preserve"> incorporadas na região </w:t>
      </w:r>
      <w:proofErr w:type="spellStart"/>
      <w:r w:rsidR="00BB4750" w:rsidRPr="00F12C67">
        <w:rPr>
          <w:rFonts w:ascii="Times New Roman" w:hAnsi="Times New Roman"/>
          <w:sz w:val="20"/>
          <w:lang w:val="pt-BR"/>
        </w:rPr>
        <w:t>interlamelar</w:t>
      </w:r>
      <w:proofErr w:type="spellEnd"/>
      <w:r w:rsidR="00BB4750" w:rsidRPr="00F12C67">
        <w:rPr>
          <w:rFonts w:ascii="Times New Roman" w:hAnsi="Times New Roman"/>
          <w:sz w:val="20"/>
          <w:lang w:val="pt-BR"/>
        </w:rPr>
        <w:t xml:space="preserve"> durante a troca iônica. Neste caso, a banda entre 644-648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xml:space="preserve"> marca a presença do monômero MoO</w:t>
      </w:r>
      <w:r w:rsidR="00BB4750" w:rsidRPr="00F12C67">
        <w:rPr>
          <w:rFonts w:ascii="Times New Roman" w:hAnsi="Times New Roman"/>
          <w:sz w:val="20"/>
          <w:vertAlign w:val="subscript"/>
          <w:lang w:val="pt-BR"/>
        </w:rPr>
        <w:t>4</w:t>
      </w:r>
      <w:r w:rsidR="00BB4750" w:rsidRPr="00F12C67">
        <w:rPr>
          <w:rFonts w:ascii="Times New Roman" w:hAnsi="Times New Roman"/>
          <w:sz w:val="20"/>
          <w:vertAlign w:val="superscript"/>
          <w:lang w:val="pt-BR"/>
        </w:rPr>
        <w:t>2-</w:t>
      </w:r>
      <w:r w:rsidR="00BB4750" w:rsidRPr="00F12C67">
        <w:rPr>
          <w:rFonts w:ascii="Times New Roman" w:hAnsi="Times New Roman"/>
          <w:sz w:val="20"/>
          <w:lang w:val="pt-BR"/>
        </w:rPr>
        <w:t xml:space="preserve"> e a banda em 924 cm</w:t>
      </w:r>
      <w:r w:rsidR="00BB4750" w:rsidRPr="00F12C67">
        <w:rPr>
          <w:rFonts w:ascii="Times New Roman" w:hAnsi="Times New Roman"/>
          <w:sz w:val="20"/>
          <w:vertAlign w:val="superscript"/>
          <w:lang w:val="pt-BR"/>
        </w:rPr>
        <w:t>-1</w:t>
      </w:r>
      <w:r w:rsidR="00BB4750" w:rsidRPr="00F12C67">
        <w:rPr>
          <w:rFonts w:ascii="Times New Roman" w:hAnsi="Times New Roman"/>
          <w:sz w:val="20"/>
          <w:lang w:val="pt-BR"/>
        </w:rPr>
        <w:t xml:space="preserve"> da espécie Mo</w:t>
      </w:r>
      <w:r w:rsidR="00BB4750" w:rsidRPr="00F12C67">
        <w:rPr>
          <w:rFonts w:ascii="Times New Roman" w:hAnsi="Times New Roman"/>
          <w:sz w:val="20"/>
          <w:vertAlign w:val="subscript"/>
          <w:lang w:val="pt-BR"/>
        </w:rPr>
        <w:t>2</w:t>
      </w:r>
      <w:r w:rsidR="00BB4750" w:rsidRPr="00F12C67">
        <w:rPr>
          <w:rFonts w:ascii="Times New Roman" w:hAnsi="Times New Roman"/>
          <w:sz w:val="20"/>
          <w:lang w:val="pt-BR"/>
        </w:rPr>
        <w:t>O</w:t>
      </w:r>
      <w:r w:rsidR="00BB4750" w:rsidRPr="00F12C67">
        <w:rPr>
          <w:rFonts w:ascii="Times New Roman" w:hAnsi="Times New Roman"/>
          <w:sz w:val="20"/>
          <w:vertAlign w:val="subscript"/>
          <w:lang w:val="pt-BR"/>
        </w:rPr>
        <w:t>7</w:t>
      </w:r>
      <w:r w:rsidR="00BB4750" w:rsidRPr="00F12C67">
        <w:rPr>
          <w:rFonts w:ascii="Times New Roman" w:hAnsi="Times New Roman"/>
          <w:sz w:val="20"/>
          <w:vertAlign w:val="superscript"/>
          <w:lang w:val="pt-BR"/>
        </w:rPr>
        <w:t>2-</w:t>
      </w:r>
      <w:r w:rsidR="00BB4750" w:rsidRPr="00F12C67">
        <w:rPr>
          <w:rFonts w:ascii="Times New Roman" w:hAnsi="Times New Roman"/>
          <w:sz w:val="20"/>
          <w:lang w:val="pt-BR"/>
        </w:rPr>
        <w:t xml:space="preserve"> </w:t>
      </w:r>
      <w:r w:rsidR="00B232F1">
        <w:rPr>
          <w:rFonts w:ascii="Times New Roman" w:hAnsi="Times New Roman"/>
          <w:noProof/>
          <w:sz w:val="20"/>
          <w:lang w:val="pt-BR"/>
        </w:rPr>
        <w:t>(</w:t>
      </w:r>
      <w:r w:rsidR="00F30F9A" w:rsidRPr="005D7FA3">
        <w:rPr>
          <w:rFonts w:ascii="Times New Roman" w:hAnsi="Times New Roman"/>
          <w:noProof/>
          <w:color w:val="000000" w:themeColor="text1"/>
          <w:sz w:val="20"/>
          <w:lang w:val="pt-BR"/>
        </w:rPr>
        <w:t>14</w:t>
      </w:r>
      <w:r w:rsidR="00B232F1">
        <w:rPr>
          <w:rFonts w:ascii="Times New Roman" w:hAnsi="Times New Roman"/>
          <w:noProof/>
          <w:sz w:val="20"/>
          <w:lang w:val="pt-BR"/>
        </w:rPr>
        <w:t>)</w:t>
      </w:r>
      <w:r w:rsidR="00BB4750" w:rsidRPr="00F12C67">
        <w:rPr>
          <w:rFonts w:ascii="Times New Roman" w:hAnsi="Times New Roman"/>
          <w:sz w:val="20"/>
          <w:lang w:val="pt-BR"/>
        </w:rPr>
        <w:t xml:space="preserve">, que são característicos dos modos vibracionais, </w:t>
      </w:r>
      <w:proofErr w:type="gramStart"/>
      <w:r w:rsidR="00BB4750" w:rsidRPr="00204FFB">
        <w:rPr>
          <w:rFonts w:ascii="Times New Roman" w:hAnsi="Times New Roman"/>
          <w:sz w:val="20"/>
        </w:rPr>
        <w:t>ν</w:t>
      </w:r>
      <w:r w:rsidR="00BB4750" w:rsidRPr="00F12C67">
        <w:rPr>
          <w:rFonts w:ascii="Times New Roman" w:hAnsi="Times New Roman"/>
          <w:sz w:val="20"/>
          <w:lang w:val="pt-BR"/>
        </w:rPr>
        <w:t>(</w:t>
      </w:r>
      <w:proofErr w:type="spellStart"/>
      <w:proofErr w:type="gramEnd"/>
      <w:r w:rsidR="00BB4750" w:rsidRPr="00F12C67">
        <w:rPr>
          <w:rFonts w:ascii="Times New Roman" w:hAnsi="Times New Roman"/>
          <w:sz w:val="20"/>
          <w:lang w:val="pt-BR"/>
        </w:rPr>
        <w:t>Mo-O-Mo</w:t>
      </w:r>
      <w:proofErr w:type="spellEnd"/>
      <w:r w:rsidR="00BB4750" w:rsidRPr="00F12C67">
        <w:rPr>
          <w:rFonts w:ascii="Times New Roman" w:hAnsi="Times New Roman"/>
          <w:sz w:val="20"/>
          <w:lang w:val="pt-BR"/>
        </w:rPr>
        <w:t xml:space="preserve">) e </w:t>
      </w:r>
      <w:r w:rsidR="00BB4750" w:rsidRPr="00204FFB">
        <w:rPr>
          <w:rFonts w:ascii="Times New Roman" w:hAnsi="Times New Roman"/>
          <w:sz w:val="20"/>
        </w:rPr>
        <w:t>ν</w:t>
      </w:r>
      <w:r w:rsidR="00BB4750" w:rsidRPr="00F12C67">
        <w:rPr>
          <w:rFonts w:ascii="Times New Roman" w:hAnsi="Times New Roman"/>
          <w:sz w:val="20"/>
          <w:vertAlign w:val="subscript"/>
          <w:lang w:val="pt-BR"/>
        </w:rPr>
        <w:t>sim</w:t>
      </w:r>
      <w:r w:rsidR="00BB4750" w:rsidRPr="00F12C67">
        <w:rPr>
          <w:rFonts w:ascii="Times New Roman" w:hAnsi="Times New Roman"/>
          <w:sz w:val="20"/>
          <w:lang w:val="pt-BR"/>
        </w:rPr>
        <w:t>(</w:t>
      </w:r>
      <w:proofErr w:type="spellStart"/>
      <w:r w:rsidR="00BB4750" w:rsidRPr="00F12C67">
        <w:rPr>
          <w:rFonts w:ascii="Times New Roman" w:hAnsi="Times New Roman"/>
          <w:sz w:val="20"/>
          <w:lang w:val="pt-BR"/>
        </w:rPr>
        <w:t>Mo</w:t>
      </w:r>
      <w:proofErr w:type="spellEnd"/>
      <w:r w:rsidR="00BB4750" w:rsidRPr="00F12C67">
        <w:rPr>
          <w:rFonts w:ascii="Times New Roman" w:hAnsi="Times New Roman"/>
          <w:sz w:val="20"/>
          <w:lang w:val="pt-BR"/>
        </w:rPr>
        <w:t xml:space="preserve">=O) das respectivas espécies de </w:t>
      </w:r>
      <w:proofErr w:type="spellStart"/>
      <w:r w:rsidR="00BB4750" w:rsidRPr="00F12C67">
        <w:rPr>
          <w:rFonts w:ascii="Times New Roman" w:hAnsi="Times New Roman"/>
          <w:sz w:val="20"/>
          <w:lang w:val="pt-BR"/>
        </w:rPr>
        <w:t>molibdato</w:t>
      </w:r>
      <w:proofErr w:type="spellEnd"/>
      <w:r w:rsidR="00BB4750" w:rsidRPr="00F12C67">
        <w:rPr>
          <w:rFonts w:ascii="Times New Roman" w:hAnsi="Times New Roman"/>
          <w:sz w:val="20"/>
          <w:lang w:val="pt-BR"/>
        </w:rPr>
        <w:t>.</w:t>
      </w:r>
    </w:p>
    <w:p w14:paraId="1415018E" w14:textId="77777777" w:rsidR="00BB4750" w:rsidRDefault="00BB4750" w:rsidP="0039056D">
      <w:pPr>
        <w:spacing w:after="80"/>
        <w:rPr>
          <w:i/>
          <w:iCs/>
          <w:u w:val="single"/>
          <w:lang w:eastAsia="pt-BR"/>
        </w:rPr>
      </w:pPr>
      <w:r w:rsidRPr="00FD0F9E">
        <w:rPr>
          <w:i/>
          <w:iCs/>
          <w:u w:val="single"/>
          <w:lang w:eastAsia="pt-BR"/>
        </w:rPr>
        <w:t>Óxidos</w:t>
      </w:r>
    </w:p>
    <w:p w14:paraId="04E9513F" w14:textId="2BF51633" w:rsidR="00BB4750" w:rsidRDefault="00BB4750" w:rsidP="0039056D">
      <w:pPr>
        <w:spacing w:after="0" w:line="240" w:lineRule="auto"/>
        <w:ind w:firstLine="708"/>
        <w:jc w:val="both"/>
        <w:rPr>
          <w:rFonts w:ascii="Times New Roman" w:hAnsi="Times New Roman"/>
          <w:sz w:val="20"/>
          <w:szCs w:val="20"/>
          <w:lang w:eastAsia="pt-BR"/>
        </w:rPr>
      </w:pPr>
      <w:r>
        <w:rPr>
          <w:rFonts w:ascii="Times New Roman" w:hAnsi="Times New Roman"/>
          <w:sz w:val="20"/>
          <w:szCs w:val="20"/>
          <w:lang w:eastAsia="pt-BR"/>
        </w:rPr>
        <w:t xml:space="preserve">Os </w:t>
      </w:r>
      <w:proofErr w:type="spellStart"/>
      <w:r>
        <w:rPr>
          <w:rFonts w:ascii="Times New Roman" w:hAnsi="Times New Roman"/>
          <w:sz w:val="20"/>
          <w:szCs w:val="20"/>
          <w:lang w:eastAsia="pt-BR"/>
        </w:rPr>
        <w:t>difratogramas</w:t>
      </w:r>
      <w:proofErr w:type="spellEnd"/>
      <w:r>
        <w:rPr>
          <w:rFonts w:ascii="Times New Roman" w:hAnsi="Times New Roman"/>
          <w:sz w:val="20"/>
          <w:szCs w:val="20"/>
          <w:lang w:eastAsia="pt-BR"/>
        </w:rPr>
        <w:t xml:space="preserve"> dos </w:t>
      </w:r>
      <w:r w:rsidRPr="00C61637">
        <w:rPr>
          <w:rFonts w:ascii="Times New Roman" w:hAnsi="Times New Roman"/>
          <w:sz w:val="20"/>
          <w:szCs w:val="20"/>
          <w:lang w:eastAsia="pt-BR"/>
        </w:rPr>
        <w:t xml:space="preserve">materiais calcinados da série </w:t>
      </w:r>
      <w:proofErr w:type="spellStart"/>
      <w:r w:rsidRPr="00C61637">
        <w:rPr>
          <w:rFonts w:ascii="Times New Roman" w:hAnsi="Times New Roman"/>
          <w:sz w:val="20"/>
          <w:szCs w:val="20"/>
          <w:lang w:eastAsia="pt-BR"/>
        </w:rPr>
        <w:t>CoZnAlMoC</w:t>
      </w:r>
      <w:proofErr w:type="spellEnd"/>
      <w:r w:rsidRPr="00C61637">
        <w:rPr>
          <w:rFonts w:ascii="Times New Roman" w:hAnsi="Times New Roman"/>
          <w:sz w:val="20"/>
          <w:szCs w:val="20"/>
          <w:lang w:eastAsia="pt-BR"/>
        </w:rPr>
        <w:t xml:space="preserve"> e </w:t>
      </w:r>
      <w:proofErr w:type="spellStart"/>
      <w:r w:rsidRPr="00C61637">
        <w:rPr>
          <w:rFonts w:ascii="Times New Roman" w:hAnsi="Times New Roman"/>
          <w:sz w:val="20"/>
          <w:szCs w:val="20"/>
          <w:lang w:eastAsia="pt-BR"/>
        </w:rPr>
        <w:t>CoMnAlMoC</w:t>
      </w:r>
      <w:proofErr w:type="spellEnd"/>
      <w:r w:rsidRPr="00C61637">
        <w:rPr>
          <w:rFonts w:ascii="Times New Roman" w:hAnsi="Times New Roman"/>
          <w:sz w:val="20"/>
          <w:szCs w:val="20"/>
          <w:lang w:eastAsia="pt-BR"/>
        </w:rPr>
        <w:t xml:space="preserve"> estão apresentados nas Figuras </w:t>
      </w:r>
      <w:r w:rsidR="00C75250" w:rsidRPr="005D7FA3">
        <w:rPr>
          <w:rFonts w:ascii="Times New Roman" w:hAnsi="Times New Roman"/>
          <w:color w:val="000000" w:themeColor="text1"/>
          <w:sz w:val="20"/>
          <w:szCs w:val="20"/>
          <w:lang w:eastAsia="pt-BR"/>
        </w:rPr>
        <w:t>5</w:t>
      </w:r>
      <w:r w:rsidRPr="005D7FA3">
        <w:rPr>
          <w:rFonts w:ascii="Times New Roman" w:hAnsi="Times New Roman"/>
          <w:color w:val="000000" w:themeColor="text1"/>
          <w:sz w:val="20"/>
          <w:szCs w:val="20"/>
          <w:lang w:eastAsia="pt-BR"/>
        </w:rPr>
        <w:t xml:space="preserve"> e </w:t>
      </w:r>
      <w:r w:rsidR="00C75250" w:rsidRPr="005D7FA3">
        <w:rPr>
          <w:rFonts w:ascii="Times New Roman" w:hAnsi="Times New Roman"/>
          <w:color w:val="000000" w:themeColor="text1"/>
          <w:sz w:val="20"/>
          <w:szCs w:val="20"/>
          <w:lang w:eastAsia="pt-BR"/>
        </w:rPr>
        <w:t>6</w:t>
      </w:r>
      <w:r w:rsidRPr="00C61637">
        <w:rPr>
          <w:rFonts w:ascii="Times New Roman" w:hAnsi="Times New Roman"/>
          <w:sz w:val="20"/>
          <w:szCs w:val="20"/>
          <w:lang w:eastAsia="pt-BR"/>
        </w:rPr>
        <w:t xml:space="preserve">. </w:t>
      </w:r>
    </w:p>
    <w:p w14:paraId="05DE9B42" w14:textId="4DAB7D80" w:rsidR="00BB4750" w:rsidRPr="00FD0F9E" w:rsidRDefault="00237380" w:rsidP="0039056D">
      <w:pPr>
        <w:spacing w:after="0"/>
        <w:jc w:val="center"/>
        <w:rPr>
          <w:rFonts w:ascii="Times New Roman" w:hAnsi="Times New Roman"/>
        </w:rPr>
      </w:pPr>
      <w:r w:rsidRPr="00237380">
        <w:rPr>
          <w:rFonts w:ascii="Times New Roman" w:hAnsi="Times New Roman"/>
          <w:noProof/>
          <w:lang w:eastAsia="pt-BR"/>
        </w:rPr>
        <w:drawing>
          <wp:inline distT="0" distB="0" distL="0" distR="0" wp14:anchorId="19EFC103" wp14:editId="4D6DE9DE">
            <wp:extent cx="2740101" cy="1440000"/>
            <wp:effectExtent l="0" t="0" r="3175" b="8255"/>
            <wp:docPr id="12" name="Imagem 12" descr="C:\Users\LabCat\Desktop\web\pos-doc(2019)\CBCAT-23\Figuras\drx-ZnMo-ca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bCat\Desktop\web\pos-doc(2019)\CBCAT-23\Figuras\drx-ZnMo-cal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0101" cy="1440000"/>
                    </a:xfrm>
                    <a:prstGeom prst="rect">
                      <a:avLst/>
                    </a:prstGeom>
                    <a:noFill/>
                    <a:ln>
                      <a:noFill/>
                    </a:ln>
                  </pic:spPr>
                </pic:pic>
              </a:graphicData>
            </a:graphic>
          </wp:inline>
        </w:drawing>
      </w:r>
    </w:p>
    <w:p w14:paraId="47F6DD63" w14:textId="5A6B99A3" w:rsidR="00BB4750" w:rsidRPr="00FA6753" w:rsidRDefault="00BB4750" w:rsidP="0039056D">
      <w:pPr>
        <w:pStyle w:val="VAFigureCaption"/>
        <w:spacing w:before="0"/>
        <w:rPr>
          <w:rFonts w:ascii="Times New Roman" w:hAnsi="Times New Roman"/>
          <w:lang w:val="pt-BR"/>
        </w:rPr>
      </w:pPr>
      <w:r w:rsidRPr="00E038AF">
        <w:rPr>
          <w:rFonts w:ascii="Times New Roman" w:hAnsi="Times New Roman"/>
          <w:b/>
          <w:lang w:val="pt-BR"/>
        </w:rPr>
        <w:t xml:space="preserve">Figura </w:t>
      </w:r>
      <w:r w:rsidR="00C75250">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proofErr w:type="spellStart"/>
      <w:r w:rsidRPr="00FD0F9E">
        <w:rPr>
          <w:rFonts w:ascii="Times New Roman" w:hAnsi="Times New Roman"/>
          <w:lang w:val="pt-BR"/>
        </w:rPr>
        <w:t>Difratogramas</w:t>
      </w:r>
      <w:proofErr w:type="spellEnd"/>
      <w:r w:rsidRPr="00FD0F9E">
        <w:rPr>
          <w:rFonts w:ascii="Times New Roman" w:hAnsi="Times New Roman"/>
          <w:lang w:val="pt-BR"/>
        </w:rPr>
        <w:t xml:space="preserve"> das amostras </w:t>
      </w:r>
      <w:proofErr w:type="spellStart"/>
      <w:r w:rsidRPr="00FD0F9E">
        <w:rPr>
          <w:rFonts w:ascii="Times New Roman" w:hAnsi="Times New Roman"/>
          <w:lang w:val="pt-BR"/>
        </w:rPr>
        <w:t>CoZnAlMoC</w:t>
      </w:r>
      <w:proofErr w:type="spellEnd"/>
      <w:r w:rsidRPr="00FD0F9E">
        <w:rPr>
          <w:rFonts w:ascii="Times New Roman" w:hAnsi="Times New Roman"/>
          <w:lang w:val="pt-BR"/>
        </w:rPr>
        <w:t>. (°) β-CoMoO</w:t>
      </w:r>
      <w:proofErr w:type="gramStart"/>
      <w:r w:rsidRPr="00FD0F9E">
        <w:rPr>
          <w:rFonts w:ascii="Times New Roman" w:hAnsi="Times New Roman"/>
          <w:vertAlign w:val="subscript"/>
          <w:lang w:val="pt-BR"/>
        </w:rPr>
        <w:t>4</w:t>
      </w:r>
      <w:r w:rsidRPr="00FD0F9E">
        <w:rPr>
          <w:rFonts w:ascii="Times New Roman" w:hAnsi="Times New Roman"/>
          <w:lang w:val="pt-BR"/>
        </w:rPr>
        <w:t xml:space="preserve"> ,</w:t>
      </w:r>
      <w:proofErr w:type="gramEnd"/>
      <w:r w:rsidRPr="00FD0F9E">
        <w:rPr>
          <w:rFonts w:ascii="Times New Roman" w:hAnsi="Times New Roman"/>
          <w:lang w:val="pt-BR"/>
        </w:rPr>
        <w:t xml:space="preserve"> (#) α – MoO</w:t>
      </w:r>
      <w:r w:rsidRPr="00FD0F9E">
        <w:rPr>
          <w:rFonts w:ascii="Times New Roman" w:hAnsi="Times New Roman"/>
          <w:vertAlign w:val="subscript"/>
          <w:lang w:val="pt-BR"/>
        </w:rPr>
        <w:t>3</w:t>
      </w:r>
      <w:r w:rsidRPr="00FD0F9E">
        <w:rPr>
          <w:rFonts w:ascii="Times New Roman" w:hAnsi="Times New Roman"/>
          <w:lang w:val="pt-BR"/>
        </w:rPr>
        <w:t xml:space="preserve">, (+) </w:t>
      </w:r>
      <w:proofErr w:type="spellStart"/>
      <w:r w:rsidRPr="00FD0F9E">
        <w:rPr>
          <w:rFonts w:ascii="Times New Roman" w:hAnsi="Times New Roman"/>
          <w:lang w:val="pt-BR"/>
        </w:rPr>
        <w:t>ZnO</w:t>
      </w:r>
      <w:proofErr w:type="spellEnd"/>
      <w:r w:rsidRPr="00FD0F9E">
        <w:rPr>
          <w:rFonts w:ascii="Times New Roman" w:hAnsi="Times New Roman"/>
          <w:lang w:val="pt-BR"/>
        </w:rPr>
        <w:t xml:space="preserve"> e/ou </w:t>
      </w:r>
      <w:proofErr w:type="spellStart"/>
      <w:r w:rsidRPr="00FD0F9E">
        <w:rPr>
          <w:rFonts w:ascii="Times New Roman" w:hAnsi="Times New Roman"/>
          <w:lang w:val="pt-BR"/>
        </w:rPr>
        <w:t>CoO</w:t>
      </w:r>
      <w:proofErr w:type="spellEnd"/>
      <w:r w:rsidRPr="00FD0F9E">
        <w:rPr>
          <w:rFonts w:ascii="Times New Roman" w:hAnsi="Times New Roman"/>
          <w:lang w:val="pt-BR"/>
        </w:rPr>
        <w:t>, (*) γ-Al</w:t>
      </w:r>
      <w:r w:rsidRPr="00FD0F9E">
        <w:rPr>
          <w:rFonts w:ascii="Times New Roman" w:hAnsi="Times New Roman"/>
          <w:vertAlign w:val="subscript"/>
          <w:lang w:val="pt-BR"/>
        </w:rPr>
        <w:t>2</w:t>
      </w:r>
      <w:r w:rsidRPr="00FD0F9E">
        <w:rPr>
          <w:rFonts w:ascii="Times New Roman" w:hAnsi="Times New Roman"/>
          <w:lang w:val="pt-BR"/>
        </w:rPr>
        <w:t>O</w:t>
      </w:r>
      <w:r w:rsidRPr="00FD0F9E">
        <w:rPr>
          <w:rFonts w:ascii="Times New Roman" w:hAnsi="Times New Roman"/>
          <w:vertAlign w:val="subscript"/>
          <w:lang w:val="pt-BR"/>
        </w:rPr>
        <w:t>3</w:t>
      </w:r>
      <w:r>
        <w:rPr>
          <w:rFonts w:ascii="Times New Roman" w:hAnsi="Times New Roman"/>
          <w:lang w:val="pt-BR"/>
        </w:rPr>
        <w:t>.</w:t>
      </w:r>
    </w:p>
    <w:p w14:paraId="6497F176" w14:textId="29D85B59" w:rsidR="00BB4750" w:rsidRPr="00FD0F9E" w:rsidRDefault="00237380" w:rsidP="0039056D">
      <w:pPr>
        <w:spacing w:after="0"/>
        <w:jc w:val="center"/>
        <w:rPr>
          <w:rFonts w:ascii="Times New Roman" w:hAnsi="Times New Roman"/>
        </w:rPr>
      </w:pPr>
      <w:r w:rsidRPr="00237380">
        <w:rPr>
          <w:rFonts w:ascii="Times New Roman" w:hAnsi="Times New Roman"/>
          <w:noProof/>
          <w:lang w:eastAsia="pt-BR"/>
        </w:rPr>
        <w:drawing>
          <wp:inline distT="0" distB="0" distL="0" distR="0" wp14:anchorId="2426234A" wp14:editId="5AC48396">
            <wp:extent cx="2882018" cy="1440000"/>
            <wp:effectExtent l="0" t="0" r="0" b="8255"/>
            <wp:docPr id="13" name="Imagem 13" descr="C:\Users\LabCat\Desktop\web\pos-doc(2019)\CBCAT-23\Figuras\drx-MnMo-ca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bCat\Desktop\web\pos-doc(2019)\CBCAT-23\Figuras\drx-MnMo-calc.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2018" cy="1440000"/>
                    </a:xfrm>
                    <a:prstGeom prst="rect">
                      <a:avLst/>
                    </a:prstGeom>
                    <a:noFill/>
                    <a:ln>
                      <a:noFill/>
                    </a:ln>
                  </pic:spPr>
                </pic:pic>
              </a:graphicData>
            </a:graphic>
          </wp:inline>
        </w:drawing>
      </w:r>
    </w:p>
    <w:p w14:paraId="3417152F" w14:textId="1A50E02F" w:rsidR="00BB4750" w:rsidRPr="00E72BB2" w:rsidRDefault="00BB4750" w:rsidP="0039056D">
      <w:pPr>
        <w:pStyle w:val="VAFigureCaption"/>
        <w:spacing w:before="0" w:after="120"/>
        <w:rPr>
          <w:rFonts w:ascii="Times New Roman" w:hAnsi="Times New Roman"/>
          <w:lang w:val="pt-BR"/>
        </w:rPr>
      </w:pPr>
      <w:r w:rsidRPr="008F30DB">
        <w:rPr>
          <w:rFonts w:ascii="Times New Roman" w:hAnsi="Times New Roman"/>
          <w:b/>
          <w:lang w:val="pt-BR"/>
        </w:rPr>
        <w:t>F</w:t>
      </w:r>
      <w:r w:rsidR="00C75250">
        <w:rPr>
          <w:rFonts w:ascii="Times New Roman" w:hAnsi="Times New Roman"/>
          <w:b/>
          <w:lang w:val="pt-BR"/>
        </w:rPr>
        <w:t>igura 6</w:t>
      </w:r>
      <w:r w:rsidRPr="008F30DB">
        <w:rPr>
          <w:rFonts w:ascii="Times New Roman" w:hAnsi="Times New Roman"/>
          <w:b/>
          <w:lang w:val="pt-BR"/>
        </w:rPr>
        <w:t>.</w:t>
      </w:r>
      <w:r w:rsidRPr="00F12C67">
        <w:rPr>
          <w:rFonts w:ascii="Times New Roman" w:hAnsi="Times New Roman"/>
          <w:b/>
          <w:bCs/>
          <w:lang w:val="pt-BR"/>
        </w:rPr>
        <w:t xml:space="preserve"> </w:t>
      </w:r>
      <w:proofErr w:type="spellStart"/>
      <w:r w:rsidRPr="00F12C67">
        <w:rPr>
          <w:rFonts w:ascii="Times New Roman" w:hAnsi="Times New Roman"/>
          <w:lang w:val="pt-BR"/>
        </w:rPr>
        <w:t>Difratogramas</w:t>
      </w:r>
      <w:proofErr w:type="spellEnd"/>
      <w:r w:rsidRPr="00F12C67">
        <w:rPr>
          <w:rFonts w:ascii="Times New Roman" w:hAnsi="Times New Roman"/>
          <w:lang w:val="pt-BR"/>
        </w:rPr>
        <w:t xml:space="preserve"> das amostras </w:t>
      </w:r>
      <w:proofErr w:type="spellStart"/>
      <w:r w:rsidRPr="00F12C67">
        <w:rPr>
          <w:rFonts w:ascii="Times New Roman" w:hAnsi="Times New Roman"/>
          <w:lang w:val="pt-BR"/>
        </w:rPr>
        <w:t>CoMnAlMoC</w:t>
      </w:r>
      <w:proofErr w:type="spellEnd"/>
      <w:r w:rsidRPr="00F12C67">
        <w:rPr>
          <w:rFonts w:ascii="Times New Roman" w:hAnsi="Times New Roman"/>
          <w:lang w:val="pt-BR"/>
        </w:rPr>
        <w:t xml:space="preserve">. (°) </w:t>
      </w:r>
      <w:r w:rsidRPr="008F30DB">
        <w:rPr>
          <w:rFonts w:ascii="Times New Roman" w:hAnsi="Times New Roman"/>
        </w:rPr>
        <w:t>β</w:t>
      </w:r>
      <w:r w:rsidRPr="00F12C67">
        <w:rPr>
          <w:rFonts w:ascii="Times New Roman" w:hAnsi="Times New Roman"/>
          <w:lang w:val="pt-BR"/>
        </w:rPr>
        <w:t>-CoMoO</w:t>
      </w:r>
      <w:r w:rsidRPr="00F12C67">
        <w:rPr>
          <w:rFonts w:ascii="Times New Roman" w:hAnsi="Times New Roman"/>
          <w:vertAlign w:val="subscript"/>
          <w:lang w:val="pt-BR"/>
        </w:rPr>
        <w:t xml:space="preserve">4 </w:t>
      </w:r>
      <w:r w:rsidRPr="00F12C67">
        <w:rPr>
          <w:rFonts w:ascii="Times New Roman" w:hAnsi="Times New Roman"/>
          <w:lang w:val="pt-BR"/>
        </w:rPr>
        <w:t xml:space="preserve">e/ou </w:t>
      </w:r>
      <w:r w:rsidRPr="008F30DB">
        <w:rPr>
          <w:rFonts w:ascii="Times New Roman" w:hAnsi="Times New Roman"/>
        </w:rPr>
        <w:t>α</w:t>
      </w:r>
      <w:r w:rsidRPr="00F12C67">
        <w:rPr>
          <w:rFonts w:ascii="Times New Roman" w:hAnsi="Times New Roman"/>
          <w:lang w:val="pt-BR"/>
        </w:rPr>
        <w:t>-MnMoO</w:t>
      </w:r>
      <w:proofErr w:type="gramStart"/>
      <w:r w:rsidRPr="00F12C67">
        <w:rPr>
          <w:rFonts w:ascii="Times New Roman" w:hAnsi="Times New Roman"/>
          <w:vertAlign w:val="subscript"/>
          <w:lang w:val="pt-BR"/>
        </w:rPr>
        <w:t>4</w:t>
      </w:r>
      <w:r w:rsidRPr="00F12C67">
        <w:rPr>
          <w:rFonts w:ascii="Times New Roman" w:hAnsi="Times New Roman"/>
          <w:lang w:val="pt-BR"/>
        </w:rPr>
        <w:t xml:space="preserve"> ,</w:t>
      </w:r>
      <w:proofErr w:type="gramEnd"/>
      <w:r w:rsidRPr="00F12C67">
        <w:rPr>
          <w:rFonts w:ascii="Times New Roman" w:hAnsi="Times New Roman"/>
          <w:lang w:val="pt-BR"/>
        </w:rPr>
        <w:t xml:space="preserve"> (#) </w:t>
      </w:r>
      <w:r w:rsidRPr="008F30DB">
        <w:rPr>
          <w:rFonts w:ascii="Times New Roman" w:hAnsi="Times New Roman"/>
        </w:rPr>
        <w:t>α</w:t>
      </w:r>
      <w:r w:rsidRPr="00F12C67">
        <w:rPr>
          <w:rFonts w:ascii="Times New Roman" w:hAnsi="Times New Roman"/>
          <w:lang w:val="pt-BR"/>
        </w:rPr>
        <w:t xml:space="preserve"> – MoO</w:t>
      </w:r>
      <w:r w:rsidRPr="00F12C67">
        <w:rPr>
          <w:rFonts w:ascii="Times New Roman" w:hAnsi="Times New Roman"/>
          <w:vertAlign w:val="subscript"/>
          <w:lang w:val="pt-BR"/>
        </w:rPr>
        <w:t>3</w:t>
      </w:r>
      <w:r w:rsidRPr="00F12C67">
        <w:rPr>
          <w:rFonts w:ascii="Times New Roman" w:hAnsi="Times New Roman"/>
          <w:lang w:val="pt-BR"/>
        </w:rPr>
        <w:t xml:space="preserve">, (+) </w:t>
      </w:r>
      <w:proofErr w:type="spellStart"/>
      <w:r w:rsidRPr="00F12C67">
        <w:rPr>
          <w:rFonts w:ascii="Times New Roman" w:hAnsi="Times New Roman"/>
          <w:lang w:val="pt-BR"/>
        </w:rPr>
        <w:t>CoO</w:t>
      </w:r>
      <w:proofErr w:type="spellEnd"/>
      <w:r w:rsidRPr="00F12C67">
        <w:rPr>
          <w:rFonts w:ascii="Times New Roman" w:hAnsi="Times New Roman"/>
          <w:lang w:val="pt-BR"/>
        </w:rPr>
        <w:t xml:space="preserve">, (*) </w:t>
      </w:r>
      <w:r w:rsidRPr="008F30DB">
        <w:rPr>
          <w:rFonts w:ascii="Times New Roman" w:hAnsi="Times New Roman"/>
        </w:rPr>
        <w:t>γ</w:t>
      </w:r>
      <w:r w:rsidRPr="00F12C67">
        <w:rPr>
          <w:rFonts w:ascii="Times New Roman" w:hAnsi="Times New Roman"/>
          <w:lang w:val="pt-BR"/>
        </w:rPr>
        <w:t>-Al</w:t>
      </w:r>
      <w:r w:rsidRPr="00F12C67">
        <w:rPr>
          <w:rFonts w:ascii="Times New Roman" w:hAnsi="Times New Roman"/>
          <w:vertAlign w:val="subscript"/>
          <w:lang w:val="pt-BR"/>
        </w:rPr>
        <w:t>2</w:t>
      </w:r>
      <w:r w:rsidRPr="00F12C67">
        <w:rPr>
          <w:rFonts w:ascii="Times New Roman" w:hAnsi="Times New Roman"/>
          <w:lang w:val="pt-BR"/>
        </w:rPr>
        <w:t>O</w:t>
      </w:r>
      <w:r w:rsidRPr="00F12C67">
        <w:rPr>
          <w:rFonts w:ascii="Times New Roman" w:hAnsi="Times New Roman"/>
          <w:vertAlign w:val="subscript"/>
          <w:lang w:val="pt-BR"/>
        </w:rPr>
        <w:t>3</w:t>
      </w:r>
      <w:r w:rsidRPr="00F12C67">
        <w:rPr>
          <w:rFonts w:ascii="Times New Roman" w:hAnsi="Times New Roman"/>
          <w:lang w:val="pt-BR"/>
        </w:rPr>
        <w:t>.</w:t>
      </w:r>
    </w:p>
    <w:p w14:paraId="74947354" w14:textId="3343C304" w:rsidR="00BB4750" w:rsidRPr="00900110" w:rsidRDefault="00BB4750" w:rsidP="0039056D">
      <w:pPr>
        <w:spacing w:after="0" w:line="240" w:lineRule="auto"/>
        <w:ind w:firstLine="708"/>
        <w:jc w:val="both"/>
        <w:rPr>
          <w:rFonts w:ascii="Times New Roman" w:hAnsi="Times New Roman"/>
          <w:sz w:val="20"/>
          <w:szCs w:val="20"/>
          <w:lang w:eastAsia="pt-BR"/>
        </w:rPr>
      </w:pPr>
      <w:r w:rsidRPr="00C61637">
        <w:rPr>
          <w:rFonts w:ascii="Times New Roman" w:hAnsi="Times New Roman"/>
          <w:sz w:val="20"/>
          <w:szCs w:val="20"/>
          <w:lang w:eastAsia="pt-BR"/>
        </w:rPr>
        <w:t xml:space="preserve">Todos os </w:t>
      </w:r>
      <w:r w:rsidR="00451492">
        <w:rPr>
          <w:rFonts w:ascii="Times New Roman" w:hAnsi="Times New Roman"/>
          <w:sz w:val="20"/>
          <w:szCs w:val="20"/>
          <w:lang w:eastAsia="pt-BR"/>
        </w:rPr>
        <w:t>materiais são</w:t>
      </w:r>
      <w:r w:rsidRPr="00C61637">
        <w:rPr>
          <w:rFonts w:ascii="Times New Roman" w:hAnsi="Times New Roman"/>
          <w:sz w:val="20"/>
          <w:szCs w:val="20"/>
          <w:lang w:eastAsia="pt-BR"/>
        </w:rPr>
        <w:t xml:space="preserve"> óxidos de baixa cristalinidade, consequentemente, o alargamento dos picos de difração dificulta a identificação das fases dos óxidos formados, no entanto, a presença do pico (°) em 26° 2θ (</w:t>
      </w:r>
      <w:proofErr w:type="spellStart"/>
      <w:r w:rsidRPr="00C61637">
        <w:rPr>
          <w:rFonts w:ascii="Times New Roman" w:hAnsi="Times New Roman"/>
          <w:sz w:val="20"/>
          <w:szCs w:val="20"/>
          <w:lang w:eastAsia="pt-BR"/>
        </w:rPr>
        <w:t>Cuk</w:t>
      </w:r>
      <w:proofErr w:type="spellEnd"/>
      <w:r w:rsidRPr="00C61637">
        <w:rPr>
          <w:rFonts w:ascii="Times New Roman" w:hAnsi="Times New Roman"/>
          <w:sz w:val="20"/>
          <w:szCs w:val="20"/>
          <w:lang w:eastAsia="pt-BR"/>
        </w:rPr>
        <w:t xml:space="preserve">α) para as amostras da série </w:t>
      </w:r>
      <w:proofErr w:type="spellStart"/>
      <w:r w:rsidRPr="00C61637">
        <w:rPr>
          <w:rFonts w:ascii="Times New Roman" w:hAnsi="Times New Roman"/>
          <w:sz w:val="20"/>
          <w:szCs w:val="20"/>
          <w:lang w:eastAsia="pt-BR"/>
        </w:rPr>
        <w:t>CoZnAlMoC</w:t>
      </w:r>
      <w:proofErr w:type="spellEnd"/>
      <w:r w:rsidRPr="00C61637">
        <w:rPr>
          <w:rFonts w:ascii="Times New Roman" w:hAnsi="Times New Roman"/>
          <w:sz w:val="20"/>
          <w:szCs w:val="20"/>
          <w:lang w:eastAsia="pt-BR"/>
        </w:rPr>
        <w:t xml:space="preserve"> e </w:t>
      </w:r>
      <w:proofErr w:type="spellStart"/>
      <w:r w:rsidRPr="00C61637">
        <w:rPr>
          <w:rFonts w:ascii="Times New Roman" w:hAnsi="Times New Roman"/>
          <w:sz w:val="20"/>
          <w:szCs w:val="20"/>
          <w:lang w:eastAsia="pt-BR"/>
        </w:rPr>
        <w:t>CoMnAlMoC</w:t>
      </w:r>
      <w:proofErr w:type="spellEnd"/>
      <w:r w:rsidRPr="00C61637">
        <w:rPr>
          <w:rFonts w:ascii="Times New Roman" w:hAnsi="Times New Roman"/>
          <w:sz w:val="20"/>
          <w:szCs w:val="20"/>
          <w:lang w:eastAsia="pt-BR"/>
        </w:rPr>
        <w:t xml:space="preserve"> sugerem a presença da fase β-CoMoO</w:t>
      </w:r>
      <w:r w:rsidRPr="00C61637">
        <w:rPr>
          <w:rFonts w:ascii="Times New Roman" w:hAnsi="Times New Roman"/>
          <w:sz w:val="20"/>
          <w:szCs w:val="20"/>
          <w:vertAlign w:val="subscript"/>
          <w:lang w:eastAsia="pt-BR"/>
        </w:rPr>
        <w:t>4</w:t>
      </w:r>
      <w:r w:rsidRPr="00C61637">
        <w:rPr>
          <w:rFonts w:ascii="Times New Roman" w:hAnsi="Times New Roman"/>
          <w:sz w:val="20"/>
          <w:szCs w:val="20"/>
          <w:lang w:eastAsia="pt-BR"/>
        </w:rPr>
        <w:t xml:space="preserve"> conforme relatado em trabalhos anteriores </w:t>
      </w:r>
      <w:r w:rsidR="00B232F1">
        <w:rPr>
          <w:rFonts w:ascii="Times New Roman" w:hAnsi="Times New Roman"/>
          <w:noProof/>
          <w:sz w:val="20"/>
          <w:szCs w:val="20"/>
          <w:lang w:eastAsia="pt-BR"/>
        </w:rPr>
        <w:t>(</w:t>
      </w:r>
      <w:r w:rsidR="00480136" w:rsidRPr="005D7FA3">
        <w:rPr>
          <w:rFonts w:ascii="Times New Roman" w:hAnsi="Times New Roman"/>
          <w:noProof/>
          <w:color w:val="000000" w:themeColor="text1"/>
          <w:sz w:val="20"/>
          <w:szCs w:val="20"/>
          <w:lang w:eastAsia="pt-BR"/>
        </w:rPr>
        <w:t>5, 8</w:t>
      </w:r>
      <w:r w:rsidR="00B232F1">
        <w:rPr>
          <w:rFonts w:ascii="Times New Roman" w:hAnsi="Times New Roman"/>
          <w:noProof/>
          <w:sz w:val="20"/>
          <w:szCs w:val="20"/>
          <w:lang w:eastAsia="pt-BR"/>
        </w:rPr>
        <w:t>)</w:t>
      </w:r>
      <w:r w:rsidRPr="00C61637">
        <w:rPr>
          <w:rFonts w:ascii="Times New Roman" w:hAnsi="Times New Roman"/>
          <w:sz w:val="20"/>
          <w:szCs w:val="20"/>
          <w:lang w:eastAsia="pt-BR"/>
        </w:rPr>
        <w:t xml:space="preserve">, sendo mais pronunciado para as amostras Co10Zn40Al50MoC e Co30Mn20Al50MoC quando comparado com outras da mesma série. </w:t>
      </w:r>
      <w:r w:rsidR="002B03BD" w:rsidRPr="002B03BD">
        <w:rPr>
          <w:rFonts w:ascii="Times New Roman" w:hAnsi="Times New Roman"/>
          <w:sz w:val="20"/>
          <w:szCs w:val="20"/>
          <w:lang w:eastAsia="pt-BR"/>
        </w:rPr>
        <w:t xml:space="preserve">É interessante notar que resultados do cálculo de DFT relatados na literatura </w:t>
      </w:r>
      <w:r w:rsidR="00F30F9A">
        <w:rPr>
          <w:rFonts w:ascii="Times New Roman" w:hAnsi="Times New Roman"/>
          <w:sz w:val="20"/>
          <w:szCs w:val="20"/>
          <w:lang w:eastAsia="pt-BR"/>
        </w:rPr>
        <w:t>(</w:t>
      </w:r>
      <w:r w:rsidR="00F30F9A" w:rsidRPr="005D7FA3">
        <w:rPr>
          <w:rFonts w:ascii="Times New Roman" w:hAnsi="Times New Roman"/>
          <w:color w:val="000000" w:themeColor="text1"/>
          <w:sz w:val="20"/>
          <w:szCs w:val="20"/>
          <w:lang w:eastAsia="pt-BR"/>
        </w:rPr>
        <w:t>15</w:t>
      </w:r>
      <w:r w:rsidR="002B03BD">
        <w:rPr>
          <w:rFonts w:ascii="Times New Roman" w:hAnsi="Times New Roman"/>
          <w:sz w:val="20"/>
          <w:szCs w:val="20"/>
          <w:lang w:eastAsia="pt-BR"/>
        </w:rPr>
        <w:t>)</w:t>
      </w:r>
      <w:r w:rsidR="002B03BD" w:rsidRPr="002B03BD">
        <w:rPr>
          <w:rFonts w:ascii="Times New Roman" w:hAnsi="Times New Roman"/>
          <w:sz w:val="20"/>
          <w:szCs w:val="20"/>
          <w:lang w:eastAsia="pt-BR"/>
        </w:rPr>
        <w:t xml:space="preserve">, mostraram que a superfície da fase </w:t>
      </w:r>
      <w:r w:rsidR="002B03BD" w:rsidRPr="00C61637">
        <w:rPr>
          <w:rFonts w:ascii="Times New Roman" w:hAnsi="Times New Roman"/>
          <w:sz w:val="20"/>
          <w:szCs w:val="20"/>
          <w:lang w:eastAsia="pt-BR"/>
        </w:rPr>
        <w:t>β-CoMoO</w:t>
      </w:r>
      <w:r w:rsidR="002B03BD" w:rsidRPr="00C61637">
        <w:rPr>
          <w:rFonts w:ascii="Times New Roman" w:hAnsi="Times New Roman"/>
          <w:sz w:val="20"/>
          <w:szCs w:val="20"/>
          <w:vertAlign w:val="subscript"/>
          <w:lang w:eastAsia="pt-BR"/>
        </w:rPr>
        <w:t>4</w:t>
      </w:r>
      <w:r w:rsidR="002B03BD" w:rsidRPr="002B03BD">
        <w:rPr>
          <w:rFonts w:ascii="Times New Roman" w:hAnsi="Times New Roman"/>
          <w:sz w:val="20"/>
          <w:szCs w:val="20"/>
          <w:lang w:eastAsia="pt-BR"/>
        </w:rPr>
        <w:t xml:space="preserve"> tem uma forte energia de adsorção de H</w:t>
      </w:r>
      <w:r w:rsidR="002B03BD" w:rsidRPr="002B03BD">
        <w:rPr>
          <w:rFonts w:ascii="Times New Roman" w:hAnsi="Times New Roman"/>
          <w:sz w:val="20"/>
          <w:szCs w:val="20"/>
          <w:vertAlign w:val="subscript"/>
          <w:lang w:eastAsia="pt-BR"/>
        </w:rPr>
        <w:t>2</w:t>
      </w:r>
      <w:r w:rsidR="002B03BD" w:rsidRPr="002B03BD">
        <w:rPr>
          <w:rFonts w:ascii="Times New Roman" w:hAnsi="Times New Roman"/>
          <w:sz w:val="20"/>
          <w:szCs w:val="20"/>
          <w:lang w:eastAsia="pt-BR"/>
        </w:rPr>
        <w:t xml:space="preserve">S, sugerindo que essa fase é fácil de ser </w:t>
      </w:r>
      <w:r w:rsidR="002B03BD" w:rsidRPr="002B03BD">
        <w:rPr>
          <w:rFonts w:ascii="Times New Roman" w:hAnsi="Times New Roman"/>
          <w:sz w:val="20"/>
          <w:szCs w:val="20"/>
          <w:lang w:eastAsia="pt-BR"/>
        </w:rPr>
        <w:t xml:space="preserve">sulfetada para formar sítios ativos </w:t>
      </w:r>
      <w:proofErr w:type="spellStart"/>
      <w:r w:rsidR="002B03BD" w:rsidRPr="002B03BD">
        <w:rPr>
          <w:rFonts w:ascii="Times New Roman" w:hAnsi="Times New Roman"/>
          <w:sz w:val="20"/>
          <w:szCs w:val="20"/>
          <w:lang w:eastAsia="pt-BR"/>
        </w:rPr>
        <w:t>CoMoS</w:t>
      </w:r>
      <w:proofErr w:type="spellEnd"/>
      <w:r w:rsidR="002B03BD" w:rsidRPr="002B03BD">
        <w:rPr>
          <w:rFonts w:ascii="Times New Roman" w:hAnsi="Times New Roman"/>
          <w:sz w:val="20"/>
          <w:szCs w:val="20"/>
          <w:lang w:eastAsia="pt-BR"/>
        </w:rPr>
        <w:t xml:space="preserve">. </w:t>
      </w:r>
      <w:r w:rsidRPr="00C61637">
        <w:rPr>
          <w:rFonts w:ascii="Times New Roman" w:hAnsi="Times New Roman"/>
          <w:sz w:val="20"/>
          <w:szCs w:val="20"/>
          <w:lang w:eastAsia="pt-BR"/>
        </w:rPr>
        <w:t>Ainda, quando se trata das amostras contendo manganês o pico em 26° pode estar relacionado também a fase α-MnMoO</w:t>
      </w:r>
      <w:r w:rsidRPr="00C61637">
        <w:rPr>
          <w:rFonts w:ascii="Times New Roman" w:hAnsi="Times New Roman"/>
          <w:sz w:val="20"/>
          <w:szCs w:val="20"/>
          <w:vertAlign w:val="subscript"/>
          <w:lang w:eastAsia="pt-BR"/>
        </w:rPr>
        <w:t>4</w:t>
      </w:r>
      <w:r w:rsidRPr="00C61637">
        <w:rPr>
          <w:rFonts w:ascii="Times New Roman" w:hAnsi="Times New Roman"/>
          <w:sz w:val="20"/>
          <w:szCs w:val="20"/>
          <w:lang w:eastAsia="pt-BR"/>
        </w:rPr>
        <w:t xml:space="preserve"> (ICSD - 78328). Adicionalmente, para todas as amostras é possível observar picos (*) em 36°, 46° e 66° relativos à fase γ </w:t>
      </w:r>
      <w:r>
        <w:rPr>
          <w:rFonts w:ascii="Times New Roman" w:hAnsi="Times New Roman"/>
          <w:sz w:val="20"/>
          <w:szCs w:val="20"/>
          <w:lang w:eastAsia="pt-BR"/>
        </w:rPr>
        <w:t>–</w:t>
      </w:r>
      <w:r w:rsidRPr="00C61637">
        <w:rPr>
          <w:rFonts w:ascii="Times New Roman" w:hAnsi="Times New Roman"/>
          <w:sz w:val="20"/>
          <w:szCs w:val="20"/>
          <w:lang w:eastAsia="pt-BR"/>
        </w:rPr>
        <w:t>alumina</w:t>
      </w:r>
      <w:r>
        <w:rPr>
          <w:rFonts w:ascii="Times New Roman" w:hAnsi="Times New Roman"/>
          <w:sz w:val="20"/>
          <w:szCs w:val="20"/>
          <w:lang w:eastAsia="pt-BR"/>
        </w:rPr>
        <w:t xml:space="preserve"> </w:t>
      </w:r>
      <w:r w:rsidR="00B232F1">
        <w:rPr>
          <w:rFonts w:ascii="Times New Roman" w:hAnsi="Times New Roman"/>
          <w:noProof/>
          <w:sz w:val="20"/>
          <w:szCs w:val="20"/>
          <w:lang w:eastAsia="pt-BR"/>
        </w:rPr>
        <w:t>(</w:t>
      </w:r>
      <w:r w:rsidR="00F30F9A" w:rsidRPr="005D7FA3">
        <w:rPr>
          <w:rFonts w:ascii="Times New Roman" w:hAnsi="Times New Roman"/>
          <w:noProof/>
          <w:color w:val="000000" w:themeColor="text1"/>
          <w:sz w:val="20"/>
          <w:szCs w:val="20"/>
          <w:lang w:eastAsia="pt-BR"/>
        </w:rPr>
        <w:t>16</w:t>
      </w:r>
      <w:r w:rsidR="00B232F1">
        <w:rPr>
          <w:rFonts w:ascii="Times New Roman" w:hAnsi="Times New Roman"/>
          <w:noProof/>
          <w:sz w:val="20"/>
          <w:szCs w:val="20"/>
          <w:lang w:eastAsia="pt-BR"/>
        </w:rPr>
        <w:t>)</w:t>
      </w:r>
      <w:r>
        <w:rPr>
          <w:rFonts w:ascii="Times New Roman" w:hAnsi="Times New Roman"/>
          <w:sz w:val="20"/>
          <w:szCs w:val="20"/>
          <w:lang w:eastAsia="pt-BR"/>
        </w:rPr>
        <w:t xml:space="preserve">. </w:t>
      </w:r>
      <w:r w:rsidRPr="00C61637">
        <w:rPr>
          <w:rFonts w:ascii="Times New Roman" w:hAnsi="Times New Roman"/>
          <w:sz w:val="20"/>
          <w:szCs w:val="20"/>
          <w:lang w:eastAsia="pt-BR"/>
        </w:rPr>
        <w:t xml:space="preserve">Fazendo uma análise mais criteriosa dos </w:t>
      </w:r>
      <w:proofErr w:type="spellStart"/>
      <w:r w:rsidRPr="00C61637">
        <w:rPr>
          <w:rFonts w:ascii="Times New Roman" w:hAnsi="Times New Roman"/>
          <w:sz w:val="20"/>
          <w:szCs w:val="20"/>
          <w:lang w:eastAsia="pt-BR"/>
        </w:rPr>
        <w:t>difratogramas</w:t>
      </w:r>
      <w:proofErr w:type="spellEnd"/>
      <w:r w:rsidRPr="00C61637">
        <w:rPr>
          <w:rFonts w:ascii="Times New Roman" w:hAnsi="Times New Roman"/>
          <w:sz w:val="20"/>
          <w:szCs w:val="20"/>
          <w:lang w:eastAsia="pt-BR"/>
        </w:rPr>
        <w:t xml:space="preserve"> o pico em 36° também poderia estar relacionado ao óxido de zinco (COD - 1011258) para as amostras da série </w:t>
      </w:r>
      <w:proofErr w:type="spellStart"/>
      <w:r w:rsidRPr="00C61637">
        <w:rPr>
          <w:rFonts w:ascii="Times New Roman" w:hAnsi="Times New Roman"/>
          <w:sz w:val="20"/>
          <w:szCs w:val="20"/>
          <w:lang w:eastAsia="pt-BR"/>
        </w:rPr>
        <w:t>CoZnAlMoC</w:t>
      </w:r>
      <w:proofErr w:type="spellEnd"/>
      <w:r w:rsidRPr="00C61637">
        <w:rPr>
          <w:rFonts w:ascii="Times New Roman" w:hAnsi="Times New Roman"/>
          <w:sz w:val="20"/>
          <w:szCs w:val="20"/>
          <w:lang w:eastAsia="pt-BR"/>
        </w:rPr>
        <w:t xml:space="preserve"> ou mesmo a uma fase de óxido de cobalto para as amostras das duas séries. Picos relativos à fase do óxido de molibdênio fo</w:t>
      </w:r>
      <w:r w:rsidR="001E4A7F">
        <w:rPr>
          <w:rFonts w:ascii="Times New Roman" w:hAnsi="Times New Roman"/>
          <w:sz w:val="20"/>
          <w:szCs w:val="20"/>
          <w:lang w:eastAsia="pt-BR"/>
        </w:rPr>
        <w:t>ram</w:t>
      </w:r>
      <w:r w:rsidRPr="00C61637">
        <w:rPr>
          <w:rFonts w:ascii="Times New Roman" w:hAnsi="Times New Roman"/>
          <w:sz w:val="20"/>
          <w:szCs w:val="20"/>
          <w:lang w:eastAsia="pt-BR"/>
        </w:rPr>
        <w:t xml:space="preserve"> observado</w:t>
      </w:r>
      <w:r w:rsidR="001E4A7F">
        <w:rPr>
          <w:rFonts w:ascii="Times New Roman" w:hAnsi="Times New Roman"/>
          <w:sz w:val="20"/>
          <w:szCs w:val="20"/>
          <w:lang w:eastAsia="pt-BR"/>
        </w:rPr>
        <w:t>s</w:t>
      </w:r>
      <w:r w:rsidRPr="00C61637">
        <w:rPr>
          <w:rFonts w:ascii="Times New Roman" w:hAnsi="Times New Roman"/>
          <w:sz w:val="20"/>
          <w:szCs w:val="20"/>
          <w:lang w:eastAsia="pt-BR"/>
        </w:rPr>
        <w:t xml:space="preserve"> nas diferentes amostras. O óxido de molibdênio possui diferentes fases polimórficas conhecidas na literatura como β- MoO</w:t>
      </w:r>
      <w:r w:rsidRPr="00C61637">
        <w:rPr>
          <w:rFonts w:ascii="Times New Roman" w:hAnsi="Times New Roman"/>
          <w:sz w:val="20"/>
          <w:szCs w:val="20"/>
          <w:vertAlign w:val="subscript"/>
          <w:lang w:eastAsia="pt-BR"/>
        </w:rPr>
        <w:t>3</w:t>
      </w:r>
      <w:r w:rsidRPr="00C61637">
        <w:rPr>
          <w:rFonts w:ascii="Times New Roman" w:hAnsi="Times New Roman"/>
          <w:sz w:val="20"/>
          <w:szCs w:val="20"/>
          <w:lang w:eastAsia="pt-BR"/>
        </w:rPr>
        <w:t xml:space="preserve"> (</w:t>
      </w:r>
      <w:r w:rsidRPr="00C61637">
        <w:rPr>
          <w:rFonts w:ascii="Times New Roman" w:hAnsi="Times New Roman"/>
          <w:i/>
          <w:iCs/>
          <w:sz w:val="20"/>
          <w:szCs w:val="20"/>
          <w:lang w:eastAsia="pt-BR"/>
        </w:rPr>
        <w:t>P21/c</w:t>
      </w:r>
      <w:r w:rsidRPr="00C61637">
        <w:rPr>
          <w:rFonts w:ascii="Times New Roman" w:hAnsi="Times New Roman"/>
          <w:sz w:val="20"/>
          <w:szCs w:val="20"/>
          <w:lang w:eastAsia="pt-BR"/>
        </w:rPr>
        <w:t>), ε- MoO</w:t>
      </w:r>
      <w:r w:rsidRPr="00C61637">
        <w:rPr>
          <w:rFonts w:ascii="Times New Roman" w:hAnsi="Times New Roman"/>
          <w:sz w:val="20"/>
          <w:szCs w:val="20"/>
          <w:vertAlign w:val="subscript"/>
          <w:lang w:eastAsia="pt-BR"/>
        </w:rPr>
        <w:t>3</w:t>
      </w:r>
      <w:r w:rsidRPr="00C61637">
        <w:rPr>
          <w:rFonts w:ascii="Times New Roman" w:hAnsi="Times New Roman"/>
          <w:sz w:val="20"/>
          <w:szCs w:val="20"/>
          <w:lang w:eastAsia="pt-BR"/>
        </w:rPr>
        <w:t xml:space="preserve"> (</w:t>
      </w:r>
      <w:r w:rsidRPr="00C61637">
        <w:rPr>
          <w:rFonts w:ascii="Times New Roman" w:hAnsi="Times New Roman"/>
          <w:i/>
          <w:iCs/>
          <w:sz w:val="20"/>
          <w:szCs w:val="20"/>
          <w:lang w:eastAsia="pt-BR"/>
        </w:rPr>
        <w:t>P21/m</w:t>
      </w:r>
      <w:r w:rsidRPr="00C61637">
        <w:rPr>
          <w:rFonts w:ascii="Times New Roman" w:hAnsi="Times New Roman"/>
          <w:sz w:val="20"/>
          <w:szCs w:val="20"/>
          <w:lang w:eastAsia="pt-BR"/>
        </w:rPr>
        <w:t xml:space="preserve">) e </w:t>
      </w:r>
      <w:r w:rsidRPr="00C61637">
        <w:rPr>
          <w:rFonts w:ascii="Times New Roman" w:hAnsi="Times New Roman"/>
          <w:i/>
          <w:iCs/>
          <w:sz w:val="20"/>
          <w:szCs w:val="20"/>
          <w:lang w:eastAsia="pt-BR"/>
        </w:rPr>
        <w:t>h</w:t>
      </w:r>
      <w:r w:rsidRPr="00C61637">
        <w:rPr>
          <w:rFonts w:ascii="Times New Roman" w:hAnsi="Times New Roman"/>
          <w:sz w:val="20"/>
          <w:szCs w:val="20"/>
          <w:lang w:eastAsia="pt-BR"/>
        </w:rPr>
        <w:t>- MoO</w:t>
      </w:r>
      <w:r w:rsidRPr="00C61637">
        <w:rPr>
          <w:rFonts w:ascii="Times New Roman" w:hAnsi="Times New Roman"/>
          <w:sz w:val="20"/>
          <w:szCs w:val="20"/>
          <w:vertAlign w:val="subscript"/>
          <w:lang w:eastAsia="pt-BR"/>
        </w:rPr>
        <w:t>3</w:t>
      </w:r>
      <w:r w:rsidRPr="00C61637">
        <w:rPr>
          <w:rFonts w:ascii="Times New Roman" w:hAnsi="Times New Roman"/>
          <w:sz w:val="20"/>
          <w:szCs w:val="20"/>
          <w:lang w:eastAsia="pt-BR"/>
        </w:rPr>
        <w:t xml:space="preserve"> (</w:t>
      </w:r>
      <w:r w:rsidRPr="00C61637">
        <w:rPr>
          <w:rFonts w:ascii="Times New Roman" w:hAnsi="Times New Roman"/>
          <w:i/>
          <w:iCs/>
          <w:sz w:val="20"/>
          <w:szCs w:val="20"/>
          <w:lang w:eastAsia="pt-BR"/>
        </w:rPr>
        <w:t>P63/m</w:t>
      </w:r>
      <w:r w:rsidRPr="00C61637">
        <w:rPr>
          <w:rFonts w:ascii="Times New Roman" w:hAnsi="Times New Roman"/>
          <w:sz w:val="20"/>
          <w:szCs w:val="20"/>
          <w:lang w:eastAsia="pt-BR"/>
        </w:rPr>
        <w:t>)</w:t>
      </w:r>
      <w:r>
        <w:rPr>
          <w:rFonts w:ascii="Times New Roman" w:hAnsi="Times New Roman"/>
          <w:sz w:val="20"/>
          <w:szCs w:val="20"/>
          <w:lang w:eastAsia="pt-BR"/>
        </w:rPr>
        <w:t xml:space="preserve"> </w:t>
      </w:r>
      <w:r w:rsidR="00B232F1">
        <w:rPr>
          <w:rFonts w:ascii="Times New Roman" w:hAnsi="Times New Roman"/>
          <w:noProof/>
          <w:sz w:val="20"/>
          <w:szCs w:val="20"/>
          <w:lang w:eastAsia="pt-BR"/>
        </w:rPr>
        <w:t>(</w:t>
      </w:r>
      <w:r w:rsidR="00F30F9A" w:rsidRPr="005D7FA3">
        <w:rPr>
          <w:rFonts w:ascii="Times New Roman" w:hAnsi="Times New Roman"/>
          <w:noProof/>
          <w:color w:val="000000" w:themeColor="text1"/>
          <w:sz w:val="20"/>
          <w:szCs w:val="20"/>
          <w:lang w:eastAsia="pt-BR"/>
        </w:rPr>
        <w:t>17,18</w:t>
      </w:r>
      <w:r w:rsidR="00B232F1">
        <w:rPr>
          <w:rFonts w:ascii="Times New Roman" w:hAnsi="Times New Roman"/>
          <w:noProof/>
          <w:sz w:val="20"/>
          <w:szCs w:val="20"/>
          <w:lang w:eastAsia="pt-BR"/>
        </w:rPr>
        <w:t>)</w:t>
      </w:r>
      <w:r w:rsidRPr="00C61637">
        <w:rPr>
          <w:rFonts w:ascii="Times New Roman" w:hAnsi="Times New Roman"/>
          <w:sz w:val="20"/>
          <w:szCs w:val="20"/>
          <w:lang w:eastAsia="pt-BR"/>
        </w:rPr>
        <w:t>, sendo que a fase mais estável termodinamicamente é a α-MoO</w:t>
      </w:r>
      <w:r w:rsidRPr="00C61637">
        <w:rPr>
          <w:rFonts w:ascii="Times New Roman" w:hAnsi="Times New Roman"/>
          <w:sz w:val="20"/>
          <w:szCs w:val="20"/>
          <w:vertAlign w:val="subscript"/>
          <w:lang w:eastAsia="pt-BR"/>
        </w:rPr>
        <w:t>3</w:t>
      </w:r>
      <w:r w:rsidRPr="00C61637">
        <w:rPr>
          <w:rFonts w:ascii="Times New Roman" w:hAnsi="Times New Roman"/>
          <w:sz w:val="20"/>
          <w:szCs w:val="20"/>
          <w:lang w:eastAsia="pt-BR"/>
        </w:rPr>
        <w:t xml:space="preserve"> </w:t>
      </w:r>
      <w:proofErr w:type="spellStart"/>
      <w:r w:rsidRPr="00C61637">
        <w:rPr>
          <w:rFonts w:ascii="Times New Roman" w:hAnsi="Times New Roman"/>
          <w:i/>
          <w:iCs/>
          <w:sz w:val="20"/>
          <w:szCs w:val="20"/>
          <w:lang w:eastAsia="pt-BR"/>
        </w:rPr>
        <w:t>Pbnm</w:t>
      </w:r>
      <w:proofErr w:type="spellEnd"/>
      <w:r w:rsidRPr="00C61637">
        <w:rPr>
          <w:rFonts w:ascii="Times New Roman" w:hAnsi="Times New Roman"/>
          <w:i/>
          <w:iCs/>
          <w:sz w:val="20"/>
          <w:szCs w:val="20"/>
          <w:lang w:eastAsia="pt-BR"/>
        </w:rPr>
        <w:t xml:space="preserve"> </w:t>
      </w:r>
      <w:r w:rsidRPr="00C61637">
        <w:rPr>
          <w:rFonts w:ascii="Times New Roman" w:hAnsi="Times New Roman"/>
          <w:sz w:val="20"/>
          <w:szCs w:val="20"/>
          <w:lang w:eastAsia="pt-BR"/>
        </w:rPr>
        <w:t>(ICSD</w:t>
      </w:r>
      <w:r w:rsidR="00F34F65">
        <w:rPr>
          <w:rFonts w:ascii="Times New Roman" w:hAnsi="Times New Roman"/>
          <w:sz w:val="20"/>
          <w:szCs w:val="20"/>
          <w:lang w:eastAsia="pt-BR"/>
        </w:rPr>
        <w:t xml:space="preserve"> </w:t>
      </w:r>
      <w:r w:rsidRPr="00C61637">
        <w:rPr>
          <w:rFonts w:ascii="Times New Roman" w:hAnsi="Times New Roman"/>
          <w:sz w:val="20"/>
          <w:szCs w:val="20"/>
          <w:lang w:eastAsia="pt-BR"/>
        </w:rPr>
        <w:t xml:space="preserve">- 151751) verificado nos </w:t>
      </w:r>
      <w:proofErr w:type="spellStart"/>
      <w:r w:rsidRPr="00C61637">
        <w:rPr>
          <w:rFonts w:ascii="Times New Roman" w:hAnsi="Times New Roman"/>
          <w:sz w:val="20"/>
          <w:szCs w:val="20"/>
          <w:lang w:eastAsia="pt-BR"/>
        </w:rPr>
        <w:t>difratogramas</w:t>
      </w:r>
      <w:proofErr w:type="spellEnd"/>
      <w:r w:rsidRPr="00C61637">
        <w:rPr>
          <w:rFonts w:ascii="Times New Roman" w:hAnsi="Times New Roman"/>
          <w:sz w:val="20"/>
          <w:szCs w:val="20"/>
          <w:lang w:eastAsia="pt-BR"/>
        </w:rPr>
        <w:t xml:space="preserve"> das amostras das duas séries a partir dos picos (#) em 23° (110) e 27° (021). </w:t>
      </w:r>
    </w:p>
    <w:p w14:paraId="7E1953C0" w14:textId="1DCA331D" w:rsidR="00F90DAB" w:rsidRDefault="00BB4750" w:rsidP="0039056D">
      <w:pPr>
        <w:spacing w:after="120" w:line="240" w:lineRule="auto"/>
        <w:ind w:firstLine="708"/>
        <w:jc w:val="both"/>
        <w:rPr>
          <w:rFonts w:ascii="Times New Roman" w:hAnsi="Times New Roman"/>
          <w:sz w:val="20"/>
          <w:szCs w:val="20"/>
          <w:lang w:val="x-none"/>
        </w:rPr>
      </w:pPr>
      <w:r w:rsidRPr="00C61637">
        <w:rPr>
          <w:rFonts w:ascii="Times New Roman" w:hAnsi="Times New Roman"/>
          <w:sz w:val="20"/>
          <w:szCs w:val="20"/>
          <w:lang w:val="x-none"/>
        </w:rPr>
        <w:t xml:space="preserve">Os espectros de refletância difusa UV-visível para as amostras da série </w:t>
      </w:r>
      <w:proofErr w:type="spellStart"/>
      <w:r w:rsidRPr="00C61637">
        <w:rPr>
          <w:rFonts w:ascii="Times New Roman" w:hAnsi="Times New Roman"/>
          <w:sz w:val="20"/>
          <w:szCs w:val="20"/>
          <w:lang w:val="x-none"/>
        </w:rPr>
        <w:t>CoZnAlMoC</w:t>
      </w:r>
      <w:proofErr w:type="spellEnd"/>
      <w:r w:rsidRPr="00C61637">
        <w:rPr>
          <w:rFonts w:ascii="Times New Roman" w:hAnsi="Times New Roman"/>
          <w:sz w:val="20"/>
          <w:szCs w:val="20"/>
          <w:lang w:val="x-none"/>
        </w:rPr>
        <w:t xml:space="preserve">, são apresentados na Figura </w:t>
      </w:r>
      <w:r w:rsidR="00C75250" w:rsidRPr="00CA2832">
        <w:rPr>
          <w:rFonts w:ascii="Times New Roman" w:hAnsi="Times New Roman"/>
          <w:sz w:val="20"/>
          <w:szCs w:val="20"/>
        </w:rPr>
        <w:t>7</w:t>
      </w:r>
      <w:r w:rsidR="00785AF1" w:rsidRPr="00CA2832">
        <w:rPr>
          <w:rFonts w:ascii="Times New Roman" w:hAnsi="Times New Roman"/>
          <w:sz w:val="20"/>
          <w:szCs w:val="20"/>
        </w:rPr>
        <w:t>.</w:t>
      </w:r>
      <w:r w:rsidR="00594852" w:rsidRPr="00CA2832">
        <w:rPr>
          <w:rFonts w:ascii="Times New Roman" w:hAnsi="Times New Roman"/>
          <w:sz w:val="20"/>
          <w:szCs w:val="20"/>
          <w:lang w:val="x-none"/>
        </w:rPr>
        <w:t xml:space="preserve"> </w:t>
      </w:r>
      <w:r w:rsidR="00594852" w:rsidRPr="00CA2832">
        <w:rPr>
          <w:rFonts w:ascii="Times New Roman" w:hAnsi="Times New Roman"/>
          <w:sz w:val="20"/>
          <w:szCs w:val="20"/>
        </w:rPr>
        <w:t xml:space="preserve">As curvas de </w:t>
      </w:r>
      <w:proofErr w:type="spellStart"/>
      <w:r w:rsidR="00594852" w:rsidRPr="00CA2832">
        <w:rPr>
          <w:rFonts w:ascii="Times New Roman" w:hAnsi="Times New Roman"/>
          <w:sz w:val="20"/>
          <w:szCs w:val="20"/>
        </w:rPr>
        <w:t>deconvolução</w:t>
      </w:r>
      <w:proofErr w:type="spellEnd"/>
      <w:r w:rsidR="00594852" w:rsidRPr="00CA2832">
        <w:rPr>
          <w:rFonts w:ascii="Times New Roman" w:hAnsi="Times New Roman"/>
          <w:sz w:val="20"/>
          <w:szCs w:val="20"/>
        </w:rPr>
        <w:t xml:space="preserve"> (pontilhadas) mostram os máximos do comprimento de onda</w:t>
      </w:r>
      <w:r w:rsidR="00D307A4" w:rsidRPr="00CA2832">
        <w:rPr>
          <w:rFonts w:ascii="Times New Roman" w:hAnsi="Times New Roman"/>
          <w:sz w:val="20"/>
          <w:szCs w:val="20"/>
        </w:rPr>
        <w:t xml:space="preserve"> das bandas</w:t>
      </w:r>
      <w:r w:rsidR="00594852" w:rsidRPr="00CA2832">
        <w:rPr>
          <w:rFonts w:ascii="Times New Roman" w:hAnsi="Times New Roman"/>
          <w:sz w:val="20"/>
          <w:szCs w:val="20"/>
        </w:rPr>
        <w:t xml:space="preserve"> para cada amostra. </w:t>
      </w:r>
    </w:p>
    <w:p w14:paraId="2CAEDEDE" w14:textId="102BBC60" w:rsidR="00F90DAB" w:rsidRDefault="00AA3F8E" w:rsidP="00F90DAB">
      <w:pPr>
        <w:jc w:val="center"/>
        <w:rPr>
          <w:rFonts w:ascii="Times New Roman" w:hAnsi="Times New Roman"/>
          <w:lang w:val="x-none"/>
        </w:rPr>
      </w:pPr>
      <w:r w:rsidRPr="00AA3F8E">
        <w:rPr>
          <w:rFonts w:ascii="Times New Roman" w:hAnsi="Times New Roman"/>
          <w:noProof/>
          <w:lang w:eastAsia="pt-BR"/>
        </w:rPr>
        <w:drawing>
          <wp:inline distT="0" distB="0" distL="0" distR="0" wp14:anchorId="5CA027DB" wp14:editId="56DBDA9F">
            <wp:extent cx="2767783" cy="1512000"/>
            <wp:effectExtent l="0" t="0" r="0" b="0"/>
            <wp:docPr id="9" name="Imagem 9" descr="C:\Users\LabCat\Desktop\web\pos-doc(2019)\CBCAT-23\Figuras\uv5-CoZnAl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bCat\Desktop\web\pos-doc(2019)\CBCAT-23\Figuras\uv5-CoZnAlM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7783" cy="1512000"/>
                    </a:xfrm>
                    <a:prstGeom prst="rect">
                      <a:avLst/>
                    </a:prstGeom>
                    <a:noFill/>
                    <a:ln>
                      <a:noFill/>
                    </a:ln>
                  </pic:spPr>
                </pic:pic>
              </a:graphicData>
            </a:graphic>
          </wp:inline>
        </w:drawing>
      </w:r>
    </w:p>
    <w:p w14:paraId="4BA8B6B3" w14:textId="207901C9" w:rsidR="00F90DAB" w:rsidRPr="00F90DAB" w:rsidRDefault="00F90DAB" w:rsidP="00F90DAB">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sidR="00C75250">
        <w:rPr>
          <w:rFonts w:ascii="Times New Roman" w:hAnsi="Times New Roman"/>
          <w:b/>
          <w:lang w:val="pt-BR"/>
        </w:rPr>
        <w:t>7</w:t>
      </w:r>
      <w:r w:rsidRPr="00E038AF">
        <w:rPr>
          <w:rFonts w:ascii="Times New Roman" w:hAnsi="Times New Roman"/>
          <w:b/>
          <w:lang w:val="pt-BR"/>
        </w:rPr>
        <w:t>.</w:t>
      </w:r>
      <w:r w:rsidRPr="00E038AF">
        <w:rPr>
          <w:rFonts w:ascii="Times New Roman" w:hAnsi="Times New Roman"/>
          <w:lang w:val="pt-BR"/>
        </w:rPr>
        <w:t xml:space="preserve"> </w:t>
      </w:r>
      <w:r w:rsidRPr="00FD0F9E">
        <w:rPr>
          <w:rFonts w:ascii="Times New Roman" w:hAnsi="Times New Roman"/>
          <w:lang w:val="pt-BR"/>
        </w:rPr>
        <w:t xml:space="preserve">Espectros UV-vis dos materiais calcinados da série </w:t>
      </w:r>
      <w:proofErr w:type="spellStart"/>
      <w:r w:rsidRPr="00FD0F9E">
        <w:rPr>
          <w:rFonts w:ascii="Times New Roman" w:hAnsi="Times New Roman"/>
          <w:lang w:val="pt-BR"/>
        </w:rPr>
        <w:t>CoZnAlMoC</w:t>
      </w:r>
      <w:proofErr w:type="spellEnd"/>
      <w:r>
        <w:rPr>
          <w:rFonts w:ascii="Times New Roman" w:hAnsi="Times New Roman"/>
          <w:lang w:val="pt-BR"/>
        </w:rPr>
        <w:t>.</w:t>
      </w:r>
      <w:r w:rsidR="00801B15">
        <w:rPr>
          <w:rFonts w:ascii="Times New Roman" w:hAnsi="Times New Roman"/>
          <w:lang w:val="pt-BR"/>
        </w:rPr>
        <w:t xml:space="preserve"> </w:t>
      </w:r>
    </w:p>
    <w:p w14:paraId="65610EA6" w14:textId="77777777" w:rsidR="000746D0" w:rsidRDefault="00BB4750" w:rsidP="000746D0">
      <w:pPr>
        <w:spacing w:after="0" w:line="240" w:lineRule="auto"/>
        <w:ind w:firstLine="708"/>
        <w:jc w:val="both"/>
        <w:rPr>
          <w:rFonts w:ascii="Times New Roman" w:hAnsi="Times New Roman"/>
          <w:sz w:val="20"/>
          <w:szCs w:val="20"/>
          <w:lang w:val="x-none"/>
        </w:rPr>
      </w:pPr>
      <w:r w:rsidRPr="00C61637">
        <w:rPr>
          <w:rFonts w:ascii="Times New Roman" w:hAnsi="Times New Roman"/>
          <w:sz w:val="20"/>
          <w:szCs w:val="20"/>
          <w:lang w:val="x-none"/>
        </w:rPr>
        <w:t xml:space="preserve"> De acordo com a literatura</w:t>
      </w:r>
      <w:r w:rsidRPr="00C61637">
        <w:rPr>
          <w:rFonts w:ascii="Times New Roman" w:hAnsi="Times New Roman"/>
          <w:sz w:val="20"/>
          <w:szCs w:val="20"/>
        </w:rPr>
        <w:t xml:space="preserve"> </w:t>
      </w:r>
      <w:r w:rsidR="00B232F1">
        <w:rPr>
          <w:rFonts w:ascii="Times New Roman" w:hAnsi="Times New Roman"/>
          <w:noProof/>
          <w:sz w:val="20"/>
          <w:szCs w:val="20"/>
          <w:lang w:val="x-none"/>
        </w:rPr>
        <w:t>(</w:t>
      </w:r>
      <w:r w:rsidR="00F30F9A" w:rsidRPr="005D7FA3">
        <w:rPr>
          <w:rFonts w:ascii="Times New Roman" w:hAnsi="Times New Roman"/>
          <w:noProof/>
          <w:color w:val="000000" w:themeColor="text1"/>
          <w:sz w:val="20"/>
          <w:szCs w:val="20"/>
          <w:lang w:val="x-none"/>
        </w:rPr>
        <w:t>13</w:t>
      </w:r>
      <w:r w:rsidR="00B232F1">
        <w:rPr>
          <w:rFonts w:ascii="Times New Roman" w:hAnsi="Times New Roman"/>
          <w:noProof/>
          <w:sz w:val="20"/>
          <w:szCs w:val="20"/>
          <w:lang w:val="x-none"/>
        </w:rPr>
        <w:t>)</w:t>
      </w:r>
      <w:r w:rsidRPr="00C61637">
        <w:rPr>
          <w:rFonts w:ascii="Times New Roman" w:hAnsi="Times New Roman"/>
          <w:sz w:val="20"/>
          <w:szCs w:val="20"/>
          <w:lang w:val="x-none"/>
        </w:rPr>
        <w:t>, a banda UV corresponden</w:t>
      </w:r>
      <w:r w:rsidRPr="00C61637">
        <w:rPr>
          <w:rFonts w:ascii="Times New Roman" w:hAnsi="Times New Roman"/>
          <w:sz w:val="20"/>
          <w:szCs w:val="20"/>
        </w:rPr>
        <w:t>te</w:t>
      </w:r>
      <w:r w:rsidRPr="00C61637">
        <w:rPr>
          <w:rFonts w:ascii="Times New Roman" w:hAnsi="Times New Roman"/>
          <w:sz w:val="20"/>
          <w:szCs w:val="20"/>
          <w:lang w:val="x-none"/>
        </w:rPr>
        <w:t xml:space="preserve"> a geometria tetraédrica do molibdênio aparece na região de 215-230 </w:t>
      </w:r>
      <w:proofErr w:type="spellStart"/>
      <w:r w:rsidRPr="00C61637">
        <w:rPr>
          <w:rFonts w:ascii="Times New Roman" w:hAnsi="Times New Roman"/>
          <w:sz w:val="20"/>
          <w:szCs w:val="20"/>
          <w:lang w:val="x-none"/>
        </w:rPr>
        <w:t>nm</w:t>
      </w:r>
      <w:proofErr w:type="spellEnd"/>
      <w:r w:rsidRPr="00C61637">
        <w:rPr>
          <w:rFonts w:ascii="Times New Roman" w:hAnsi="Times New Roman"/>
          <w:sz w:val="20"/>
          <w:szCs w:val="20"/>
          <w:lang w:val="x-none"/>
        </w:rPr>
        <w:t xml:space="preserve">, enquanto </w:t>
      </w:r>
      <w:r w:rsidRPr="00C61637">
        <w:rPr>
          <w:rFonts w:ascii="Times New Roman" w:hAnsi="Times New Roman"/>
          <w:sz w:val="20"/>
          <w:szCs w:val="20"/>
        </w:rPr>
        <w:t xml:space="preserve">que </w:t>
      </w:r>
      <w:r w:rsidRPr="00C61637">
        <w:rPr>
          <w:rFonts w:ascii="Times New Roman" w:hAnsi="Times New Roman"/>
          <w:sz w:val="20"/>
          <w:szCs w:val="20"/>
          <w:lang w:val="x-none"/>
        </w:rPr>
        <w:t xml:space="preserve">a banda </w:t>
      </w:r>
      <w:r w:rsidRPr="00C61637">
        <w:rPr>
          <w:rFonts w:ascii="Times New Roman" w:hAnsi="Times New Roman"/>
          <w:sz w:val="20"/>
          <w:szCs w:val="20"/>
        </w:rPr>
        <w:t>relativa</w:t>
      </w:r>
      <w:r w:rsidR="00E41A10">
        <w:rPr>
          <w:rFonts w:ascii="Times New Roman" w:hAnsi="Times New Roman"/>
          <w:sz w:val="20"/>
          <w:szCs w:val="20"/>
          <w:lang w:val="x-none"/>
        </w:rPr>
        <w:t xml:space="preserve"> </w:t>
      </w:r>
      <w:r w:rsidR="00E41A10">
        <w:rPr>
          <w:rFonts w:ascii="Times New Roman" w:hAnsi="Times New Roman"/>
          <w:sz w:val="20"/>
          <w:szCs w:val="20"/>
        </w:rPr>
        <w:t>à</w:t>
      </w:r>
      <w:r w:rsidRPr="00C61637">
        <w:rPr>
          <w:rFonts w:ascii="Times New Roman" w:hAnsi="Times New Roman"/>
          <w:sz w:val="20"/>
          <w:szCs w:val="20"/>
        </w:rPr>
        <w:t>s</w:t>
      </w:r>
      <w:r w:rsidRPr="00C61637">
        <w:rPr>
          <w:rFonts w:ascii="Times New Roman" w:hAnsi="Times New Roman"/>
          <w:sz w:val="20"/>
          <w:szCs w:val="20"/>
          <w:lang w:val="x-none"/>
        </w:rPr>
        <w:t xml:space="preserve"> espécie</w:t>
      </w:r>
      <w:r w:rsidRPr="00C61637">
        <w:rPr>
          <w:rFonts w:ascii="Times New Roman" w:hAnsi="Times New Roman"/>
          <w:sz w:val="20"/>
          <w:szCs w:val="20"/>
        </w:rPr>
        <w:t>s</w:t>
      </w:r>
      <w:r w:rsidRPr="00C61637">
        <w:rPr>
          <w:rFonts w:ascii="Times New Roman" w:hAnsi="Times New Roman"/>
          <w:sz w:val="20"/>
          <w:szCs w:val="20"/>
          <w:lang w:val="x-none"/>
        </w:rPr>
        <w:t xml:space="preserve"> octaédrica</w:t>
      </w:r>
      <w:r w:rsidRPr="00C61637">
        <w:rPr>
          <w:rFonts w:ascii="Times New Roman" w:hAnsi="Times New Roman"/>
          <w:sz w:val="20"/>
          <w:szCs w:val="20"/>
        </w:rPr>
        <w:t>s</w:t>
      </w:r>
      <w:r w:rsidRPr="00C61637">
        <w:rPr>
          <w:rFonts w:ascii="Times New Roman" w:hAnsi="Times New Roman"/>
          <w:sz w:val="20"/>
          <w:szCs w:val="20"/>
          <w:lang w:val="x-none"/>
        </w:rPr>
        <w:t xml:space="preserve"> </w:t>
      </w:r>
      <w:r w:rsidRPr="00C61637">
        <w:rPr>
          <w:rFonts w:ascii="Times New Roman" w:hAnsi="Times New Roman"/>
          <w:sz w:val="20"/>
          <w:szCs w:val="20"/>
        </w:rPr>
        <w:t>geralmente são observadas</w:t>
      </w:r>
      <w:r w:rsidR="00801B15">
        <w:rPr>
          <w:rFonts w:ascii="Times New Roman" w:hAnsi="Times New Roman"/>
          <w:sz w:val="20"/>
          <w:szCs w:val="20"/>
          <w:lang w:val="x-none"/>
        </w:rPr>
        <w:t xml:space="preserve"> entre 290 a 330 </w:t>
      </w:r>
      <w:proofErr w:type="spellStart"/>
      <w:r w:rsidR="00801B15">
        <w:rPr>
          <w:rFonts w:ascii="Times New Roman" w:hAnsi="Times New Roman"/>
          <w:sz w:val="20"/>
          <w:szCs w:val="20"/>
          <w:lang w:val="x-none"/>
        </w:rPr>
        <w:t>nm</w:t>
      </w:r>
      <w:proofErr w:type="spellEnd"/>
      <w:r w:rsidR="00801B15">
        <w:rPr>
          <w:rFonts w:ascii="Times New Roman" w:hAnsi="Times New Roman"/>
          <w:sz w:val="20"/>
          <w:szCs w:val="20"/>
          <w:lang w:val="x-none"/>
        </w:rPr>
        <w:t>.</w:t>
      </w:r>
      <w:r w:rsidR="00801B15">
        <w:rPr>
          <w:rFonts w:ascii="Times New Roman" w:hAnsi="Times New Roman"/>
          <w:sz w:val="20"/>
          <w:szCs w:val="20"/>
        </w:rPr>
        <w:t xml:space="preserve"> </w:t>
      </w:r>
      <w:r w:rsidR="00594852" w:rsidRPr="00CA2832">
        <w:rPr>
          <w:rFonts w:ascii="Times New Roman" w:hAnsi="Times New Roman"/>
          <w:sz w:val="20"/>
          <w:szCs w:val="20"/>
        </w:rPr>
        <w:t>P</w:t>
      </w:r>
      <w:r w:rsidR="00801B15" w:rsidRPr="00CA2832">
        <w:rPr>
          <w:rFonts w:ascii="Times New Roman" w:hAnsi="Times New Roman"/>
          <w:sz w:val="20"/>
          <w:szCs w:val="20"/>
        </w:rPr>
        <w:t xml:space="preserve">ara </w:t>
      </w:r>
      <w:r w:rsidRPr="00CA2832">
        <w:rPr>
          <w:rFonts w:ascii="Times New Roman" w:hAnsi="Times New Roman"/>
          <w:sz w:val="20"/>
          <w:szCs w:val="20"/>
          <w:lang w:val="x-none"/>
        </w:rPr>
        <w:t xml:space="preserve">os catalisadores </w:t>
      </w:r>
      <w:proofErr w:type="spellStart"/>
      <w:r w:rsidRPr="00CA2832">
        <w:rPr>
          <w:rFonts w:ascii="Times New Roman" w:hAnsi="Times New Roman"/>
          <w:sz w:val="20"/>
          <w:szCs w:val="20"/>
          <w:lang w:val="x-none"/>
        </w:rPr>
        <w:t>CoZnAlMoC</w:t>
      </w:r>
      <w:proofErr w:type="spellEnd"/>
      <w:r w:rsidRPr="00CA2832">
        <w:rPr>
          <w:rFonts w:ascii="Times New Roman" w:hAnsi="Times New Roman"/>
          <w:sz w:val="20"/>
          <w:szCs w:val="20"/>
          <w:lang w:val="x-none"/>
        </w:rPr>
        <w:t xml:space="preserve"> os máximos</w:t>
      </w:r>
      <w:r w:rsidR="00594852" w:rsidRPr="00CA2832">
        <w:rPr>
          <w:rFonts w:ascii="Times New Roman" w:hAnsi="Times New Roman"/>
          <w:sz w:val="20"/>
          <w:szCs w:val="20"/>
        </w:rPr>
        <w:t xml:space="preserve"> de comprimento de onda destacados na Figura 7</w:t>
      </w:r>
      <w:r w:rsidRPr="00CA2832">
        <w:rPr>
          <w:rFonts w:ascii="Times New Roman" w:hAnsi="Times New Roman"/>
          <w:sz w:val="20"/>
          <w:szCs w:val="20"/>
          <w:lang w:val="x-none"/>
        </w:rPr>
        <w:t xml:space="preserve"> </w:t>
      </w:r>
      <w:r w:rsidR="00594852" w:rsidRPr="00CA2832">
        <w:rPr>
          <w:rFonts w:ascii="Times New Roman" w:hAnsi="Times New Roman"/>
          <w:sz w:val="20"/>
          <w:szCs w:val="20"/>
        </w:rPr>
        <w:t>sugerem tanto</w:t>
      </w:r>
      <w:r w:rsidR="00594852" w:rsidRPr="00CA2832">
        <w:rPr>
          <w:rFonts w:ascii="Times New Roman" w:hAnsi="Times New Roman"/>
          <w:sz w:val="20"/>
          <w:szCs w:val="20"/>
          <w:lang w:val="x-none"/>
        </w:rPr>
        <w:t xml:space="preserve"> espécies de </w:t>
      </w:r>
      <w:proofErr w:type="spellStart"/>
      <w:r w:rsidR="00594852" w:rsidRPr="00CA2832">
        <w:rPr>
          <w:rFonts w:ascii="Times New Roman" w:hAnsi="Times New Roman"/>
          <w:sz w:val="20"/>
          <w:szCs w:val="20"/>
          <w:lang w:val="x-none"/>
        </w:rPr>
        <w:t>Mo</w:t>
      </w:r>
      <w:proofErr w:type="spellEnd"/>
      <w:r w:rsidR="00594852" w:rsidRPr="00CA2832">
        <w:rPr>
          <w:rFonts w:ascii="Times New Roman" w:hAnsi="Times New Roman"/>
          <w:sz w:val="20"/>
          <w:szCs w:val="20"/>
          <w:lang w:val="x-none"/>
        </w:rPr>
        <w:t xml:space="preserve"> em geometria</w:t>
      </w:r>
      <w:r w:rsidRPr="00CA2832">
        <w:rPr>
          <w:rFonts w:ascii="Times New Roman" w:hAnsi="Times New Roman"/>
          <w:sz w:val="20"/>
          <w:szCs w:val="20"/>
          <w:lang w:val="x-none"/>
        </w:rPr>
        <w:t xml:space="preserve"> tetraédrica </w:t>
      </w:r>
      <w:r w:rsidR="00594852" w:rsidRPr="00CA2832">
        <w:rPr>
          <w:rFonts w:ascii="Times New Roman" w:hAnsi="Times New Roman"/>
          <w:sz w:val="20"/>
          <w:szCs w:val="20"/>
        </w:rPr>
        <w:t xml:space="preserve">quanto </w:t>
      </w:r>
      <w:r w:rsidRPr="00CA2832">
        <w:rPr>
          <w:rFonts w:ascii="Times New Roman" w:hAnsi="Times New Roman"/>
          <w:sz w:val="20"/>
          <w:szCs w:val="20"/>
          <w:lang w:val="x-none"/>
        </w:rPr>
        <w:t>e</w:t>
      </w:r>
      <w:r w:rsidR="00594852" w:rsidRPr="00CA2832">
        <w:rPr>
          <w:rFonts w:ascii="Times New Roman" w:hAnsi="Times New Roman"/>
          <w:sz w:val="20"/>
          <w:szCs w:val="20"/>
        </w:rPr>
        <w:t>m geometria</w:t>
      </w:r>
      <w:r w:rsidRPr="00CA2832">
        <w:rPr>
          <w:rFonts w:ascii="Times New Roman" w:hAnsi="Times New Roman"/>
          <w:sz w:val="20"/>
          <w:szCs w:val="20"/>
          <w:lang w:val="x-none"/>
        </w:rPr>
        <w:t xml:space="preserve"> octaédrica </w:t>
      </w:r>
      <w:r w:rsidR="00594852" w:rsidRPr="00CA2832">
        <w:rPr>
          <w:rFonts w:ascii="Times New Roman" w:hAnsi="Times New Roman"/>
          <w:sz w:val="20"/>
          <w:szCs w:val="20"/>
        </w:rPr>
        <w:t>para os diferentes compostos</w:t>
      </w:r>
      <w:r w:rsidRPr="00CA2832">
        <w:rPr>
          <w:rFonts w:ascii="Times New Roman" w:hAnsi="Times New Roman"/>
          <w:sz w:val="20"/>
          <w:szCs w:val="20"/>
          <w:lang w:val="x-none"/>
        </w:rPr>
        <w:t xml:space="preserve">. Em relação às espécies de cobalto, uma banda larga foi observada </w:t>
      </w:r>
      <w:r w:rsidRPr="00C61637">
        <w:rPr>
          <w:rFonts w:ascii="Times New Roman" w:hAnsi="Times New Roman"/>
          <w:sz w:val="20"/>
          <w:szCs w:val="20"/>
          <w:lang w:val="x-none"/>
        </w:rPr>
        <w:t xml:space="preserve">na região de 450 a 750 </w:t>
      </w:r>
      <w:proofErr w:type="spellStart"/>
      <w:r w:rsidRPr="00C61637">
        <w:rPr>
          <w:rFonts w:ascii="Times New Roman" w:hAnsi="Times New Roman"/>
          <w:sz w:val="20"/>
          <w:szCs w:val="20"/>
          <w:lang w:val="x-none"/>
        </w:rPr>
        <w:t>nm</w:t>
      </w:r>
      <w:proofErr w:type="spellEnd"/>
      <w:r w:rsidRPr="00C61637">
        <w:rPr>
          <w:rFonts w:ascii="Times New Roman" w:hAnsi="Times New Roman"/>
          <w:sz w:val="20"/>
          <w:szCs w:val="20"/>
        </w:rPr>
        <w:t>. Segundo</w:t>
      </w:r>
      <w:r w:rsidRPr="00C61637">
        <w:rPr>
          <w:rFonts w:ascii="Times New Roman" w:hAnsi="Times New Roman"/>
          <w:sz w:val="20"/>
          <w:szCs w:val="20"/>
          <w:lang w:val="x-none"/>
        </w:rPr>
        <w:t xml:space="preserve"> L</w:t>
      </w:r>
      <w:r w:rsidRPr="00C61637">
        <w:rPr>
          <w:rFonts w:ascii="Times New Roman" w:hAnsi="Times New Roman"/>
          <w:sz w:val="20"/>
          <w:szCs w:val="20"/>
        </w:rPr>
        <w:t>i</w:t>
      </w:r>
      <w:r w:rsidRPr="00C61637">
        <w:rPr>
          <w:rFonts w:ascii="Times New Roman" w:hAnsi="Times New Roman"/>
          <w:sz w:val="20"/>
          <w:szCs w:val="20"/>
          <w:lang w:val="x-none"/>
        </w:rPr>
        <w:t xml:space="preserve"> et al. </w:t>
      </w:r>
      <w:r w:rsidRPr="00C61637">
        <w:rPr>
          <w:rFonts w:ascii="Times New Roman" w:hAnsi="Times New Roman"/>
          <w:sz w:val="20"/>
          <w:szCs w:val="20"/>
        </w:rPr>
        <w:t>(</w:t>
      </w:r>
      <w:r w:rsidRPr="00C61637">
        <w:rPr>
          <w:rFonts w:ascii="Times New Roman" w:hAnsi="Times New Roman"/>
          <w:sz w:val="20"/>
          <w:szCs w:val="20"/>
          <w:lang w:val="x-none"/>
        </w:rPr>
        <w:t>2009) bandas intensas nessa região podem estar relacionadas à formação do composto CoAl</w:t>
      </w:r>
      <w:r w:rsidRPr="00C61637">
        <w:rPr>
          <w:rFonts w:ascii="Times New Roman" w:hAnsi="Times New Roman"/>
          <w:sz w:val="20"/>
          <w:szCs w:val="20"/>
          <w:vertAlign w:val="subscript"/>
          <w:lang w:val="x-none"/>
        </w:rPr>
        <w:t>2</w:t>
      </w:r>
      <w:r w:rsidRPr="00C61637">
        <w:rPr>
          <w:rFonts w:ascii="Times New Roman" w:hAnsi="Times New Roman"/>
          <w:sz w:val="20"/>
          <w:szCs w:val="20"/>
          <w:lang w:val="x-none"/>
        </w:rPr>
        <w:t>O</w:t>
      </w:r>
      <w:r w:rsidRPr="00C61637">
        <w:rPr>
          <w:rFonts w:ascii="Times New Roman" w:hAnsi="Times New Roman"/>
          <w:sz w:val="20"/>
          <w:szCs w:val="20"/>
          <w:vertAlign w:val="subscript"/>
          <w:lang w:val="x-none"/>
        </w:rPr>
        <w:t>4</w:t>
      </w:r>
      <w:r w:rsidRPr="00C61637">
        <w:rPr>
          <w:rFonts w:ascii="Times New Roman" w:hAnsi="Times New Roman"/>
          <w:sz w:val="20"/>
          <w:szCs w:val="20"/>
          <w:lang w:val="x-none"/>
        </w:rPr>
        <w:t>. A</w:t>
      </w:r>
      <w:r w:rsidRPr="00C61637">
        <w:rPr>
          <w:rFonts w:ascii="Times New Roman" w:hAnsi="Times New Roman"/>
          <w:sz w:val="20"/>
          <w:szCs w:val="20"/>
        </w:rPr>
        <w:t>demais</w:t>
      </w:r>
      <w:r w:rsidRPr="00C61637">
        <w:rPr>
          <w:rFonts w:ascii="Times New Roman" w:hAnsi="Times New Roman"/>
          <w:sz w:val="20"/>
          <w:szCs w:val="20"/>
          <w:lang w:val="x-none"/>
        </w:rPr>
        <w:t>, conforme mostrado por</w:t>
      </w:r>
      <w:r w:rsidRPr="00C61637">
        <w:rPr>
          <w:rFonts w:ascii="Times New Roman" w:hAnsi="Times New Roman"/>
          <w:sz w:val="20"/>
          <w:szCs w:val="20"/>
        </w:rPr>
        <w:t xml:space="preserve"> </w:t>
      </w:r>
      <w:proofErr w:type="spellStart"/>
      <w:r w:rsidRPr="00141A86">
        <w:rPr>
          <w:rFonts w:ascii="Times New Roman" w:hAnsi="Times New Roman"/>
          <w:sz w:val="20"/>
          <w:szCs w:val="20"/>
          <w:lang w:val="x-none"/>
        </w:rPr>
        <w:t>G</w:t>
      </w:r>
      <w:r w:rsidRPr="00141A86">
        <w:rPr>
          <w:rFonts w:ascii="Times New Roman" w:hAnsi="Times New Roman"/>
          <w:sz w:val="20"/>
          <w:szCs w:val="20"/>
        </w:rPr>
        <w:t>ajardo</w:t>
      </w:r>
      <w:proofErr w:type="spellEnd"/>
      <w:r w:rsidRPr="00141A86">
        <w:rPr>
          <w:rFonts w:ascii="Times New Roman" w:hAnsi="Times New Roman"/>
          <w:sz w:val="20"/>
          <w:szCs w:val="20"/>
          <w:lang w:val="x-none"/>
        </w:rPr>
        <w:t xml:space="preserve">, </w:t>
      </w:r>
      <w:proofErr w:type="spellStart"/>
      <w:r w:rsidRPr="00141A86">
        <w:rPr>
          <w:rFonts w:ascii="Times New Roman" w:hAnsi="Times New Roman"/>
          <w:sz w:val="20"/>
          <w:szCs w:val="20"/>
          <w:lang w:val="x-none"/>
        </w:rPr>
        <w:t>G</w:t>
      </w:r>
      <w:r w:rsidRPr="00141A86">
        <w:rPr>
          <w:rFonts w:ascii="Times New Roman" w:hAnsi="Times New Roman"/>
          <w:sz w:val="20"/>
          <w:szCs w:val="20"/>
        </w:rPr>
        <w:t>range</w:t>
      </w:r>
      <w:proofErr w:type="spellEnd"/>
      <w:r w:rsidRPr="00141A86">
        <w:rPr>
          <w:rFonts w:ascii="Times New Roman" w:hAnsi="Times New Roman"/>
          <w:sz w:val="20"/>
          <w:szCs w:val="20"/>
        </w:rPr>
        <w:t xml:space="preserve"> e </w:t>
      </w:r>
      <w:proofErr w:type="spellStart"/>
      <w:r w:rsidRPr="00141A86">
        <w:rPr>
          <w:rFonts w:ascii="Times New Roman" w:hAnsi="Times New Roman"/>
          <w:sz w:val="20"/>
          <w:szCs w:val="20"/>
          <w:lang w:val="x-none"/>
        </w:rPr>
        <w:t>D</w:t>
      </w:r>
      <w:r w:rsidRPr="00141A86">
        <w:rPr>
          <w:rFonts w:ascii="Times New Roman" w:hAnsi="Times New Roman"/>
          <w:sz w:val="20"/>
          <w:szCs w:val="20"/>
        </w:rPr>
        <w:t>elmon</w:t>
      </w:r>
      <w:proofErr w:type="spellEnd"/>
      <w:r w:rsidRPr="00141A86">
        <w:rPr>
          <w:rFonts w:ascii="Times New Roman" w:hAnsi="Times New Roman"/>
          <w:sz w:val="20"/>
          <w:szCs w:val="20"/>
          <w:lang w:val="x-none"/>
        </w:rPr>
        <w:t xml:space="preserve"> </w:t>
      </w:r>
      <w:r w:rsidRPr="00141A86">
        <w:rPr>
          <w:rFonts w:ascii="Times New Roman" w:hAnsi="Times New Roman"/>
          <w:sz w:val="20"/>
          <w:szCs w:val="20"/>
        </w:rPr>
        <w:t>(</w:t>
      </w:r>
      <w:r w:rsidRPr="00141A86">
        <w:rPr>
          <w:rFonts w:ascii="Times New Roman" w:hAnsi="Times New Roman"/>
          <w:sz w:val="20"/>
          <w:szCs w:val="20"/>
          <w:lang w:val="x-none"/>
        </w:rPr>
        <w:t>1980)</w:t>
      </w:r>
      <w:r w:rsidR="00B232F1" w:rsidRPr="00141A86">
        <w:rPr>
          <w:rFonts w:ascii="Times New Roman" w:hAnsi="Times New Roman"/>
          <w:noProof/>
          <w:sz w:val="20"/>
          <w:szCs w:val="20"/>
          <w:lang w:val="x-none"/>
        </w:rPr>
        <w:t>(</w:t>
      </w:r>
      <w:r w:rsidR="00F30F9A" w:rsidRPr="005D7FA3">
        <w:rPr>
          <w:rFonts w:ascii="Times New Roman" w:hAnsi="Times New Roman"/>
          <w:noProof/>
          <w:color w:val="000000" w:themeColor="text1"/>
          <w:sz w:val="20"/>
          <w:szCs w:val="20"/>
          <w:lang w:val="x-none"/>
        </w:rPr>
        <w:t>19</w:t>
      </w:r>
      <w:r w:rsidR="00B232F1" w:rsidRPr="00141A86">
        <w:rPr>
          <w:rFonts w:ascii="Times New Roman" w:hAnsi="Times New Roman"/>
          <w:noProof/>
          <w:sz w:val="20"/>
          <w:szCs w:val="20"/>
          <w:lang w:val="x-none"/>
        </w:rPr>
        <w:t>)</w:t>
      </w:r>
      <w:r w:rsidRPr="00141A86">
        <w:rPr>
          <w:rFonts w:ascii="Times New Roman" w:hAnsi="Times New Roman"/>
          <w:sz w:val="20"/>
          <w:szCs w:val="20"/>
          <w:lang w:val="x-none"/>
        </w:rPr>
        <w:t xml:space="preserve"> </w:t>
      </w:r>
      <w:r w:rsidRPr="00C61637">
        <w:rPr>
          <w:rFonts w:ascii="Times New Roman" w:hAnsi="Times New Roman"/>
          <w:sz w:val="20"/>
          <w:szCs w:val="20"/>
          <w:lang w:val="x-none"/>
        </w:rPr>
        <w:t>nessa região é possível encontrar bandas relativas aos íons Co</w:t>
      </w:r>
      <w:r w:rsidRPr="00C61637">
        <w:rPr>
          <w:rFonts w:ascii="Times New Roman" w:hAnsi="Times New Roman"/>
          <w:sz w:val="20"/>
          <w:szCs w:val="20"/>
          <w:vertAlign w:val="superscript"/>
          <w:lang w:val="x-none"/>
        </w:rPr>
        <w:t>2+</w:t>
      </w:r>
      <w:r w:rsidRPr="00C61637">
        <w:rPr>
          <w:rFonts w:ascii="Times New Roman" w:hAnsi="Times New Roman"/>
          <w:sz w:val="20"/>
          <w:szCs w:val="20"/>
        </w:rPr>
        <w:t xml:space="preserve"> em geometria octaédrica </w:t>
      </w:r>
      <w:r w:rsidRPr="00C61637">
        <w:rPr>
          <w:rFonts w:ascii="Times New Roman" w:hAnsi="Times New Roman"/>
          <w:sz w:val="20"/>
          <w:szCs w:val="20"/>
          <w:lang w:val="x-none"/>
        </w:rPr>
        <w:t>de outras fases cristalinas</w:t>
      </w:r>
      <w:r w:rsidRPr="00C61637">
        <w:rPr>
          <w:rFonts w:ascii="Times New Roman" w:hAnsi="Times New Roman"/>
          <w:sz w:val="20"/>
          <w:szCs w:val="20"/>
        </w:rPr>
        <w:t>, tal</w:t>
      </w:r>
      <w:r w:rsidRPr="00C61637">
        <w:rPr>
          <w:rFonts w:ascii="Times New Roman" w:hAnsi="Times New Roman"/>
          <w:sz w:val="20"/>
          <w:szCs w:val="20"/>
          <w:lang w:val="x-none"/>
        </w:rPr>
        <w:t xml:space="preserve"> como CoMoO</w:t>
      </w:r>
      <w:r w:rsidRPr="00C61637">
        <w:rPr>
          <w:rFonts w:ascii="Times New Roman" w:hAnsi="Times New Roman"/>
          <w:sz w:val="20"/>
          <w:szCs w:val="20"/>
          <w:vertAlign w:val="subscript"/>
          <w:lang w:val="x-none"/>
        </w:rPr>
        <w:t>4</w:t>
      </w:r>
      <w:r w:rsidRPr="00C61637">
        <w:rPr>
          <w:rFonts w:ascii="Times New Roman" w:hAnsi="Times New Roman"/>
          <w:sz w:val="20"/>
          <w:szCs w:val="20"/>
          <w:lang w:val="x-none"/>
        </w:rPr>
        <w:t xml:space="preserve"> o que vai ao encontro </w:t>
      </w:r>
      <w:r w:rsidRPr="00C61637">
        <w:rPr>
          <w:rFonts w:ascii="Times New Roman" w:hAnsi="Times New Roman"/>
          <w:sz w:val="20"/>
          <w:szCs w:val="20"/>
        </w:rPr>
        <w:t>com os</w:t>
      </w:r>
      <w:r w:rsidRPr="00C61637">
        <w:rPr>
          <w:rFonts w:ascii="Times New Roman" w:hAnsi="Times New Roman"/>
          <w:sz w:val="20"/>
          <w:szCs w:val="20"/>
          <w:lang w:val="x-none"/>
        </w:rPr>
        <w:t xml:space="preserve"> dados</w:t>
      </w:r>
      <w:r w:rsidRPr="00C61637">
        <w:rPr>
          <w:rFonts w:ascii="Times New Roman" w:hAnsi="Times New Roman"/>
          <w:sz w:val="20"/>
          <w:szCs w:val="20"/>
        </w:rPr>
        <w:t xml:space="preserve"> da análise</w:t>
      </w:r>
      <w:r w:rsidRPr="00C61637">
        <w:rPr>
          <w:rFonts w:ascii="Times New Roman" w:hAnsi="Times New Roman"/>
          <w:sz w:val="20"/>
          <w:szCs w:val="20"/>
          <w:lang w:val="x-none"/>
        </w:rPr>
        <w:t xml:space="preserve"> de difração de raios X. </w:t>
      </w:r>
    </w:p>
    <w:p w14:paraId="1E0E0024" w14:textId="577BEF3D" w:rsidR="00BB4750" w:rsidRPr="006B1777" w:rsidRDefault="0023402E" w:rsidP="000746D0">
      <w:pPr>
        <w:spacing w:after="0" w:line="240" w:lineRule="auto"/>
        <w:ind w:firstLine="708"/>
        <w:jc w:val="both"/>
        <w:rPr>
          <w:rFonts w:ascii="Times New Roman" w:hAnsi="Times New Roman"/>
          <w:sz w:val="20"/>
          <w:szCs w:val="20"/>
          <w:lang w:eastAsia="pt-BR"/>
        </w:rPr>
      </w:pPr>
      <w:r>
        <w:rPr>
          <w:rFonts w:ascii="Times New Roman" w:hAnsi="Times New Roman"/>
          <w:sz w:val="20"/>
          <w:szCs w:val="20"/>
          <w:lang w:eastAsia="pt-BR"/>
        </w:rPr>
        <w:t>A partir dos</w:t>
      </w:r>
      <w:r w:rsidR="00BB4750" w:rsidRPr="00204FFB">
        <w:rPr>
          <w:rFonts w:ascii="Times New Roman" w:hAnsi="Times New Roman"/>
          <w:sz w:val="20"/>
          <w:szCs w:val="20"/>
          <w:lang w:eastAsia="pt-BR"/>
        </w:rPr>
        <w:t xml:space="preserve"> espectros</w:t>
      </w:r>
      <w:r w:rsidR="00BB4750">
        <w:rPr>
          <w:rFonts w:ascii="Times New Roman" w:hAnsi="Times New Roman"/>
          <w:sz w:val="20"/>
          <w:szCs w:val="20"/>
          <w:lang w:eastAsia="pt-BR"/>
        </w:rPr>
        <w:t xml:space="preserve"> Raman</w:t>
      </w:r>
      <w:r>
        <w:rPr>
          <w:rFonts w:ascii="Times New Roman" w:hAnsi="Times New Roman"/>
          <w:sz w:val="20"/>
          <w:szCs w:val="20"/>
          <w:lang w:eastAsia="pt-BR"/>
        </w:rPr>
        <w:t xml:space="preserve"> dos materiais calcinados, </w:t>
      </w:r>
      <w:r w:rsidR="00BB4750" w:rsidRPr="00204FFB">
        <w:rPr>
          <w:rFonts w:ascii="Times New Roman" w:hAnsi="Times New Roman"/>
          <w:sz w:val="20"/>
          <w:szCs w:val="20"/>
          <w:lang w:eastAsia="pt-BR"/>
        </w:rPr>
        <w:t xml:space="preserve">Figuras </w:t>
      </w:r>
      <w:r w:rsidR="00C75250" w:rsidRPr="005D7FA3">
        <w:rPr>
          <w:rFonts w:ascii="Times New Roman" w:hAnsi="Times New Roman"/>
          <w:color w:val="000000" w:themeColor="text1"/>
          <w:sz w:val="20"/>
          <w:szCs w:val="20"/>
          <w:lang w:eastAsia="pt-BR"/>
        </w:rPr>
        <w:t>8</w:t>
      </w:r>
      <w:r w:rsidR="00BB4750" w:rsidRPr="005D7FA3">
        <w:rPr>
          <w:rFonts w:ascii="Times New Roman" w:hAnsi="Times New Roman"/>
          <w:color w:val="000000" w:themeColor="text1"/>
          <w:sz w:val="20"/>
          <w:szCs w:val="20"/>
          <w:lang w:eastAsia="pt-BR"/>
        </w:rPr>
        <w:t xml:space="preserve">a e </w:t>
      </w:r>
      <w:r w:rsidR="00C75250" w:rsidRPr="005D7FA3">
        <w:rPr>
          <w:rFonts w:ascii="Times New Roman" w:hAnsi="Times New Roman"/>
          <w:color w:val="000000" w:themeColor="text1"/>
          <w:sz w:val="20"/>
          <w:szCs w:val="20"/>
          <w:lang w:eastAsia="pt-BR"/>
        </w:rPr>
        <w:t>8</w:t>
      </w:r>
      <w:r w:rsidR="00BB4750" w:rsidRPr="005D7FA3">
        <w:rPr>
          <w:rFonts w:ascii="Times New Roman" w:hAnsi="Times New Roman"/>
          <w:color w:val="000000" w:themeColor="text1"/>
          <w:sz w:val="20"/>
          <w:szCs w:val="20"/>
          <w:lang w:eastAsia="pt-BR"/>
        </w:rPr>
        <w:t>b</w:t>
      </w:r>
      <w:r>
        <w:rPr>
          <w:rFonts w:ascii="Times New Roman" w:hAnsi="Times New Roman"/>
          <w:sz w:val="20"/>
          <w:szCs w:val="20"/>
          <w:lang w:eastAsia="pt-BR"/>
        </w:rPr>
        <w:t>, v</w:t>
      </w:r>
      <w:r w:rsidR="00BB4750">
        <w:rPr>
          <w:rFonts w:ascii="Times New Roman" w:hAnsi="Times New Roman"/>
          <w:sz w:val="20"/>
          <w:szCs w:val="20"/>
          <w:lang w:eastAsia="pt-BR"/>
        </w:rPr>
        <w:t xml:space="preserve">erifica-se </w:t>
      </w:r>
      <w:r w:rsidR="00BB4750" w:rsidRPr="00204FFB">
        <w:rPr>
          <w:rFonts w:ascii="Times New Roman" w:hAnsi="Times New Roman"/>
          <w:sz w:val="20"/>
          <w:szCs w:val="20"/>
          <w:lang w:eastAsia="pt-BR"/>
        </w:rPr>
        <w:t xml:space="preserve">a manutenção dos </w:t>
      </w:r>
      <w:r w:rsidR="00BB4750" w:rsidRPr="00204FFB">
        <w:rPr>
          <w:rFonts w:ascii="Times New Roman" w:hAnsi="Times New Roman"/>
          <w:sz w:val="20"/>
          <w:szCs w:val="20"/>
          <w:lang w:eastAsia="pt-BR"/>
        </w:rPr>
        <w:lastRenderedPageBreak/>
        <w:t>modos vibr</w:t>
      </w:r>
      <w:r w:rsidR="00141A86">
        <w:rPr>
          <w:rFonts w:ascii="Times New Roman" w:hAnsi="Times New Roman"/>
          <w:sz w:val="20"/>
          <w:szCs w:val="20"/>
          <w:lang w:eastAsia="pt-BR"/>
        </w:rPr>
        <w:t>acionais para os compostos das d</w:t>
      </w:r>
      <w:r w:rsidR="00BB4750" w:rsidRPr="00204FFB">
        <w:rPr>
          <w:rFonts w:ascii="Times New Roman" w:hAnsi="Times New Roman"/>
          <w:sz w:val="20"/>
          <w:szCs w:val="20"/>
          <w:lang w:eastAsia="pt-BR"/>
        </w:rPr>
        <w:t>uas séries, sugerindo, predominantemente</w:t>
      </w:r>
      <w:r w:rsidR="00BB4750">
        <w:rPr>
          <w:rFonts w:ascii="Times New Roman" w:hAnsi="Times New Roman"/>
          <w:sz w:val="20"/>
          <w:szCs w:val="20"/>
          <w:lang w:eastAsia="pt-BR"/>
        </w:rPr>
        <w:t>,</w:t>
      </w:r>
      <w:r w:rsidR="00BB4750" w:rsidRPr="00204FFB">
        <w:rPr>
          <w:rFonts w:ascii="Times New Roman" w:hAnsi="Times New Roman"/>
          <w:sz w:val="20"/>
          <w:szCs w:val="20"/>
          <w:lang w:eastAsia="pt-BR"/>
        </w:rPr>
        <w:t xml:space="preserve"> a presença do </w:t>
      </w:r>
      <w:proofErr w:type="spellStart"/>
      <w:r w:rsidR="00BB4750" w:rsidRPr="00204FFB">
        <w:rPr>
          <w:rFonts w:ascii="Times New Roman" w:hAnsi="Times New Roman"/>
          <w:sz w:val="20"/>
          <w:szCs w:val="20"/>
          <w:lang w:eastAsia="pt-BR"/>
        </w:rPr>
        <w:t>heptamobilidato</w:t>
      </w:r>
      <w:proofErr w:type="spellEnd"/>
      <w:r w:rsidR="00BB4750" w:rsidRPr="00204FFB">
        <w:rPr>
          <w:rFonts w:ascii="Times New Roman" w:hAnsi="Times New Roman"/>
          <w:sz w:val="20"/>
          <w:szCs w:val="20"/>
          <w:lang w:eastAsia="pt-BR"/>
        </w:rPr>
        <w:t xml:space="preserve"> para os compostos das séries </w:t>
      </w:r>
      <w:proofErr w:type="spellStart"/>
      <w:r w:rsidR="00BB4750" w:rsidRPr="00204FFB">
        <w:rPr>
          <w:rFonts w:ascii="Times New Roman" w:hAnsi="Times New Roman"/>
          <w:sz w:val="20"/>
          <w:szCs w:val="20"/>
          <w:lang w:eastAsia="pt-BR"/>
        </w:rPr>
        <w:t>CoZnAlMoC</w:t>
      </w:r>
      <w:proofErr w:type="spellEnd"/>
      <w:r w:rsidR="00BB4750" w:rsidRPr="00204FFB">
        <w:rPr>
          <w:rFonts w:ascii="Times New Roman" w:hAnsi="Times New Roman"/>
          <w:sz w:val="20"/>
          <w:szCs w:val="20"/>
          <w:lang w:eastAsia="pt-BR"/>
        </w:rPr>
        <w:t xml:space="preserve"> após a calcinação, bem como, a presença das espécies </w:t>
      </w:r>
      <w:proofErr w:type="spellStart"/>
      <w:r w:rsidR="00BB4750" w:rsidRPr="00204FFB">
        <w:rPr>
          <w:rFonts w:ascii="Times New Roman" w:hAnsi="Times New Roman"/>
          <w:sz w:val="20"/>
          <w:szCs w:val="20"/>
          <w:lang w:eastAsia="pt-BR"/>
        </w:rPr>
        <w:t>molibdato</w:t>
      </w:r>
      <w:proofErr w:type="spellEnd"/>
      <w:r w:rsidR="00BB4750" w:rsidRPr="00204FFB">
        <w:rPr>
          <w:rFonts w:ascii="Times New Roman" w:hAnsi="Times New Roman"/>
          <w:sz w:val="20"/>
          <w:szCs w:val="20"/>
          <w:lang w:eastAsia="pt-BR"/>
        </w:rPr>
        <w:t xml:space="preserve"> (MoO</w:t>
      </w:r>
      <w:r w:rsidR="00BB4750" w:rsidRPr="00204FFB">
        <w:rPr>
          <w:rFonts w:ascii="Times New Roman" w:hAnsi="Times New Roman"/>
          <w:sz w:val="20"/>
          <w:szCs w:val="20"/>
          <w:vertAlign w:val="subscript"/>
          <w:lang w:eastAsia="pt-BR"/>
        </w:rPr>
        <w:t>4</w:t>
      </w:r>
      <w:r w:rsidR="00BB4750" w:rsidRPr="00204FFB">
        <w:rPr>
          <w:rFonts w:ascii="Times New Roman" w:hAnsi="Times New Roman"/>
          <w:sz w:val="20"/>
          <w:szCs w:val="20"/>
          <w:vertAlign w:val="superscript"/>
          <w:lang w:eastAsia="pt-BR"/>
        </w:rPr>
        <w:t>2</w:t>
      </w:r>
      <w:r w:rsidR="00BB4750" w:rsidRPr="00204FFB">
        <w:rPr>
          <w:rFonts w:ascii="Times New Roman" w:hAnsi="Times New Roman"/>
          <w:sz w:val="20"/>
          <w:szCs w:val="20"/>
          <w:lang w:eastAsia="pt-BR"/>
        </w:rPr>
        <w:t xml:space="preserve">) e </w:t>
      </w:r>
      <w:proofErr w:type="spellStart"/>
      <w:r w:rsidR="00BB4750" w:rsidRPr="00204FFB">
        <w:rPr>
          <w:rFonts w:ascii="Times New Roman" w:hAnsi="Times New Roman"/>
          <w:sz w:val="20"/>
          <w:szCs w:val="20"/>
          <w:lang w:eastAsia="pt-BR"/>
        </w:rPr>
        <w:t>dimolibdato</w:t>
      </w:r>
      <w:proofErr w:type="spellEnd"/>
      <w:r w:rsidR="00BB4750" w:rsidRPr="00204FFB">
        <w:rPr>
          <w:rFonts w:ascii="Times New Roman" w:hAnsi="Times New Roman"/>
          <w:sz w:val="20"/>
          <w:szCs w:val="20"/>
          <w:lang w:eastAsia="pt-BR"/>
        </w:rPr>
        <w:t xml:space="preserve"> (Mo</w:t>
      </w:r>
      <w:r w:rsidR="00BB4750" w:rsidRPr="00204FFB">
        <w:rPr>
          <w:rFonts w:ascii="Times New Roman" w:hAnsi="Times New Roman"/>
          <w:sz w:val="20"/>
          <w:szCs w:val="20"/>
          <w:vertAlign w:val="subscript"/>
          <w:lang w:eastAsia="pt-BR"/>
        </w:rPr>
        <w:t>2</w:t>
      </w:r>
      <w:r w:rsidR="00BB4750" w:rsidRPr="00204FFB">
        <w:rPr>
          <w:rFonts w:ascii="Times New Roman" w:hAnsi="Times New Roman"/>
          <w:sz w:val="20"/>
          <w:szCs w:val="20"/>
          <w:lang w:eastAsia="pt-BR"/>
        </w:rPr>
        <w:t>O</w:t>
      </w:r>
      <w:r w:rsidR="00BB4750" w:rsidRPr="00204FFB">
        <w:rPr>
          <w:rFonts w:ascii="Times New Roman" w:hAnsi="Times New Roman"/>
          <w:sz w:val="20"/>
          <w:szCs w:val="20"/>
          <w:vertAlign w:val="subscript"/>
          <w:lang w:eastAsia="pt-BR"/>
        </w:rPr>
        <w:t>7</w:t>
      </w:r>
      <w:r w:rsidR="00BB4750" w:rsidRPr="00204FFB">
        <w:rPr>
          <w:rFonts w:ascii="Times New Roman" w:hAnsi="Times New Roman"/>
          <w:sz w:val="20"/>
          <w:szCs w:val="20"/>
          <w:vertAlign w:val="superscript"/>
          <w:lang w:eastAsia="pt-BR"/>
        </w:rPr>
        <w:t>2-</w:t>
      </w:r>
      <w:r w:rsidR="00BB4750" w:rsidRPr="00204FFB">
        <w:rPr>
          <w:rFonts w:ascii="Times New Roman" w:hAnsi="Times New Roman"/>
          <w:sz w:val="20"/>
          <w:szCs w:val="20"/>
          <w:lang w:eastAsia="pt-BR"/>
        </w:rPr>
        <w:t xml:space="preserve">) para os compostos da série </w:t>
      </w:r>
      <w:proofErr w:type="spellStart"/>
      <w:r w:rsidR="00BB4750" w:rsidRPr="00204FFB">
        <w:rPr>
          <w:rFonts w:ascii="Times New Roman" w:hAnsi="Times New Roman"/>
          <w:sz w:val="20"/>
          <w:szCs w:val="20"/>
          <w:lang w:eastAsia="pt-BR"/>
        </w:rPr>
        <w:t>CoMnAlMo</w:t>
      </w:r>
      <w:proofErr w:type="spellEnd"/>
      <w:r w:rsidR="00BB4750" w:rsidRPr="00204FFB">
        <w:rPr>
          <w:rFonts w:ascii="Times New Roman" w:hAnsi="Times New Roman"/>
          <w:sz w:val="20"/>
          <w:szCs w:val="20"/>
          <w:lang w:eastAsia="pt-BR"/>
        </w:rPr>
        <w:t>.</w:t>
      </w:r>
    </w:p>
    <w:tbl>
      <w:tblPr>
        <w:tblW w:w="0" w:type="auto"/>
        <w:tblLook w:val="04A0" w:firstRow="1" w:lastRow="0" w:firstColumn="1" w:lastColumn="0" w:noHBand="0" w:noVBand="1"/>
      </w:tblPr>
      <w:tblGrid>
        <w:gridCol w:w="4758"/>
      </w:tblGrid>
      <w:tr w:rsidR="00BB4750" w:rsidRPr="00957156" w14:paraId="0EB037DB" w14:textId="77777777" w:rsidTr="0039056D">
        <w:tc>
          <w:tcPr>
            <w:tcW w:w="4758" w:type="dxa"/>
            <w:shd w:val="clear" w:color="auto" w:fill="auto"/>
          </w:tcPr>
          <w:p w14:paraId="1A2814BC" w14:textId="6E9873D2" w:rsidR="00BB4750" w:rsidRPr="00957156" w:rsidRDefault="00AA2426" w:rsidP="0039056D">
            <w:pPr>
              <w:spacing w:after="0" w:line="240" w:lineRule="auto"/>
              <w:jc w:val="center"/>
            </w:pPr>
            <w:r w:rsidRPr="00AA2426">
              <w:rPr>
                <w:noProof/>
                <w:lang w:eastAsia="pt-BR"/>
              </w:rPr>
              <w:drawing>
                <wp:inline distT="0" distB="0" distL="0" distR="0" wp14:anchorId="12EC757A" wp14:editId="704B2B04">
                  <wp:extent cx="2837026" cy="1364400"/>
                  <wp:effectExtent l="0" t="0" r="1905" b="7620"/>
                  <wp:docPr id="14" name="Imagem 14" descr="C:\Users\LabCat\Desktop\web\pos-doc(2019)\CBCAT-23\Figuras\Raman-CoZnca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abCat\Desktop\web\pos-doc(2019)\CBCAT-23\Figuras\Raman-CoZncalc.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7026" cy="1364400"/>
                          </a:xfrm>
                          <a:prstGeom prst="rect">
                            <a:avLst/>
                          </a:prstGeom>
                          <a:noFill/>
                          <a:ln>
                            <a:noFill/>
                          </a:ln>
                        </pic:spPr>
                      </pic:pic>
                    </a:graphicData>
                  </a:graphic>
                </wp:inline>
              </w:drawing>
            </w:r>
          </w:p>
        </w:tc>
      </w:tr>
      <w:tr w:rsidR="00BB4750" w:rsidRPr="00957156" w14:paraId="68FAAC08" w14:textId="77777777" w:rsidTr="0039056D">
        <w:tc>
          <w:tcPr>
            <w:tcW w:w="4758" w:type="dxa"/>
            <w:shd w:val="clear" w:color="auto" w:fill="auto"/>
          </w:tcPr>
          <w:p w14:paraId="195B91F2" w14:textId="66581E5A" w:rsidR="00BB4750" w:rsidRPr="00957156" w:rsidRDefault="00AA2426" w:rsidP="0039056D">
            <w:pPr>
              <w:spacing w:after="0" w:line="240" w:lineRule="auto"/>
              <w:jc w:val="center"/>
            </w:pPr>
            <w:r w:rsidRPr="00AA2426">
              <w:rPr>
                <w:noProof/>
                <w:lang w:eastAsia="pt-BR"/>
              </w:rPr>
              <w:drawing>
                <wp:inline distT="0" distB="0" distL="0" distR="0" wp14:anchorId="67DA1ED1" wp14:editId="12374D21">
                  <wp:extent cx="2843587" cy="1414800"/>
                  <wp:effectExtent l="0" t="0" r="0" b="0"/>
                  <wp:docPr id="15" name="Imagem 15" descr="C:\Users\LabCat\Desktop\web\pos-doc(2019)\CBCAT-23\Figuras\Raman-CoMnca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abCat\Desktop\web\pos-doc(2019)\CBCAT-23\Figuras\Raman-CoMncalc.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3587" cy="1414800"/>
                          </a:xfrm>
                          <a:prstGeom prst="rect">
                            <a:avLst/>
                          </a:prstGeom>
                          <a:noFill/>
                          <a:ln>
                            <a:noFill/>
                          </a:ln>
                        </pic:spPr>
                      </pic:pic>
                    </a:graphicData>
                  </a:graphic>
                </wp:inline>
              </w:drawing>
            </w:r>
          </w:p>
        </w:tc>
      </w:tr>
    </w:tbl>
    <w:p w14:paraId="73A694CE" w14:textId="4CD03A90" w:rsidR="00BB4750" w:rsidRDefault="00BB4750" w:rsidP="0039056D">
      <w:pPr>
        <w:pStyle w:val="VAFigureCaption"/>
        <w:spacing w:before="0" w:after="120"/>
        <w:rPr>
          <w:rFonts w:ascii="Times New Roman" w:hAnsi="Times New Roman"/>
          <w:lang w:val="pt-BR"/>
        </w:rPr>
      </w:pPr>
      <w:r w:rsidRPr="00E038AF">
        <w:rPr>
          <w:rFonts w:ascii="Times New Roman" w:hAnsi="Times New Roman"/>
          <w:b/>
          <w:lang w:val="pt-BR"/>
        </w:rPr>
        <w:t xml:space="preserve">Figura </w:t>
      </w:r>
      <w:r w:rsidR="00C75250">
        <w:rPr>
          <w:rFonts w:ascii="Times New Roman" w:hAnsi="Times New Roman"/>
          <w:b/>
          <w:lang w:val="pt-BR"/>
        </w:rPr>
        <w:t>8</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Espectros Raman para os óxidos das séries (a) </w:t>
      </w:r>
      <w:proofErr w:type="spellStart"/>
      <w:r>
        <w:rPr>
          <w:rFonts w:ascii="Times New Roman" w:hAnsi="Times New Roman"/>
          <w:lang w:val="pt-BR"/>
        </w:rPr>
        <w:t>CoMoZnAlC</w:t>
      </w:r>
      <w:proofErr w:type="spellEnd"/>
      <w:r>
        <w:rPr>
          <w:rFonts w:ascii="Times New Roman" w:hAnsi="Times New Roman"/>
          <w:lang w:val="pt-BR"/>
        </w:rPr>
        <w:t xml:space="preserve"> e (b) </w:t>
      </w:r>
      <w:proofErr w:type="spellStart"/>
      <w:r>
        <w:rPr>
          <w:rFonts w:ascii="Times New Roman" w:hAnsi="Times New Roman"/>
          <w:lang w:val="pt-BR"/>
        </w:rPr>
        <w:t>CoMoMnAlC</w:t>
      </w:r>
      <w:proofErr w:type="spellEnd"/>
      <w:r w:rsidRPr="00E038AF">
        <w:rPr>
          <w:rFonts w:ascii="Times New Roman" w:hAnsi="Times New Roman"/>
          <w:lang w:val="pt-BR"/>
        </w:rPr>
        <w:t>.</w:t>
      </w:r>
    </w:p>
    <w:p w14:paraId="6A56351C" w14:textId="29AADA01" w:rsidR="008D05C4" w:rsidRDefault="0072792D" w:rsidP="0039056D">
      <w:pPr>
        <w:pStyle w:val="PargrafodaLista"/>
        <w:spacing w:after="120" w:line="240" w:lineRule="auto"/>
        <w:ind w:left="0" w:firstLine="708"/>
        <w:jc w:val="both"/>
        <w:rPr>
          <w:rFonts w:ascii="Times New Roman" w:hAnsi="Times New Roman"/>
          <w:sz w:val="20"/>
          <w:szCs w:val="20"/>
          <w:lang w:eastAsia="pt-BR"/>
        </w:rPr>
      </w:pPr>
      <w:r>
        <w:rPr>
          <w:rFonts w:ascii="Times New Roman" w:hAnsi="Times New Roman"/>
          <w:sz w:val="20"/>
          <w:szCs w:val="20"/>
          <w:lang w:eastAsia="pt-BR"/>
        </w:rPr>
        <w:t xml:space="preserve">A análise </w:t>
      </w:r>
      <w:proofErr w:type="spellStart"/>
      <w:r>
        <w:rPr>
          <w:rFonts w:ascii="Times New Roman" w:hAnsi="Times New Roman"/>
          <w:sz w:val="20"/>
          <w:szCs w:val="20"/>
          <w:lang w:eastAsia="pt-BR"/>
        </w:rPr>
        <w:t>textural</w:t>
      </w:r>
      <w:proofErr w:type="spellEnd"/>
      <w:r>
        <w:rPr>
          <w:rFonts w:ascii="Times New Roman" w:hAnsi="Times New Roman"/>
          <w:sz w:val="20"/>
          <w:szCs w:val="20"/>
          <w:lang w:eastAsia="pt-BR"/>
        </w:rPr>
        <w:t xml:space="preserve"> dos materiais foi realizada e a</w:t>
      </w:r>
      <w:r w:rsidR="00BB4750" w:rsidRPr="00DC19FC">
        <w:rPr>
          <w:rFonts w:ascii="Times New Roman" w:hAnsi="Times New Roman"/>
          <w:sz w:val="20"/>
          <w:szCs w:val="20"/>
          <w:lang w:eastAsia="pt-BR"/>
        </w:rPr>
        <w:t>s isotermas de adsorção–</w:t>
      </w:r>
      <w:proofErr w:type="spellStart"/>
      <w:r w:rsidR="00BB4750" w:rsidRPr="00DC19FC">
        <w:rPr>
          <w:rFonts w:ascii="Times New Roman" w:hAnsi="Times New Roman"/>
          <w:sz w:val="20"/>
          <w:szCs w:val="20"/>
          <w:lang w:eastAsia="pt-BR"/>
        </w:rPr>
        <w:t>dessorção</w:t>
      </w:r>
      <w:proofErr w:type="spellEnd"/>
      <w:r w:rsidR="00BB4750" w:rsidRPr="00DC19FC">
        <w:rPr>
          <w:rFonts w:ascii="Times New Roman" w:hAnsi="Times New Roman"/>
          <w:sz w:val="20"/>
          <w:szCs w:val="20"/>
          <w:lang w:eastAsia="pt-BR"/>
        </w:rPr>
        <w:t xml:space="preserve"> de N</w:t>
      </w:r>
      <w:r w:rsidR="00BB4750" w:rsidRPr="00DC19FC">
        <w:rPr>
          <w:rFonts w:ascii="Times New Roman" w:hAnsi="Times New Roman"/>
          <w:sz w:val="20"/>
          <w:szCs w:val="20"/>
          <w:vertAlign w:val="subscript"/>
          <w:lang w:eastAsia="pt-BR"/>
        </w:rPr>
        <w:t>2</w:t>
      </w:r>
      <w:r w:rsidR="00BB4750" w:rsidRPr="00DC19FC">
        <w:rPr>
          <w:rFonts w:ascii="Times New Roman" w:hAnsi="Times New Roman"/>
          <w:sz w:val="20"/>
          <w:szCs w:val="20"/>
          <w:lang w:eastAsia="pt-BR"/>
        </w:rPr>
        <w:t xml:space="preserve"> es</w:t>
      </w:r>
      <w:r w:rsidR="00C75250">
        <w:rPr>
          <w:rFonts w:ascii="Times New Roman" w:hAnsi="Times New Roman"/>
          <w:sz w:val="20"/>
          <w:szCs w:val="20"/>
          <w:lang w:eastAsia="pt-BR"/>
        </w:rPr>
        <w:t xml:space="preserve">tão representadas nas Figuras </w:t>
      </w:r>
      <w:r w:rsidR="00C75250" w:rsidRPr="005D7FA3">
        <w:rPr>
          <w:rFonts w:ascii="Times New Roman" w:hAnsi="Times New Roman"/>
          <w:color w:val="000000" w:themeColor="text1"/>
          <w:sz w:val="20"/>
          <w:szCs w:val="20"/>
          <w:lang w:eastAsia="pt-BR"/>
        </w:rPr>
        <w:t>9a e 9</w:t>
      </w:r>
      <w:r w:rsidR="00BB4750" w:rsidRPr="005D7FA3">
        <w:rPr>
          <w:rFonts w:ascii="Times New Roman" w:hAnsi="Times New Roman"/>
          <w:color w:val="000000" w:themeColor="text1"/>
          <w:sz w:val="20"/>
          <w:szCs w:val="20"/>
          <w:lang w:eastAsia="pt-BR"/>
        </w:rPr>
        <w:t>b</w:t>
      </w:r>
      <w:r w:rsidR="00BB4750" w:rsidRPr="00DC19FC">
        <w:rPr>
          <w:rFonts w:ascii="Times New Roman" w:hAnsi="Times New Roman"/>
          <w:sz w:val="20"/>
          <w:szCs w:val="20"/>
          <w:lang w:eastAsia="pt-BR"/>
        </w:rPr>
        <w:t xml:space="preserve">. </w:t>
      </w:r>
    </w:p>
    <w:tbl>
      <w:tblPr>
        <w:tblW w:w="0" w:type="auto"/>
        <w:tblLook w:val="04A0" w:firstRow="1" w:lastRow="0" w:firstColumn="1" w:lastColumn="0" w:noHBand="0" w:noVBand="1"/>
      </w:tblPr>
      <w:tblGrid>
        <w:gridCol w:w="4758"/>
      </w:tblGrid>
      <w:tr w:rsidR="008D05C4" w:rsidRPr="00957156" w14:paraId="1263D7ED" w14:textId="77777777" w:rsidTr="0008534F">
        <w:tc>
          <w:tcPr>
            <w:tcW w:w="4758" w:type="dxa"/>
            <w:shd w:val="clear" w:color="auto" w:fill="auto"/>
          </w:tcPr>
          <w:p w14:paraId="398A86D8" w14:textId="77777777" w:rsidR="008D05C4" w:rsidRPr="00957156" w:rsidRDefault="008D05C4" w:rsidP="0008534F">
            <w:pPr>
              <w:spacing w:after="0" w:line="240" w:lineRule="auto"/>
              <w:jc w:val="center"/>
            </w:pPr>
            <w:r>
              <w:rPr>
                <w:noProof/>
                <w:lang w:eastAsia="pt-BR"/>
              </w:rPr>
              <w:drawing>
                <wp:inline distT="0" distB="0" distL="0" distR="0" wp14:anchorId="364B9759" wp14:editId="0CFA021C">
                  <wp:extent cx="2779200" cy="1309719"/>
                  <wp:effectExtent l="0" t="0" r="254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oterma Zn.png"/>
                          <pic:cNvPicPr/>
                        </pic:nvPicPr>
                        <pic:blipFill rotWithShape="1">
                          <a:blip r:embed="rId22" cstate="print">
                            <a:extLst>
                              <a:ext uri="{28A0092B-C50C-407E-A947-70E740481C1C}">
                                <a14:useLocalDpi xmlns:a14="http://schemas.microsoft.com/office/drawing/2010/main" val="0"/>
                              </a:ext>
                            </a:extLst>
                          </a:blip>
                          <a:srcRect l="-1" r="1956"/>
                          <a:stretch/>
                        </pic:blipFill>
                        <pic:spPr bwMode="auto">
                          <a:xfrm>
                            <a:off x="0" y="0"/>
                            <a:ext cx="2779200" cy="1309719"/>
                          </a:xfrm>
                          <a:prstGeom prst="rect">
                            <a:avLst/>
                          </a:prstGeom>
                          <a:ln>
                            <a:noFill/>
                          </a:ln>
                          <a:extLst>
                            <a:ext uri="{53640926-AAD7-44D8-BBD7-CCE9431645EC}">
                              <a14:shadowObscured xmlns:a14="http://schemas.microsoft.com/office/drawing/2010/main"/>
                            </a:ext>
                          </a:extLst>
                        </pic:spPr>
                      </pic:pic>
                    </a:graphicData>
                  </a:graphic>
                </wp:inline>
              </w:drawing>
            </w:r>
          </w:p>
        </w:tc>
      </w:tr>
      <w:tr w:rsidR="008D05C4" w:rsidRPr="00957156" w14:paraId="326E48E5" w14:textId="77777777" w:rsidTr="0008534F">
        <w:tc>
          <w:tcPr>
            <w:tcW w:w="4758" w:type="dxa"/>
            <w:shd w:val="clear" w:color="auto" w:fill="auto"/>
          </w:tcPr>
          <w:p w14:paraId="1B5F4F34" w14:textId="77777777" w:rsidR="008D05C4" w:rsidRPr="00957156" w:rsidRDefault="008D05C4" w:rsidP="0008534F">
            <w:pPr>
              <w:spacing w:after="0" w:line="240" w:lineRule="auto"/>
              <w:jc w:val="center"/>
            </w:pPr>
            <w:r w:rsidRPr="007B0991">
              <w:rPr>
                <w:noProof/>
                <w:lang w:eastAsia="pt-BR"/>
              </w:rPr>
              <w:drawing>
                <wp:inline distT="0" distB="0" distL="0" distR="0" wp14:anchorId="6E2F984D" wp14:editId="32F2C1A7">
                  <wp:extent cx="2780665" cy="1255395"/>
                  <wp:effectExtent l="0" t="0" r="635" b="1905"/>
                  <wp:docPr id="51"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573"/>
                          <a:stretch/>
                        </pic:blipFill>
                        <pic:spPr bwMode="auto">
                          <a:xfrm>
                            <a:off x="0" y="0"/>
                            <a:ext cx="2780665" cy="12553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E8517A" w14:textId="16A79225" w:rsidR="008D05C4" w:rsidRPr="008D05C4" w:rsidRDefault="008D05C4" w:rsidP="008D05C4">
      <w:pPr>
        <w:pStyle w:val="VAFigureCaption"/>
        <w:spacing w:before="0" w:after="120"/>
        <w:rPr>
          <w:rFonts w:ascii="Times New Roman" w:hAnsi="Times New Roman"/>
          <w:lang w:val="pt-BR"/>
        </w:rPr>
      </w:pPr>
      <w:r>
        <w:rPr>
          <w:rFonts w:ascii="Times New Roman" w:hAnsi="Times New Roman"/>
          <w:b/>
          <w:lang w:val="pt-BR"/>
        </w:rPr>
        <w:t>Figura 9</w:t>
      </w:r>
      <w:r w:rsidRPr="00E038AF">
        <w:rPr>
          <w:rFonts w:ascii="Times New Roman" w:hAnsi="Times New Roman"/>
          <w:b/>
          <w:lang w:val="pt-BR"/>
        </w:rPr>
        <w:t>.</w:t>
      </w:r>
      <w:r w:rsidRPr="00E038AF">
        <w:rPr>
          <w:rFonts w:ascii="Times New Roman" w:hAnsi="Times New Roman"/>
          <w:lang w:val="pt-BR"/>
        </w:rPr>
        <w:t xml:space="preserve"> </w:t>
      </w:r>
      <w:r w:rsidRPr="006E1245">
        <w:rPr>
          <w:rFonts w:ascii="Times New Roman" w:hAnsi="Times New Roman"/>
          <w:lang w:val="pt-BR"/>
        </w:rPr>
        <w:t xml:space="preserve">Isotermas de adsorção e </w:t>
      </w:r>
      <w:proofErr w:type="spellStart"/>
      <w:r w:rsidRPr="006E1245">
        <w:rPr>
          <w:rFonts w:ascii="Times New Roman" w:hAnsi="Times New Roman"/>
          <w:lang w:val="pt-BR"/>
        </w:rPr>
        <w:t>dessorção</w:t>
      </w:r>
      <w:proofErr w:type="spellEnd"/>
      <w:r w:rsidRPr="006E1245">
        <w:rPr>
          <w:rFonts w:ascii="Times New Roman" w:hAnsi="Times New Roman"/>
          <w:lang w:val="pt-BR"/>
        </w:rPr>
        <w:t xml:space="preserve"> </w:t>
      </w:r>
      <w:r>
        <w:rPr>
          <w:rFonts w:ascii="Times New Roman" w:hAnsi="Times New Roman"/>
          <w:lang w:val="pt-BR"/>
        </w:rPr>
        <w:t>dos óxidos</w:t>
      </w:r>
      <w:r w:rsidRPr="006E1245">
        <w:rPr>
          <w:rFonts w:ascii="Times New Roman" w:hAnsi="Times New Roman"/>
          <w:lang w:val="pt-BR"/>
        </w:rPr>
        <w:t xml:space="preserve">: (a) </w:t>
      </w:r>
      <w:proofErr w:type="spellStart"/>
      <w:r w:rsidRPr="006E1245">
        <w:rPr>
          <w:rFonts w:ascii="Times New Roman" w:hAnsi="Times New Roman"/>
          <w:lang w:val="pt-BR"/>
        </w:rPr>
        <w:t>Co</w:t>
      </w:r>
      <w:r>
        <w:rPr>
          <w:rFonts w:ascii="Times New Roman" w:hAnsi="Times New Roman"/>
          <w:lang w:val="pt-BR"/>
        </w:rPr>
        <w:t>Mo</w:t>
      </w:r>
      <w:r w:rsidRPr="006E1245">
        <w:rPr>
          <w:rFonts w:ascii="Times New Roman" w:hAnsi="Times New Roman"/>
          <w:lang w:val="pt-BR"/>
        </w:rPr>
        <w:t>ZnAlC</w:t>
      </w:r>
      <w:proofErr w:type="spellEnd"/>
      <w:r w:rsidRPr="006E1245">
        <w:rPr>
          <w:rFonts w:ascii="Times New Roman" w:hAnsi="Times New Roman"/>
          <w:lang w:val="pt-BR"/>
        </w:rPr>
        <w:t xml:space="preserve"> e (b) </w:t>
      </w:r>
      <w:proofErr w:type="spellStart"/>
      <w:r w:rsidRPr="006E1245">
        <w:rPr>
          <w:rFonts w:ascii="Times New Roman" w:hAnsi="Times New Roman"/>
          <w:lang w:val="pt-BR"/>
        </w:rPr>
        <w:t>Co</w:t>
      </w:r>
      <w:r>
        <w:rPr>
          <w:rFonts w:ascii="Times New Roman" w:hAnsi="Times New Roman"/>
          <w:lang w:val="pt-BR"/>
        </w:rPr>
        <w:t>Mo</w:t>
      </w:r>
      <w:r w:rsidRPr="006E1245">
        <w:rPr>
          <w:rFonts w:ascii="Times New Roman" w:hAnsi="Times New Roman"/>
          <w:lang w:val="pt-BR"/>
        </w:rPr>
        <w:t>MnAlC</w:t>
      </w:r>
      <w:proofErr w:type="spellEnd"/>
      <w:r>
        <w:rPr>
          <w:rFonts w:ascii="Times New Roman" w:hAnsi="Times New Roman"/>
          <w:lang w:val="pt-BR"/>
        </w:rPr>
        <w:t>.</w:t>
      </w:r>
    </w:p>
    <w:p w14:paraId="1CD4C37E" w14:textId="38148138" w:rsidR="00BB4750" w:rsidRPr="00CA2832" w:rsidRDefault="00BB4750" w:rsidP="0010096A">
      <w:pPr>
        <w:pStyle w:val="PargrafodaLista"/>
        <w:spacing w:after="120" w:line="240" w:lineRule="auto"/>
        <w:ind w:left="0" w:firstLine="708"/>
        <w:jc w:val="both"/>
        <w:rPr>
          <w:rFonts w:ascii="Times New Roman" w:hAnsi="Times New Roman"/>
          <w:sz w:val="20"/>
          <w:szCs w:val="20"/>
          <w:lang w:eastAsia="pt-BR"/>
        </w:rPr>
      </w:pPr>
      <w:r w:rsidRPr="00DC19FC">
        <w:rPr>
          <w:rFonts w:ascii="Times New Roman" w:hAnsi="Times New Roman"/>
          <w:sz w:val="20"/>
          <w:szCs w:val="20"/>
        </w:rPr>
        <w:t>Os compostos apresentaram isotermas do tipo IV (classificação IUPAC) com</w:t>
      </w:r>
      <w:r w:rsidRPr="00DC19FC">
        <w:rPr>
          <w:rFonts w:ascii="Times New Roman" w:hAnsi="Times New Roman"/>
          <w:noProof/>
          <w:sz w:val="20"/>
          <w:szCs w:val="20"/>
        </w:rPr>
        <w:t xml:space="preserve"> </w:t>
      </w:r>
      <w:r w:rsidRPr="00DC19FC">
        <w:rPr>
          <w:rFonts w:ascii="Times New Roman" w:hAnsi="Times New Roman"/>
          <w:sz w:val="20"/>
          <w:szCs w:val="20"/>
        </w:rPr>
        <w:t>um laço de histerese do tipo H3,</w:t>
      </w:r>
      <w:r>
        <w:rPr>
          <w:rFonts w:ascii="Times New Roman" w:hAnsi="Times New Roman"/>
          <w:sz w:val="20"/>
          <w:szCs w:val="20"/>
        </w:rPr>
        <w:t xml:space="preserve"> </w:t>
      </w:r>
      <w:r w:rsidRPr="00DC19FC">
        <w:rPr>
          <w:rFonts w:ascii="Times New Roman" w:hAnsi="Times New Roman"/>
          <w:sz w:val="20"/>
          <w:szCs w:val="20"/>
        </w:rPr>
        <w:t xml:space="preserve">associado a agregados não rígidos de partículas em forma de placas </w:t>
      </w:r>
      <w:r w:rsidR="00B232F1">
        <w:rPr>
          <w:rFonts w:ascii="Times New Roman" w:hAnsi="Times New Roman"/>
          <w:noProof/>
          <w:sz w:val="20"/>
          <w:szCs w:val="20"/>
        </w:rPr>
        <w:t>(</w:t>
      </w:r>
      <w:r w:rsidR="00F9411B" w:rsidRPr="005D7FA3">
        <w:rPr>
          <w:rFonts w:ascii="Times New Roman" w:hAnsi="Times New Roman"/>
          <w:noProof/>
          <w:color w:val="000000" w:themeColor="text1"/>
          <w:sz w:val="20"/>
          <w:szCs w:val="20"/>
        </w:rPr>
        <w:t>20</w:t>
      </w:r>
      <w:r w:rsidR="00B232F1">
        <w:rPr>
          <w:rFonts w:ascii="Times New Roman" w:hAnsi="Times New Roman"/>
          <w:noProof/>
          <w:sz w:val="20"/>
          <w:szCs w:val="20"/>
        </w:rPr>
        <w:t>)</w:t>
      </w:r>
      <w:r>
        <w:rPr>
          <w:rFonts w:ascii="Times New Roman" w:hAnsi="Times New Roman"/>
          <w:noProof/>
          <w:sz w:val="20"/>
          <w:szCs w:val="20"/>
        </w:rPr>
        <w:t xml:space="preserve">. </w:t>
      </w:r>
      <w:r>
        <w:rPr>
          <w:rFonts w:ascii="Times New Roman" w:hAnsi="Times New Roman"/>
          <w:sz w:val="20"/>
          <w:szCs w:val="20"/>
          <w:lang w:eastAsia="pt-BR"/>
        </w:rPr>
        <w:t>Q</w:t>
      </w:r>
      <w:proofErr w:type="spellStart"/>
      <w:r w:rsidRPr="00DC19FC">
        <w:rPr>
          <w:rFonts w:ascii="Times New Roman" w:hAnsi="Times New Roman"/>
          <w:sz w:val="20"/>
          <w:szCs w:val="20"/>
          <w:lang w:val="x-none" w:eastAsia="pt-BR"/>
        </w:rPr>
        <w:t>uando</w:t>
      </w:r>
      <w:proofErr w:type="spellEnd"/>
      <w:r w:rsidRPr="00DC19FC">
        <w:rPr>
          <w:rFonts w:ascii="Times New Roman" w:hAnsi="Times New Roman"/>
          <w:sz w:val="20"/>
          <w:szCs w:val="20"/>
          <w:lang w:val="x-none" w:eastAsia="pt-BR"/>
        </w:rPr>
        <w:t xml:space="preserve"> se c</w:t>
      </w:r>
      <w:r w:rsidR="009522DE">
        <w:rPr>
          <w:rFonts w:ascii="Times New Roman" w:hAnsi="Times New Roman"/>
          <w:sz w:val="20"/>
          <w:szCs w:val="20"/>
          <w:lang w:val="x-none" w:eastAsia="pt-BR"/>
        </w:rPr>
        <w:t xml:space="preserve">ompara os valores de área </w:t>
      </w:r>
      <w:proofErr w:type="spellStart"/>
      <w:r w:rsidR="009522DE">
        <w:rPr>
          <w:rFonts w:ascii="Times New Roman" w:hAnsi="Times New Roman"/>
          <w:sz w:val="20"/>
          <w:szCs w:val="20"/>
          <w:lang w:val="x-none" w:eastAsia="pt-BR"/>
        </w:rPr>
        <w:t>espec</w:t>
      </w:r>
      <w:r w:rsidR="009522DE">
        <w:rPr>
          <w:rFonts w:ascii="Times New Roman" w:hAnsi="Times New Roman"/>
          <w:sz w:val="20"/>
          <w:szCs w:val="20"/>
          <w:lang w:eastAsia="pt-BR"/>
        </w:rPr>
        <w:t>í</w:t>
      </w:r>
      <w:proofErr w:type="spellEnd"/>
      <w:r w:rsidRPr="00DC19FC">
        <w:rPr>
          <w:rFonts w:ascii="Times New Roman" w:hAnsi="Times New Roman"/>
          <w:sz w:val="20"/>
          <w:szCs w:val="20"/>
          <w:lang w:val="x-none" w:eastAsia="pt-BR"/>
        </w:rPr>
        <w:t xml:space="preserve">fica das amostras das duas séries, Tabela </w:t>
      </w:r>
      <w:r>
        <w:rPr>
          <w:rFonts w:ascii="Times New Roman" w:hAnsi="Times New Roman"/>
          <w:sz w:val="20"/>
          <w:szCs w:val="20"/>
          <w:lang w:eastAsia="pt-BR"/>
        </w:rPr>
        <w:t>1</w:t>
      </w:r>
      <w:r w:rsidRPr="00DC19FC">
        <w:rPr>
          <w:rFonts w:ascii="Times New Roman" w:hAnsi="Times New Roman"/>
          <w:sz w:val="20"/>
          <w:szCs w:val="20"/>
          <w:lang w:val="x-none" w:eastAsia="pt-BR"/>
        </w:rPr>
        <w:t>, verifica-se</w:t>
      </w:r>
      <w:r w:rsidRPr="00C61637">
        <w:rPr>
          <w:rFonts w:ascii="Times New Roman" w:hAnsi="Times New Roman"/>
          <w:sz w:val="20"/>
          <w:szCs w:val="20"/>
          <w:lang w:val="x-none" w:eastAsia="pt-BR"/>
        </w:rPr>
        <w:t xml:space="preserve"> que as amostras da série </w:t>
      </w:r>
      <w:proofErr w:type="spellStart"/>
      <w:r w:rsidRPr="00C61637">
        <w:rPr>
          <w:rFonts w:ascii="Times New Roman" w:hAnsi="Times New Roman"/>
          <w:sz w:val="20"/>
          <w:szCs w:val="20"/>
          <w:lang w:val="x-none" w:eastAsia="pt-BR"/>
        </w:rPr>
        <w:t>CoMnAlMoC</w:t>
      </w:r>
      <w:proofErr w:type="spellEnd"/>
      <w:r w:rsidRPr="00C61637">
        <w:rPr>
          <w:rFonts w:ascii="Times New Roman" w:hAnsi="Times New Roman"/>
          <w:sz w:val="20"/>
          <w:szCs w:val="20"/>
          <w:lang w:val="x-none" w:eastAsia="pt-BR"/>
        </w:rPr>
        <w:t xml:space="preserve"> pos</w:t>
      </w:r>
      <w:r w:rsidR="00B77CB8">
        <w:rPr>
          <w:rFonts w:ascii="Times New Roman" w:hAnsi="Times New Roman"/>
          <w:sz w:val="20"/>
          <w:szCs w:val="20"/>
          <w:lang w:val="x-none" w:eastAsia="pt-BR"/>
        </w:rPr>
        <w:t xml:space="preserve">suem os </w:t>
      </w:r>
      <w:r w:rsidR="00B77CB8">
        <w:rPr>
          <w:rFonts w:ascii="Times New Roman" w:hAnsi="Times New Roman"/>
          <w:sz w:val="20"/>
          <w:szCs w:val="20"/>
          <w:lang w:val="x-none" w:eastAsia="pt-BR"/>
        </w:rPr>
        <w:t>maiores valores de área, sugerindo uma promoç</w:t>
      </w:r>
      <w:r w:rsidR="00B77CB8">
        <w:rPr>
          <w:rFonts w:ascii="Times New Roman" w:hAnsi="Times New Roman"/>
          <w:sz w:val="20"/>
          <w:szCs w:val="20"/>
          <w:lang w:eastAsia="pt-BR"/>
        </w:rPr>
        <w:t xml:space="preserve">ão </w:t>
      </w:r>
      <w:proofErr w:type="spellStart"/>
      <w:r w:rsidR="00B77CB8">
        <w:rPr>
          <w:rFonts w:ascii="Times New Roman" w:hAnsi="Times New Roman"/>
          <w:sz w:val="20"/>
          <w:szCs w:val="20"/>
          <w:lang w:eastAsia="pt-BR"/>
        </w:rPr>
        <w:t>textural</w:t>
      </w:r>
      <w:proofErr w:type="spellEnd"/>
      <w:r w:rsidR="00B77CB8">
        <w:rPr>
          <w:rFonts w:ascii="Times New Roman" w:hAnsi="Times New Roman"/>
          <w:sz w:val="20"/>
          <w:szCs w:val="20"/>
          <w:lang w:eastAsia="pt-BR"/>
        </w:rPr>
        <w:t xml:space="preserve"> por parte do manganês</w:t>
      </w:r>
      <w:r w:rsidRPr="00C61637">
        <w:rPr>
          <w:rFonts w:ascii="Times New Roman" w:hAnsi="Times New Roman"/>
          <w:sz w:val="20"/>
          <w:szCs w:val="20"/>
          <w:lang w:val="x-none" w:eastAsia="pt-BR"/>
        </w:rPr>
        <w:t>. Ainda, quando se compara</w:t>
      </w:r>
      <w:r w:rsidR="00A332DD">
        <w:rPr>
          <w:rFonts w:ascii="Times New Roman" w:hAnsi="Times New Roman"/>
          <w:sz w:val="20"/>
          <w:szCs w:val="20"/>
          <w:lang w:eastAsia="pt-BR"/>
        </w:rPr>
        <w:t>m</w:t>
      </w:r>
      <w:r w:rsidRPr="00C61637">
        <w:rPr>
          <w:rFonts w:ascii="Times New Roman" w:hAnsi="Times New Roman"/>
          <w:sz w:val="20"/>
          <w:szCs w:val="20"/>
          <w:lang w:val="x-none" w:eastAsia="pt-BR"/>
        </w:rPr>
        <w:t xml:space="preserve"> os valores de área p</w:t>
      </w:r>
      <w:r w:rsidR="00F130CA">
        <w:rPr>
          <w:rFonts w:ascii="Times New Roman" w:hAnsi="Times New Roman"/>
          <w:sz w:val="20"/>
          <w:szCs w:val="20"/>
          <w:lang w:val="x-none" w:eastAsia="pt-BR"/>
        </w:rPr>
        <w:t xml:space="preserve">ara as amostras da mesma série, </w:t>
      </w:r>
      <w:r w:rsidR="00F130CA">
        <w:rPr>
          <w:rFonts w:ascii="Times New Roman" w:hAnsi="Times New Roman"/>
          <w:sz w:val="20"/>
          <w:szCs w:val="20"/>
          <w:lang w:eastAsia="pt-BR"/>
        </w:rPr>
        <w:t>à</w:t>
      </w:r>
      <w:proofErr w:type="spellStart"/>
      <w:r w:rsidRPr="00C61637">
        <w:rPr>
          <w:rFonts w:ascii="Times New Roman" w:hAnsi="Times New Roman"/>
          <w:sz w:val="20"/>
          <w:szCs w:val="20"/>
          <w:lang w:val="x-none" w:eastAsia="pt-BR"/>
        </w:rPr>
        <w:t>quelas</w:t>
      </w:r>
      <w:proofErr w:type="spellEnd"/>
      <w:r w:rsidRPr="00C61637">
        <w:rPr>
          <w:rFonts w:ascii="Times New Roman" w:hAnsi="Times New Roman"/>
          <w:sz w:val="20"/>
          <w:szCs w:val="20"/>
          <w:lang w:val="x-none" w:eastAsia="pt-BR"/>
        </w:rPr>
        <w:t xml:space="preserve"> onde o pico relativo à fase β-CoMoO</w:t>
      </w:r>
      <w:r w:rsidRPr="00C61637">
        <w:rPr>
          <w:rFonts w:ascii="Times New Roman" w:hAnsi="Times New Roman"/>
          <w:sz w:val="20"/>
          <w:szCs w:val="20"/>
          <w:vertAlign w:val="subscript"/>
          <w:lang w:val="x-none" w:eastAsia="pt-BR"/>
        </w:rPr>
        <w:t xml:space="preserve">4 </w:t>
      </w:r>
      <w:r w:rsidRPr="00C61637">
        <w:rPr>
          <w:rFonts w:ascii="Times New Roman" w:hAnsi="Times New Roman"/>
          <w:sz w:val="20"/>
          <w:szCs w:val="20"/>
          <w:lang w:val="x-none" w:eastAsia="pt-BR"/>
        </w:rPr>
        <w:t xml:space="preserve"> é mais pronunciado possuem a menor área, assim como observado para a amostra Co10Zn40Al50MoC em relação as demais. O mesmo fato é observado para as amostras contendo manganês, onde a amostra Co30Mn20Al50MoC, possui o menor valor de área (111 m</w:t>
      </w:r>
      <w:r w:rsidRPr="00C61637">
        <w:rPr>
          <w:rFonts w:ascii="Times New Roman" w:hAnsi="Times New Roman"/>
          <w:sz w:val="20"/>
          <w:szCs w:val="20"/>
          <w:vertAlign w:val="superscript"/>
          <w:lang w:val="x-none" w:eastAsia="pt-BR"/>
        </w:rPr>
        <w:t>2</w:t>
      </w:r>
      <w:r w:rsidRPr="00C61637">
        <w:rPr>
          <w:rFonts w:ascii="Times New Roman" w:hAnsi="Times New Roman"/>
          <w:sz w:val="20"/>
          <w:szCs w:val="20"/>
          <w:lang w:val="x-none" w:eastAsia="pt-BR"/>
        </w:rPr>
        <w:t>/g) em relação às outras amostras da sua sé</w:t>
      </w:r>
      <w:r w:rsidR="009522DE">
        <w:rPr>
          <w:rFonts w:ascii="Times New Roman" w:hAnsi="Times New Roman"/>
          <w:sz w:val="20"/>
          <w:szCs w:val="20"/>
          <w:lang w:val="x-none" w:eastAsia="pt-BR"/>
        </w:rPr>
        <w:t xml:space="preserve">rie que apresentaram área </w:t>
      </w:r>
      <w:proofErr w:type="spellStart"/>
      <w:r w:rsidR="009522DE">
        <w:rPr>
          <w:rFonts w:ascii="Times New Roman" w:hAnsi="Times New Roman"/>
          <w:sz w:val="20"/>
          <w:szCs w:val="20"/>
          <w:lang w:val="x-none" w:eastAsia="pt-BR"/>
        </w:rPr>
        <w:t>espec</w:t>
      </w:r>
      <w:r w:rsidR="009522DE">
        <w:rPr>
          <w:rFonts w:ascii="Times New Roman" w:hAnsi="Times New Roman"/>
          <w:sz w:val="20"/>
          <w:szCs w:val="20"/>
          <w:lang w:eastAsia="pt-BR"/>
        </w:rPr>
        <w:t>í</w:t>
      </w:r>
      <w:proofErr w:type="spellEnd"/>
      <w:r w:rsidRPr="00C61637">
        <w:rPr>
          <w:rFonts w:ascii="Times New Roman" w:hAnsi="Times New Roman"/>
          <w:sz w:val="20"/>
          <w:szCs w:val="20"/>
          <w:lang w:val="x-none" w:eastAsia="pt-BR"/>
        </w:rPr>
        <w:t>fica de 221 m</w:t>
      </w:r>
      <w:r w:rsidRPr="00C61637">
        <w:rPr>
          <w:rFonts w:ascii="Times New Roman" w:hAnsi="Times New Roman"/>
          <w:sz w:val="20"/>
          <w:szCs w:val="20"/>
          <w:vertAlign w:val="superscript"/>
          <w:lang w:val="x-none" w:eastAsia="pt-BR"/>
        </w:rPr>
        <w:t>2</w:t>
      </w:r>
      <w:r w:rsidRPr="00C61637">
        <w:rPr>
          <w:rFonts w:ascii="Times New Roman" w:hAnsi="Times New Roman"/>
          <w:sz w:val="20"/>
          <w:szCs w:val="20"/>
          <w:lang w:val="x-none" w:eastAsia="pt-BR"/>
        </w:rPr>
        <w:t>/g e 190 m</w:t>
      </w:r>
      <w:r w:rsidRPr="00C61637">
        <w:rPr>
          <w:rFonts w:ascii="Times New Roman" w:hAnsi="Times New Roman"/>
          <w:sz w:val="20"/>
          <w:szCs w:val="20"/>
          <w:vertAlign w:val="superscript"/>
          <w:lang w:val="x-none" w:eastAsia="pt-BR"/>
        </w:rPr>
        <w:t>2</w:t>
      </w:r>
      <w:r w:rsidRPr="00C61637">
        <w:rPr>
          <w:rFonts w:ascii="Times New Roman" w:hAnsi="Times New Roman"/>
          <w:sz w:val="20"/>
          <w:szCs w:val="20"/>
          <w:lang w:val="x-none" w:eastAsia="pt-BR"/>
        </w:rPr>
        <w:t>/g, respectivamente, para as amostras Co10Mn40Al50MoC e Co20Mn30Al50MoC. Esse fato sugere, portanto, que os materiais com maior quantidade da fase β-</w:t>
      </w:r>
      <w:proofErr w:type="spellStart"/>
      <w:r w:rsidRPr="00C61637">
        <w:rPr>
          <w:rFonts w:ascii="Times New Roman" w:hAnsi="Times New Roman"/>
          <w:sz w:val="20"/>
          <w:szCs w:val="20"/>
          <w:lang w:val="x-none" w:eastAsia="pt-BR"/>
        </w:rPr>
        <w:t>molibdato</w:t>
      </w:r>
      <w:proofErr w:type="spellEnd"/>
      <w:r w:rsidRPr="00C61637">
        <w:rPr>
          <w:rFonts w:ascii="Times New Roman" w:hAnsi="Times New Roman"/>
          <w:sz w:val="20"/>
          <w:szCs w:val="20"/>
          <w:lang w:val="x-none" w:eastAsia="pt-BR"/>
        </w:rPr>
        <w:t xml:space="preserve"> na sua composição possuem as áreas específicas mais baixas. Resultados semelhantes foram observados no trabalho de Coelho et al. (2015</w:t>
      </w:r>
      <w:r w:rsidRPr="00CA2832">
        <w:rPr>
          <w:rFonts w:ascii="Times New Roman" w:hAnsi="Times New Roman"/>
          <w:sz w:val="20"/>
          <w:szCs w:val="20"/>
          <w:lang w:val="x-none" w:eastAsia="pt-BR"/>
        </w:rPr>
        <w:t>).</w:t>
      </w:r>
      <w:r w:rsidR="00296F47" w:rsidRPr="00CA2832">
        <w:rPr>
          <w:rFonts w:ascii="Times New Roman" w:hAnsi="Times New Roman"/>
          <w:sz w:val="20"/>
          <w:szCs w:val="20"/>
          <w:lang w:eastAsia="pt-BR"/>
        </w:rPr>
        <w:t xml:space="preserve"> As amostras das duas séries apresentaram um diâmetro médio de poros na faixa de </w:t>
      </w:r>
      <w:proofErr w:type="spellStart"/>
      <w:r w:rsidR="00296F47" w:rsidRPr="00CA2832">
        <w:rPr>
          <w:rFonts w:ascii="Times New Roman" w:hAnsi="Times New Roman"/>
          <w:sz w:val="20"/>
          <w:szCs w:val="20"/>
          <w:lang w:eastAsia="pt-BR"/>
        </w:rPr>
        <w:t>mesoporosos</w:t>
      </w:r>
      <w:proofErr w:type="spellEnd"/>
      <w:r w:rsidR="00081D34" w:rsidRPr="00CA2832">
        <w:rPr>
          <w:rFonts w:ascii="Times New Roman" w:hAnsi="Times New Roman"/>
          <w:sz w:val="20"/>
          <w:szCs w:val="20"/>
          <w:lang w:eastAsia="pt-BR"/>
        </w:rPr>
        <w:t>, tabela 1.</w:t>
      </w:r>
      <w:r w:rsidR="0062414A" w:rsidRPr="00CA2832">
        <w:rPr>
          <w:rFonts w:ascii="Times New Roman" w:hAnsi="Times New Roman"/>
          <w:sz w:val="20"/>
          <w:szCs w:val="20"/>
          <w:lang w:eastAsia="pt-BR"/>
        </w:rPr>
        <w:t xml:space="preserve"> Maiores</w:t>
      </w:r>
      <w:r w:rsidR="00C77140" w:rsidRPr="00CA2832">
        <w:rPr>
          <w:rFonts w:ascii="Times New Roman" w:hAnsi="Times New Roman"/>
          <w:sz w:val="20"/>
          <w:szCs w:val="20"/>
          <w:lang w:eastAsia="pt-BR"/>
        </w:rPr>
        <w:t xml:space="preserve"> valores de </w:t>
      </w:r>
      <w:r w:rsidR="00296F47" w:rsidRPr="00CA2832">
        <w:rPr>
          <w:rFonts w:ascii="Times New Roman" w:hAnsi="Times New Roman"/>
          <w:sz w:val="20"/>
          <w:szCs w:val="20"/>
          <w:lang w:eastAsia="pt-BR"/>
        </w:rPr>
        <w:t>volumes de poros</w:t>
      </w:r>
      <w:r w:rsidR="00081D34" w:rsidRPr="00CA2832">
        <w:rPr>
          <w:rFonts w:ascii="Times New Roman" w:hAnsi="Times New Roman"/>
          <w:sz w:val="20"/>
          <w:szCs w:val="20"/>
          <w:lang w:eastAsia="pt-BR"/>
        </w:rPr>
        <w:t xml:space="preserve"> </w:t>
      </w:r>
      <w:r w:rsidR="00296F47" w:rsidRPr="00CA2832">
        <w:rPr>
          <w:rFonts w:ascii="Times New Roman" w:hAnsi="Times New Roman"/>
          <w:sz w:val="20"/>
          <w:szCs w:val="20"/>
          <w:lang w:eastAsia="pt-BR"/>
        </w:rPr>
        <w:t>foram observados pa</w:t>
      </w:r>
      <w:r w:rsidR="0062414A" w:rsidRPr="00CA2832">
        <w:rPr>
          <w:rFonts w:ascii="Times New Roman" w:hAnsi="Times New Roman"/>
          <w:sz w:val="20"/>
          <w:szCs w:val="20"/>
          <w:lang w:eastAsia="pt-BR"/>
        </w:rPr>
        <w:t>ra os compostos da série de Mn</w:t>
      </w:r>
      <w:r w:rsidR="00081D34" w:rsidRPr="00CA2832">
        <w:rPr>
          <w:rFonts w:ascii="Times New Roman" w:hAnsi="Times New Roman"/>
          <w:sz w:val="20"/>
          <w:szCs w:val="20"/>
          <w:lang w:eastAsia="pt-BR"/>
        </w:rPr>
        <w:t xml:space="preserve">. </w:t>
      </w:r>
      <w:r w:rsidR="0010096A" w:rsidRPr="00CA2832">
        <w:rPr>
          <w:rFonts w:ascii="Times New Roman" w:hAnsi="Times New Roman"/>
          <w:sz w:val="20"/>
          <w:szCs w:val="20"/>
          <w:lang w:eastAsia="pt-BR"/>
        </w:rPr>
        <w:t xml:space="preserve">Este fato pode estar relacionado ao empilhamento irregular de partículas que cria poros </w:t>
      </w:r>
      <w:proofErr w:type="spellStart"/>
      <w:r w:rsidR="0010096A" w:rsidRPr="00CA2832">
        <w:rPr>
          <w:rFonts w:ascii="Times New Roman" w:hAnsi="Times New Roman"/>
          <w:sz w:val="20"/>
          <w:szCs w:val="20"/>
          <w:lang w:eastAsia="pt-BR"/>
        </w:rPr>
        <w:t>interpartículas</w:t>
      </w:r>
      <w:proofErr w:type="spellEnd"/>
      <w:r w:rsidR="00C20133" w:rsidRPr="00CA2832">
        <w:rPr>
          <w:rFonts w:ascii="Times New Roman" w:hAnsi="Times New Roman"/>
          <w:sz w:val="20"/>
          <w:szCs w:val="20"/>
          <w:lang w:eastAsia="pt-BR"/>
        </w:rPr>
        <w:t xml:space="preserve">. </w:t>
      </w:r>
      <w:proofErr w:type="gramStart"/>
      <w:r w:rsidR="00C20133" w:rsidRPr="00CA2832">
        <w:rPr>
          <w:rFonts w:ascii="Times New Roman" w:hAnsi="Times New Roman"/>
          <w:sz w:val="20"/>
          <w:szCs w:val="20"/>
          <w:lang w:eastAsia="pt-BR"/>
        </w:rPr>
        <w:t>O tamanho desses poros dependem</w:t>
      </w:r>
      <w:proofErr w:type="gramEnd"/>
      <w:r w:rsidR="00C20133" w:rsidRPr="00CA2832">
        <w:rPr>
          <w:rFonts w:ascii="Times New Roman" w:hAnsi="Times New Roman"/>
          <w:sz w:val="20"/>
          <w:szCs w:val="20"/>
          <w:lang w:eastAsia="pt-BR"/>
        </w:rPr>
        <w:t xml:space="preserve">, principalmente, do tamanho do cristal e esses poros criados entre as partículas contribuem largamente para o volume total de poros </w:t>
      </w:r>
      <w:r w:rsidR="00634A5B" w:rsidRPr="00CA2832">
        <w:rPr>
          <w:rFonts w:ascii="Times New Roman" w:hAnsi="Times New Roman"/>
          <w:sz w:val="20"/>
          <w:szCs w:val="20"/>
          <w:lang w:eastAsia="pt-BR"/>
        </w:rPr>
        <w:t>(23)</w:t>
      </w:r>
      <w:r w:rsidR="0010096A" w:rsidRPr="00CA2832">
        <w:rPr>
          <w:rFonts w:ascii="Times New Roman" w:hAnsi="Times New Roman"/>
          <w:sz w:val="20"/>
          <w:szCs w:val="20"/>
          <w:lang w:eastAsia="pt-BR"/>
        </w:rPr>
        <w:t xml:space="preserve">. </w:t>
      </w:r>
      <w:bookmarkStart w:id="3" w:name="_GoBack"/>
      <w:bookmarkEnd w:id="3"/>
    </w:p>
    <w:p w14:paraId="295C826E" w14:textId="77777777" w:rsidR="00BB4750" w:rsidRPr="00E038AF" w:rsidRDefault="00BB4750" w:rsidP="0039056D">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Pr="004B7F76">
        <w:rPr>
          <w:rFonts w:ascii="Times New Roman" w:hAnsi="Times New Roman"/>
          <w:lang w:val="pt-BR"/>
        </w:rPr>
        <w:t xml:space="preserve">Propriedades </w:t>
      </w:r>
      <w:proofErr w:type="spellStart"/>
      <w:r w:rsidRPr="004B7F76">
        <w:rPr>
          <w:rFonts w:ascii="Times New Roman" w:hAnsi="Times New Roman"/>
          <w:lang w:val="pt-BR"/>
        </w:rPr>
        <w:t>texturais</w:t>
      </w:r>
      <w:proofErr w:type="spellEnd"/>
      <w:r w:rsidRPr="004B7F76">
        <w:rPr>
          <w:rFonts w:ascii="Times New Roman" w:hAnsi="Times New Roman"/>
          <w:lang w:val="pt-BR"/>
        </w:rPr>
        <w:t xml:space="preserve"> dos materiais calcinados a 500 °C.</w:t>
      </w:r>
    </w:p>
    <w:tbl>
      <w:tblPr>
        <w:tblW w:w="48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6"/>
        <w:gridCol w:w="993"/>
        <w:gridCol w:w="914"/>
        <w:gridCol w:w="1201"/>
      </w:tblGrid>
      <w:tr w:rsidR="00BB4750" w:rsidRPr="00957156" w14:paraId="5B0BC837" w14:textId="77777777" w:rsidTr="00FB05C7">
        <w:trPr>
          <w:trHeight w:val="113"/>
        </w:trPr>
        <w:tc>
          <w:tcPr>
            <w:tcW w:w="1696" w:type="dxa"/>
          </w:tcPr>
          <w:p w14:paraId="5D047EA4" w14:textId="77777777" w:rsidR="00BB4750" w:rsidRDefault="00BB4750" w:rsidP="0039056D">
            <w:pPr>
              <w:pStyle w:val="TCTableBody"/>
              <w:jc w:val="center"/>
              <w:rPr>
                <w:lang w:val="pt-BR"/>
              </w:rPr>
            </w:pPr>
            <w:r>
              <w:rPr>
                <w:lang w:val="pt-BR"/>
              </w:rPr>
              <w:t>Amostras</w:t>
            </w:r>
          </w:p>
        </w:tc>
        <w:tc>
          <w:tcPr>
            <w:tcW w:w="993" w:type="dxa"/>
          </w:tcPr>
          <w:p w14:paraId="107B3AC3" w14:textId="77777777" w:rsidR="00BB4750" w:rsidRDefault="00BB4750" w:rsidP="0039056D">
            <w:pPr>
              <w:pStyle w:val="TCTableBody"/>
              <w:jc w:val="center"/>
              <w:rPr>
                <w:lang w:val="pt-BR"/>
              </w:rPr>
            </w:pPr>
            <w:r>
              <w:rPr>
                <w:lang w:val="pt-BR"/>
              </w:rPr>
              <w:t>Área (m</w:t>
            </w:r>
            <w:r w:rsidRPr="00C2126F">
              <w:rPr>
                <w:vertAlign w:val="superscript"/>
                <w:lang w:val="pt-BR"/>
              </w:rPr>
              <w:t>2</w:t>
            </w:r>
            <w:r>
              <w:rPr>
                <w:lang w:val="pt-BR"/>
              </w:rPr>
              <w:t>/g)</w:t>
            </w:r>
          </w:p>
          <w:p w14:paraId="628A14DE" w14:textId="77777777" w:rsidR="00BB4750" w:rsidRDefault="00BB4750" w:rsidP="0039056D">
            <w:pPr>
              <w:pStyle w:val="TCTableBody"/>
              <w:jc w:val="center"/>
              <w:rPr>
                <w:lang w:val="pt-BR"/>
              </w:rPr>
            </w:pPr>
            <w:r>
              <w:rPr>
                <w:lang w:val="pt-BR"/>
              </w:rPr>
              <w:t>S</w:t>
            </w:r>
            <w:r w:rsidRPr="00703BF3">
              <w:rPr>
                <w:vertAlign w:val="subscript"/>
                <w:lang w:val="pt-BR"/>
              </w:rPr>
              <w:t>BET</w:t>
            </w:r>
          </w:p>
        </w:tc>
        <w:tc>
          <w:tcPr>
            <w:tcW w:w="914" w:type="dxa"/>
          </w:tcPr>
          <w:p w14:paraId="664F742B" w14:textId="6E68236E" w:rsidR="00BB4750" w:rsidRDefault="00296F47" w:rsidP="0039056D">
            <w:pPr>
              <w:pStyle w:val="TCTableBody"/>
              <w:jc w:val="center"/>
              <w:rPr>
                <w:lang w:val="pt-BR"/>
              </w:rPr>
            </w:pPr>
            <w:r>
              <w:rPr>
                <w:lang w:val="pt-BR"/>
              </w:rPr>
              <w:t xml:space="preserve"> </w:t>
            </w:r>
            <w:r w:rsidR="00BB4750" w:rsidRPr="00703BF3">
              <w:rPr>
                <w:lang w:val="pt-BR"/>
              </w:rPr>
              <w:t xml:space="preserve">Volume de </w:t>
            </w:r>
            <w:proofErr w:type="spellStart"/>
            <w:r w:rsidR="00BB4750" w:rsidRPr="00703BF3">
              <w:rPr>
                <w:lang w:val="pt-BR"/>
              </w:rPr>
              <w:t>poros</w:t>
            </w:r>
            <w:r w:rsidR="00BB4750" w:rsidRPr="00703BF3">
              <w:rPr>
                <w:vertAlign w:val="superscript"/>
                <w:lang w:val="pt-BR"/>
              </w:rPr>
              <w:t>b</w:t>
            </w:r>
            <w:proofErr w:type="spellEnd"/>
            <w:r w:rsidR="00BB4750" w:rsidRPr="00703BF3">
              <w:rPr>
                <w:lang w:val="pt-BR"/>
              </w:rPr>
              <w:t xml:space="preserve"> (cm</w:t>
            </w:r>
            <w:r w:rsidR="00BB4750" w:rsidRPr="00703BF3">
              <w:rPr>
                <w:vertAlign w:val="superscript"/>
                <w:lang w:val="pt-BR"/>
              </w:rPr>
              <w:t>3</w:t>
            </w:r>
            <w:r w:rsidR="00BB4750" w:rsidRPr="00703BF3">
              <w:rPr>
                <w:lang w:val="pt-BR"/>
              </w:rPr>
              <w:t>/g)</w:t>
            </w:r>
          </w:p>
        </w:tc>
        <w:tc>
          <w:tcPr>
            <w:tcW w:w="1201" w:type="dxa"/>
          </w:tcPr>
          <w:p w14:paraId="11288890" w14:textId="77777777" w:rsidR="00BB4750" w:rsidRDefault="00BB4750" w:rsidP="0039056D">
            <w:pPr>
              <w:pStyle w:val="TCTableBody"/>
              <w:jc w:val="center"/>
              <w:rPr>
                <w:lang w:val="pt-BR"/>
              </w:rPr>
            </w:pPr>
            <w:r w:rsidRPr="00703BF3">
              <w:rPr>
                <w:lang w:val="pt-BR"/>
              </w:rPr>
              <w:t xml:space="preserve">Diâmetro médio de </w:t>
            </w:r>
            <w:proofErr w:type="spellStart"/>
            <w:r w:rsidRPr="00703BF3">
              <w:rPr>
                <w:lang w:val="pt-BR"/>
              </w:rPr>
              <w:t>poros</w:t>
            </w:r>
            <w:r w:rsidRPr="00703BF3">
              <w:rPr>
                <w:vertAlign w:val="superscript"/>
                <w:lang w:val="pt-BR"/>
              </w:rPr>
              <w:t>c</w:t>
            </w:r>
            <w:proofErr w:type="spellEnd"/>
            <w:r w:rsidRPr="00703BF3">
              <w:rPr>
                <w:lang w:val="pt-BR"/>
              </w:rPr>
              <w:t xml:space="preserve"> (</w:t>
            </w:r>
            <w:proofErr w:type="spellStart"/>
            <w:r w:rsidRPr="00703BF3">
              <w:rPr>
                <w:lang w:val="pt-BR"/>
              </w:rPr>
              <w:t>nm</w:t>
            </w:r>
            <w:proofErr w:type="spellEnd"/>
            <w:r w:rsidRPr="00703BF3">
              <w:rPr>
                <w:lang w:val="pt-BR"/>
              </w:rPr>
              <w:t>)</w:t>
            </w:r>
          </w:p>
        </w:tc>
      </w:tr>
      <w:tr w:rsidR="00BB4750" w:rsidRPr="00957156" w14:paraId="22148847" w14:textId="77777777" w:rsidTr="00FB05C7">
        <w:trPr>
          <w:trHeight w:val="113"/>
        </w:trPr>
        <w:tc>
          <w:tcPr>
            <w:tcW w:w="1696" w:type="dxa"/>
            <w:tcBorders>
              <w:bottom w:val="single" w:sz="6" w:space="0" w:color="auto"/>
            </w:tcBorders>
          </w:tcPr>
          <w:p w14:paraId="6E0CBFE4" w14:textId="77777777" w:rsidR="00BB4750" w:rsidRPr="004B7F76" w:rsidRDefault="00BB4750" w:rsidP="0039056D">
            <w:pPr>
              <w:pStyle w:val="TCTableBody"/>
              <w:jc w:val="center"/>
            </w:pPr>
            <w:r w:rsidRPr="004B7F76">
              <w:t>Co10Zn40Al50MoC</w:t>
            </w:r>
          </w:p>
        </w:tc>
        <w:tc>
          <w:tcPr>
            <w:tcW w:w="993" w:type="dxa"/>
            <w:tcBorders>
              <w:bottom w:val="single" w:sz="6" w:space="0" w:color="auto"/>
            </w:tcBorders>
          </w:tcPr>
          <w:p w14:paraId="7A2A8CD4" w14:textId="77777777" w:rsidR="00BB4750" w:rsidRDefault="00BB4750" w:rsidP="0039056D">
            <w:pPr>
              <w:pStyle w:val="TCTableBody"/>
              <w:jc w:val="center"/>
              <w:rPr>
                <w:lang w:val="pt-BR"/>
              </w:rPr>
            </w:pPr>
            <w:r w:rsidRPr="00373105">
              <w:t>12</w:t>
            </w:r>
          </w:p>
        </w:tc>
        <w:tc>
          <w:tcPr>
            <w:tcW w:w="914" w:type="dxa"/>
            <w:tcBorders>
              <w:bottom w:val="single" w:sz="6" w:space="0" w:color="auto"/>
            </w:tcBorders>
          </w:tcPr>
          <w:p w14:paraId="4D699CB9" w14:textId="77777777" w:rsidR="00BB4750" w:rsidRDefault="00BB4750" w:rsidP="0039056D">
            <w:pPr>
              <w:pStyle w:val="TCTableBody"/>
              <w:jc w:val="center"/>
              <w:rPr>
                <w:lang w:val="pt-BR"/>
              </w:rPr>
            </w:pPr>
            <w:r w:rsidRPr="00373105">
              <w:t>0,05</w:t>
            </w:r>
          </w:p>
        </w:tc>
        <w:tc>
          <w:tcPr>
            <w:tcW w:w="1201" w:type="dxa"/>
            <w:tcBorders>
              <w:bottom w:val="single" w:sz="6" w:space="0" w:color="auto"/>
            </w:tcBorders>
          </w:tcPr>
          <w:p w14:paraId="67AE3AD9" w14:textId="77777777" w:rsidR="00BB4750" w:rsidRDefault="00BB4750" w:rsidP="0039056D">
            <w:pPr>
              <w:pStyle w:val="TCTableBody"/>
              <w:jc w:val="center"/>
              <w:rPr>
                <w:lang w:val="pt-BR"/>
              </w:rPr>
            </w:pPr>
            <w:r w:rsidRPr="00373105">
              <w:t>14,9</w:t>
            </w:r>
          </w:p>
        </w:tc>
      </w:tr>
      <w:tr w:rsidR="00BB4750" w:rsidRPr="00957156" w14:paraId="43C2E7EB" w14:textId="77777777" w:rsidTr="00FB05C7">
        <w:trPr>
          <w:trHeight w:val="113"/>
        </w:trPr>
        <w:tc>
          <w:tcPr>
            <w:tcW w:w="1696" w:type="dxa"/>
            <w:tcBorders>
              <w:bottom w:val="single" w:sz="6" w:space="0" w:color="auto"/>
            </w:tcBorders>
          </w:tcPr>
          <w:p w14:paraId="08BCBF6C" w14:textId="77777777" w:rsidR="00BB4750" w:rsidRDefault="00BB4750" w:rsidP="0039056D">
            <w:pPr>
              <w:pStyle w:val="TCTableBody"/>
              <w:jc w:val="center"/>
              <w:rPr>
                <w:lang w:val="pt-BR"/>
              </w:rPr>
            </w:pPr>
            <w:r w:rsidRPr="004B7F76">
              <w:rPr>
                <w:lang w:val="pt-BR"/>
              </w:rPr>
              <w:t>Co20Zn30Al50MoC</w:t>
            </w:r>
          </w:p>
        </w:tc>
        <w:tc>
          <w:tcPr>
            <w:tcW w:w="993" w:type="dxa"/>
            <w:tcBorders>
              <w:bottom w:val="single" w:sz="6" w:space="0" w:color="auto"/>
            </w:tcBorders>
          </w:tcPr>
          <w:p w14:paraId="4C084B7B" w14:textId="77777777" w:rsidR="00BB4750" w:rsidRDefault="00BB4750" w:rsidP="0039056D">
            <w:pPr>
              <w:pStyle w:val="TCTableBody"/>
              <w:jc w:val="center"/>
              <w:rPr>
                <w:lang w:val="pt-BR"/>
              </w:rPr>
            </w:pPr>
            <w:r w:rsidRPr="00C413FA">
              <w:t>54</w:t>
            </w:r>
          </w:p>
        </w:tc>
        <w:tc>
          <w:tcPr>
            <w:tcW w:w="914" w:type="dxa"/>
            <w:tcBorders>
              <w:bottom w:val="single" w:sz="6" w:space="0" w:color="auto"/>
            </w:tcBorders>
          </w:tcPr>
          <w:p w14:paraId="75447ED4" w14:textId="77777777" w:rsidR="00BB4750" w:rsidRDefault="00BB4750" w:rsidP="0039056D">
            <w:pPr>
              <w:pStyle w:val="TCTableBody"/>
              <w:jc w:val="center"/>
              <w:rPr>
                <w:lang w:val="pt-BR"/>
              </w:rPr>
            </w:pPr>
            <w:r w:rsidRPr="00C413FA">
              <w:t>0,15</w:t>
            </w:r>
          </w:p>
        </w:tc>
        <w:tc>
          <w:tcPr>
            <w:tcW w:w="1201" w:type="dxa"/>
            <w:tcBorders>
              <w:bottom w:val="single" w:sz="6" w:space="0" w:color="auto"/>
            </w:tcBorders>
          </w:tcPr>
          <w:p w14:paraId="5FC2805A" w14:textId="77777777" w:rsidR="00BB4750" w:rsidRDefault="00BB4750" w:rsidP="0039056D">
            <w:pPr>
              <w:pStyle w:val="TCTableBody"/>
              <w:jc w:val="center"/>
              <w:rPr>
                <w:lang w:val="pt-BR"/>
              </w:rPr>
            </w:pPr>
            <w:r w:rsidRPr="00C413FA">
              <w:t>9,8</w:t>
            </w:r>
          </w:p>
        </w:tc>
      </w:tr>
      <w:tr w:rsidR="00BB4750" w:rsidRPr="00957156" w14:paraId="6513D021" w14:textId="77777777" w:rsidTr="00FB05C7">
        <w:trPr>
          <w:trHeight w:val="113"/>
        </w:trPr>
        <w:tc>
          <w:tcPr>
            <w:tcW w:w="1696" w:type="dxa"/>
            <w:tcBorders>
              <w:bottom w:val="single" w:sz="6" w:space="0" w:color="auto"/>
            </w:tcBorders>
          </w:tcPr>
          <w:p w14:paraId="2747F971" w14:textId="77777777" w:rsidR="00BB4750" w:rsidRDefault="00BB4750" w:rsidP="0039056D">
            <w:pPr>
              <w:pStyle w:val="TCTableBody"/>
              <w:jc w:val="center"/>
              <w:rPr>
                <w:lang w:val="pt-BR"/>
              </w:rPr>
            </w:pPr>
            <w:r w:rsidRPr="004B7F76">
              <w:rPr>
                <w:lang w:val="pt-BR"/>
              </w:rPr>
              <w:t>Co30Zn20Al50MoC</w:t>
            </w:r>
          </w:p>
        </w:tc>
        <w:tc>
          <w:tcPr>
            <w:tcW w:w="993" w:type="dxa"/>
            <w:tcBorders>
              <w:bottom w:val="single" w:sz="6" w:space="0" w:color="auto"/>
            </w:tcBorders>
          </w:tcPr>
          <w:p w14:paraId="0F391A14" w14:textId="77777777" w:rsidR="00BB4750" w:rsidRDefault="00BB4750" w:rsidP="0039056D">
            <w:pPr>
              <w:pStyle w:val="TCTableBody"/>
              <w:jc w:val="center"/>
              <w:rPr>
                <w:lang w:val="pt-BR"/>
              </w:rPr>
            </w:pPr>
            <w:r w:rsidRPr="005355E2">
              <w:t>30</w:t>
            </w:r>
          </w:p>
        </w:tc>
        <w:tc>
          <w:tcPr>
            <w:tcW w:w="914" w:type="dxa"/>
            <w:tcBorders>
              <w:bottom w:val="single" w:sz="6" w:space="0" w:color="auto"/>
            </w:tcBorders>
          </w:tcPr>
          <w:p w14:paraId="1CAA2352" w14:textId="77777777" w:rsidR="00BB4750" w:rsidRDefault="00BB4750" w:rsidP="0039056D">
            <w:pPr>
              <w:pStyle w:val="TCTableBody"/>
              <w:jc w:val="center"/>
              <w:rPr>
                <w:lang w:val="pt-BR"/>
              </w:rPr>
            </w:pPr>
            <w:r w:rsidRPr="005355E2">
              <w:t>0,07</w:t>
            </w:r>
          </w:p>
        </w:tc>
        <w:tc>
          <w:tcPr>
            <w:tcW w:w="1201" w:type="dxa"/>
            <w:tcBorders>
              <w:bottom w:val="single" w:sz="6" w:space="0" w:color="auto"/>
            </w:tcBorders>
          </w:tcPr>
          <w:p w14:paraId="4619C127" w14:textId="77777777" w:rsidR="00BB4750" w:rsidRDefault="00BB4750" w:rsidP="0039056D">
            <w:pPr>
              <w:pStyle w:val="TCTableBody"/>
              <w:jc w:val="center"/>
              <w:rPr>
                <w:lang w:val="pt-BR"/>
              </w:rPr>
            </w:pPr>
            <w:r w:rsidRPr="005355E2">
              <w:t>8,4</w:t>
            </w:r>
          </w:p>
        </w:tc>
      </w:tr>
      <w:tr w:rsidR="00BB4750" w:rsidRPr="00957156" w14:paraId="7011FD73" w14:textId="77777777" w:rsidTr="00FB05C7">
        <w:trPr>
          <w:trHeight w:val="113"/>
        </w:trPr>
        <w:tc>
          <w:tcPr>
            <w:tcW w:w="1696" w:type="dxa"/>
            <w:tcBorders>
              <w:bottom w:val="single" w:sz="6" w:space="0" w:color="auto"/>
            </w:tcBorders>
          </w:tcPr>
          <w:p w14:paraId="44246F75" w14:textId="77777777" w:rsidR="00BB4750" w:rsidRDefault="00BB4750" w:rsidP="0039056D">
            <w:pPr>
              <w:pStyle w:val="TCTableBody"/>
              <w:jc w:val="center"/>
              <w:rPr>
                <w:lang w:val="pt-BR"/>
              </w:rPr>
            </w:pPr>
            <w:r w:rsidRPr="005968AA">
              <w:rPr>
                <w:lang w:val="pt-BR"/>
              </w:rPr>
              <w:t>Co10Mn40Al50MoC</w:t>
            </w:r>
          </w:p>
        </w:tc>
        <w:tc>
          <w:tcPr>
            <w:tcW w:w="993" w:type="dxa"/>
            <w:tcBorders>
              <w:bottom w:val="single" w:sz="6" w:space="0" w:color="auto"/>
            </w:tcBorders>
          </w:tcPr>
          <w:p w14:paraId="44D4C3CE" w14:textId="77777777" w:rsidR="00BB4750" w:rsidRDefault="00BB4750" w:rsidP="0039056D">
            <w:pPr>
              <w:pStyle w:val="TCTableBody"/>
              <w:jc w:val="center"/>
              <w:rPr>
                <w:lang w:val="pt-BR"/>
              </w:rPr>
            </w:pPr>
            <w:r w:rsidRPr="006C0E6C">
              <w:t>211</w:t>
            </w:r>
          </w:p>
        </w:tc>
        <w:tc>
          <w:tcPr>
            <w:tcW w:w="914" w:type="dxa"/>
            <w:tcBorders>
              <w:bottom w:val="single" w:sz="6" w:space="0" w:color="auto"/>
            </w:tcBorders>
          </w:tcPr>
          <w:p w14:paraId="316889AF" w14:textId="77777777" w:rsidR="00BB4750" w:rsidRDefault="00BB4750" w:rsidP="0039056D">
            <w:pPr>
              <w:pStyle w:val="TCTableBody"/>
              <w:jc w:val="center"/>
              <w:rPr>
                <w:lang w:val="pt-BR"/>
              </w:rPr>
            </w:pPr>
            <w:r w:rsidRPr="006C0E6C">
              <w:t>0,27</w:t>
            </w:r>
          </w:p>
        </w:tc>
        <w:tc>
          <w:tcPr>
            <w:tcW w:w="1201" w:type="dxa"/>
            <w:tcBorders>
              <w:bottom w:val="single" w:sz="6" w:space="0" w:color="auto"/>
            </w:tcBorders>
          </w:tcPr>
          <w:p w14:paraId="1276BBDE" w14:textId="77777777" w:rsidR="00BB4750" w:rsidRDefault="00BB4750" w:rsidP="0039056D">
            <w:pPr>
              <w:pStyle w:val="TCTableBody"/>
              <w:jc w:val="center"/>
              <w:rPr>
                <w:lang w:val="pt-BR"/>
              </w:rPr>
            </w:pPr>
            <w:r w:rsidRPr="006C0E6C">
              <w:t>4,7</w:t>
            </w:r>
          </w:p>
        </w:tc>
      </w:tr>
      <w:tr w:rsidR="00BB4750" w:rsidRPr="00957156" w14:paraId="30BD9983" w14:textId="77777777" w:rsidTr="00FB05C7">
        <w:trPr>
          <w:trHeight w:val="113"/>
        </w:trPr>
        <w:tc>
          <w:tcPr>
            <w:tcW w:w="1696" w:type="dxa"/>
            <w:tcBorders>
              <w:bottom w:val="single" w:sz="6" w:space="0" w:color="auto"/>
            </w:tcBorders>
          </w:tcPr>
          <w:p w14:paraId="7D3521C1" w14:textId="77777777" w:rsidR="00BB4750" w:rsidRDefault="00BB4750" w:rsidP="0039056D">
            <w:pPr>
              <w:pStyle w:val="TCTableBody"/>
              <w:jc w:val="center"/>
              <w:rPr>
                <w:lang w:val="pt-BR"/>
              </w:rPr>
            </w:pPr>
            <w:r w:rsidRPr="005968AA">
              <w:rPr>
                <w:lang w:val="pt-BR"/>
              </w:rPr>
              <w:t>Co20Mn30Al50MoC</w:t>
            </w:r>
          </w:p>
        </w:tc>
        <w:tc>
          <w:tcPr>
            <w:tcW w:w="993" w:type="dxa"/>
            <w:tcBorders>
              <w:bottom w:val="single" w:sz="6" w:space="0" w:color="auto"/>
            </w:tcBorders>
          </w:tcPr>
          <w:p w14:paraId="7A5CE86A" w14:textId="77777777" w:rsidR="00BB4750" w:rsidRDefault="00BB4750" w:rsidP="0039056D">
            <w:pPr>
              <w:pStyle w:val="TCTableBody"/>
              <w:jc w:val="center"/>
              <w:rPr>
                <w:lang w:val="pt-BR"/>
              </w:rPr>
            </w:pPr>
            <w:r w:rsidRPr="000E05FC">
              <w:t>190</w:t>
            </w:r>
          </w:p>
        </w:tc>
        <w:tc>
          <w:tcPr>
            <w:tcW w:w="914" w:type="dxa"/>
            <w:tcBorders>
              <w:bottom w:val="single" w:sz="6" w:space="0" w:color="auto"/>
            </w:tcBorders>
          </w:tcPr>
          <w:p w14:paraId="594D1BB9" w14:textId="77777777" w:rsidR="00BB4750" w:rsidRDefault="00BB4750" w:rsidP="0039056D">
            <w:pPr>
              <w:pStyle w:val="TCTableBody"/>
              <w:jc w:val="center"/>
              <w:rPr>
                <w:lang w:val="pt-BR"/>
              </w:rPr>
            </w:pPr>
            <w:r w:rsidRPr="000E05FC">
              <w:t>0,26</w:t>
            </w:r>
          </w:p>
        </w:tc>
        <w:tc>
          <w:tcPr>
            <w:tcW w:w="1201" w:type="dxa"/>
            <w:tcBorders>
              <w:bottom w:val="single" w:sz="6" w:space="0" w:color="auto"/>
            </w:tcBorders>
          </w:tcPr>
          <w:p w14:paraId="7E2D73BA" w14:textId="77777777" w:rsidR="00BB4750" w:rsidRDefault="00BB4750" w:rsidP="0039056D">
            <w:pPr>
              <w:pStyle w:val="TCTableBody"/>
              <w:jc w:val="center"/>
              <w:rPr>
                <w:lang w:val="pt-BR"/>
              </w:rPr>
            </w:pPr>
            <w:r w:rsidRPr="000E05FC">
              <w:t>5,2</w:t>
            </w:r>
          </w:p>
        </w:tc>
      </w:tr>
      <w:tr w:rsidR="00BB4750" w:rsidRPr="00957156" w14:paraId="3F170264" w14:textId="77777777" w:rsidTr="00FB05C7">
        <w:trPr>
          <w:trHeight w:val="113"/>
        </w:trPr>
        <w:tc>
          <w:tcPr>
            <w:tcW w:w="1696" w:type="dxa"/>
            <w:tcBorders>
              <w:bottom w:val="single" w:sz="6" w:space="0" w:color="auto"/>
            </w:tcBorders>
          </w:tcPr>
          <w:p w14:paraId="74B702A4" w14:textId="77777777" w:rsidR="00BB4750" w:rsidRDefault="00BB4750" w:rsidP="0039056D">
            <w:pPr>
              <w:pStyle w:val="TCTableBody"/>
              <w:jc w:val="center"/>
              <w:rPr>
                <w:lang w:val="pt-BR"/>
              </w:rPr>
            </w:pPr>
            <w:r w:rsidRPr="005968AA">
              <w:rPr>
                <w:lang w:val="pt-BR"/>
              </w:rPr>
              <w:t>Co30Mn20Al50MoC</w:t>
            </w:r>
          </w:p>
        </w:tc>
        <w:tc>
          <w:tcPr>
            <w:tcW w:w="993" w:type="dxa"/>
            <w:tcBorders>
              <w:bottom w:val="single" w:sz="6" w:space="0" w:color="auto"/>
            </w:tcBorders>
          </w:tcPr>
          <w:p w14:paraId="2BED356E" w14:textId="77777777" w:rsidR="00BB4750" w:rsidRDefault="00BB4750" w:rsidP="0039056D">
            <w:pPr>
              <w:pStyle w:val="TCTableBody"/>
              <w:jc w:val="center"/>
              <w:rPr>
                <w:lang w:val="pt-BR"/>
              </w:rPr>
            </w:pPr>
            <w:r w:rsidRPr="0005718B">
              <w:t>111</w:t>
            </w:r>
          </w:p>
        </w:tc>
        <w:tc>
          <w:tcPr>
            <w:tcW w:w="914" w:type="dxa"/>
            <w:tcBorders>
              <w:bottom w:val="single" w:sz="6" w:space="0" w:color="auto"/>
            </w:tcBorders>
          </w:tcPr>
          <w:p w14:paraId="46278D82" w14:textId="77777777" w:rsidR="00BB4750" w:rsidRDefault="00BB4750" w:rsidP="0039056D">
            <w:pPr>
              <w:pStyle w:val="TCTableBody"/>
              <w:jc w:val="center"/>
              <w:rPr>
                <w:lang w:val="pt-BR"/>
              </w:rPr>
            </w:pPr>
            <w:r w:rsidRPr="0005718B">
              <w:t>0,18</w:t>
            </w:r>
          </w:p>
        </w:tc>
        <w:tc>
          <w:tcPr>
            <w:tcW w:w="1201" w:type="dxa"/>
            <w:tcBorders>
              <w:bottom w:val="single" w:sz="6" w:space="0" w:color="auto"/>
            </w:tcBorders>
          </w:tcPr>
          <w:p w14:paraId="766C982E" w14:textId="77777777" w:rsidR="00BB4750" w:rsidRDefault="00BB4750" w:rsidP="0039056D">
            <w:pPr>
              <w:pStyle w:val="TCTableBody"/>
              <w:jc w:val="center"/>
              <w:rPr>
                <w:lang w:val="pt-BR"/>
              </w:rPr>
            </w:pPr>
            <w:r w:rsidRPr="0005718B">
              <w:t>6,2</w:t>
            </w:r>
          </w:p>
        </w:tc>
      </w:tr>
      <w:tr w:rsidR="00BB4750" w:rsidRPr="00957156" w14:paraId="49F78F51" w14:textId="77777777" w:rsidTr="00FB05C7">
        <w:trPr>
          <w:trHeight w:val="113"/>
        </w:trPr>
        <w:tc>
          <w:tcPr>
            <w:tcW w:w="4804" w:type="dxa"/>
            <w:gridSpan w:val="4"/>
            <w:tcBorders>
              <w:top w:val="single" w:sz="6" w:space="0" w:color="auto"/>
              <w:left w:val="nil"/>
              <w:bottom w:val="nil"/>
              <w:right w:val="nil"/>
            </w:tcBorders>
          </w:tcPr>
          <w:p w14:paraId="70C37C89" w14:textId="1A819876" w:rsidR="00BB4750" w:rsidRPr="00F12C67" w:rsidRDefault="00BB4750" w:rsidP="0039056D">
            <w:pPr>
              <w:pStyle w:val="TCTableBody"/>
              <w:spacing w:after="0"/>
              <w:rPr>
                <w:rFonts w:ascii="Times New Roman" w:hAnsi="Times New Roman"/>
                <w:lang w:val="pt-BR"/>
              </w:rPr>
            </w:pPr>
            <w:proofErr w:type="gramStart"/>
            <w:r w:rsidRPr="00F12C67">
              <w:rPr>
                <w:rFonts w:ascii="Times New Roman" w:hAnsi="Times New Roman"/>
                <w:lang w:val="pt-BR"/>
              </w:rPr>
              <w:t>a</w:t>
            </w:r>
            <w:proofErr w:type="gramEnd"/>
            <w:r w:rsidRPr="00F12C67">
              <w:rPr>
                <w:rFonts w:ascii="Times New Roman" w:hAnsi="Times New Roman"/>
                <w:lang w:val="pt-BR"/>
              </w:rPr>
              <w:t xml:space="preserve">-Área específica medida, e calculada por método BET </w:t>
            </w:r>
            <w:r w:rsidR="00B232F1">
              <w:rPr>
                <w:rFonts w:ascii="Times New Roman" w:hAnsi="Times New Roman"/>
                <w:noProof/>
                <w:lang w:val="pt-BR"/>
              </w:rPr>
              <w:t>(</w:t>
            </w:r>
            <w:r w:rsidR="00F9411B" w:rsidRPr="005D7FA3">
              <w:rPr>
                <w:rFonts w:ascii="Times New Roman" w:hAnsi="Times New Roman"/>
                <w:noProof/>
                <w:color w:val="000000" w:themeColor="text1"/>
                <w:lang w:val="pt-BR"/>
              </w:rPr>
              <w:t>21</w:t>
            </w:r>
            <w:r w:rsidR="00B232F1">
              <w:rPr>
                <w:rFonts w:ascii="Times New Roman" w:hAnsi="Times New Roman"/>
                <w:noProof/>
                <w:lang w:val="pt-BR"/>
              </w:rPr>
              <w:t>)</w:t>
            </w:r>
          </w:p>
          <w:p w14:paraId="168D752E" w14:textId="611480AF" w:rsidR="00BB4750" w:rsidRPr="00F12C67" w:rsidRDefault="00BB4750" w:rsidP="0039056D">
            <w:pPr>
              <w:pStyle w:val="TCTableBody"/>
              <w:spacing w:after="0"/>
              <w:rPr>
                <w:rFonts w:ascii="Times New Roman" w:hAnsi="Times New Roman"/>
                <w:noProof/>
                <w:lang w:val="pt-BR"/>
              </w:rPr>
            </w:pPr>
            <w:proofErr w:type="gramStart"/>
            <w:r w:rsidRPr="00F12C67">
              <w:rPr>
                <w:rFonts w:ascii="Times New Roman" w:hAnsi="Times New Roman"/>
                <w:lang w:val="pt-BR"/>
              </w:rPr>
              <w:t>b</w:t>
            </w:r>
            <w:proofErr w:type="gramEnd"/>
            <w:r w:rsidRPr="00F12C67">
              <w:rPr>
                <w:rFonts w:ascii="Times New Roman" w:hAnsi="Times New Roman"/>
                <w:lang w:val="pt-BR"/>
              </w:rPr>
              <w:t xml:space="preserve">-Volume de poros obtido no ramo de </w:t>
            </w:r>
            <w:proofErr w:type="spellStart"/>
            <w:r w:rsidRPr="00F12C67">
              <w:rPr>
                <w:rFonts w:ascii="Times New Roman" w:hAnsi="Times New Roman"/>
                <w:lang w:val="pt-BR"/>
              </w:rPr>
              <w:t>de</w:t>
            </w:r>
            <w:r>
              <w:rPr>
                <w:rFonts w:ascii="Times New Roman" w:hAnsi="Times New Roman"/>
                <w:lang w:val="pt-BR"/>
              </w:rPr>
              <w:t>ssorção</w:t>
            </w:r>
            <w:proofErr w:type="spellEnd"/>
            <w:r>
              <w:rPr>
                <w:rFonts w:ascii="Times New Roman" w:hAnsi="Times New Roman"/>
                <w:lang w:val="pt-BR"/>
              </w:rPr>
              <w:t xml:space="preserve"> pelo método BJH </w:t>
            </w:r>
            <w:r w:rsidR="00B232F1">
              <w:rPr>
                <w:rFonts w:ascii="Times New Roman" w:hAnsi="Times New Roman"/>
                <w:noProof/>
                <w:lang w:val="pt-BR"/>
              </w:rPr>
              <w:t>(</w:t>
            </w:r>
            <w:r w:rsidR="00F9411B" w:rsidRPr="005D7FA3">
              <w:rPr>
                <w:rFonts w:ascii="Times New Roman" w:hAnsi="Times New Roman"/>
                <w:noProof/>
                <w:color w:val="000000" w:themeColor="text1"/>
                <w:lang w:val="pt-BR"/>
              </w:rPr>
              <w:t>22</w:t>
            </w:r>
            <w:r w:rsidR="00B232F1">
              <w:rPr>
                <w:rFonts w:ascii="Times New Roman" w:hAnsi="Times New Roman"/>
                <w:noProof/>
                <w:lang w:val="pt-BR"/>
              </w:rPr>
              <w:t>)</w:t>
            </w:r>
            <w:r>
              <w:rPr>
                <w:rFonts w:ascii="Times New Roman" w:hAnsi="Times New Roman"/>
                <w:lang w:val="pt-BR"/>
              </w:rPr>
              <w:t>.</w:t>
            </w:r>
          </w:p>
          <w:p w14:paraId="4BD51E48" w14:textId="77777777" w:rsidR="00BB4750" w:rsidRPr="00E038AF" w:rsidRDefault="00BB4750" w:rsidP="00C20133">
            <w:pPr>
              <w:pStyle w:val="TCTableBody"/>
              <w:spacing w:after="120"/>
              <w:rPr>
                <w:rFonts w:ascii="Times New Roman" w:hAnsi="Times New Roman"/>
                <w:lang w:val="pt-BR"/>
              </w:rPr>
            </w:pPr>
            <w:proofErr w:type="gramStart"/>
            <w:r w:rsidRPr="00F12C67">
              <w:rPr>
                <w:rFonts w:ascii="Times New Roman" w:hAnsi="Times New Roman"/>
                <w:lang w:val="pt-BR"/>
              </w:rPr>
              <w:t>c</w:t>
            </w:r>
            <w:proofErr w:type="gramEnd"/>
            <w:r w:rsidRPr="00F12C67">
              <w:rPr>
                <w:rFonts w:ascii="Times New Roman" w:hAnsi="Times New Roman"/>
                <w:lang w:val="pt-BR"/>
              </w:rPr>
              <w:t>-Diâmetro médio de poros medido pela relação 4V/A por BET.</w:t>
            </w:r>
          </w:p>
        </w:tc>
      </w:tr>
    </w:tbl>
    <w:p w14:paraId="359E4552" w14:textId="51292B87" w:rsidR="008D05C4" w:rsidRDefault="008D05C4" w:rsidP="00E41A10">
      <w:pPr>
        <w:spacing w:line="240" w:lineRule="auto"/>
        <w:ind w:firstLine="708"/>
        <w:jc w:val="both"/>
        <w:rPr>
          <w:rFonts w:ascii="Times New Roman" w:hAnsi="Times New Roman"/>
          <w:sz w:val="20"/>
          <w:szCs w:val="20"/>
        </w:rPr>
      </w:pPr>
      <w:r w:rsidRPr="008D05C4">
        <w:rPr>
          <w:rFonts w:ascii="Times New Roman" w:hAnsi="Times New Roman"/>
          <w:sz w:val="20"/>
          <w:szCs w:val="20"/>
        </w:rPr>
        <w:t xml:space="preserve">Os valores de </w:t>
      </w:r>
      <w:r w:rsidRPr="008D05C4">
        <w:rPr>
          <w:rFonts w:ascii="Times New Roman" w:hAnsi="Times New Roman"/>
          <w:i/>
          <w:iCs/>
          <w:sz w:val="20"/>
          <w:szCs w:val="20"/>
        </w:rPr>
        <w:t>x</w:t>
      </w:r>
      <w:r w:rsidRPr="008D05C4">
        <w:rPr>
          <w:rFonts w:ascii="Times New Roman" w:hAnsi="Times New Roman"/>
          <w:sz w:val="20"/>
          <w:szCs w:val="20"/>
        </w:rPr>
        <w:t xml:space="preserve"> e </w:t>
      </w:r>
      <w:r w:rsidRPr="008D05C4">
        <w:rPr>
          <w:rFonts w:ascii="Times New Roman" w:hAnsi="Times New Roman"/>
          <w:i/>
          <w:iCs/>
          <w:sz w:val="20"/>
          <w:szCs w:val="20"/>
        </w:rPr>
        <w:t>y</w:t>
      </w:r>
      <w:r w:rsidRPr="008D05C4">
        <w:rPr>
          <w:rFonts w:ascii="Times New Roman" w:hAnsi="Times New Roman"/>
          <w:sz w:val="20"/>
          <w:szCs w:val="20"/>
        </w:rPr>
        <w:t xml:space="preserve"> calculados</w:t>
      </w:r>
      <w:r w:rsidR="00F80798">
        <w:rPr>
          <w:rFonts w:ascii="Times New Roman" w:hAnsi="Times New Roman"/>
          <w:sz w:val="20"/>
          <w:szCs w:val="20"/>
        </w:rPr>
        <w:t xml:space="preserve"> a partir</w:t>
      </w:r>
      <w:r>
        <w:rPr>
          <w:rFonts w:ascii="Times New Roman" w:hAnsi="Times New Roman"/>
          <w:sz w:val="20"/>
          <w:szCs w:val="20"/>
        </w:rPr>
        <w:t xml:space="preserve"> da quantificação dos metais por ICP-OES</w:t>
      </w:r>
      <w:r w:rsidRPr="008D05C4">
        <w:rPr>
          <w:rFonts w:ascii="Times New Roman" w:hAnsi="Times New Roman"/>
          <w:sz w:val="20"/>
          <w:szCs w:val="20"/>
        </w:rPr>
        <w:t xml:space="preserve"> e listados na Tabela </w:t>
      </w:r>
      <w:r>
        <w:rPr>
          <w:rFonts w:ascii="Times New Roman" w:hAnsi="Times New Roman"/>
          <w:sz w:val="20"/>
          <w:szCs w:val="20"/>
        </w:rPr>
        <w:t>2</w:t>
      </w:r>
      <w:r w:rsidRPr="008D05C4">
        <w:rPr>
          <w:rFonts w:ascii="Times New Roman" w:hAnsi="Times New Roman"/>
          <w:sz w:val="20"/>
          <w:szCs w:val="20"/>
        </w:rPr>
        <w:t xml:space="preserve"> mostram um desvio em relação aos valores propostos na síntese das </w:t>
      </w:r>
      <w:proofErr w:type="spellStart"/>
      <w:r w:rsidRPr="008D05C4">
        <w:rPr>
          <w:rFonts w:ascii="Times New Roman" w:hAnsi="Times New Roman"/>
          <w:sz w:val="20"/>
          <w:szCs w:val="20"/>
        </w:rPr>
        <w:t>hidrotalcitas</w:t>
      </w:r>
      <w:proofErr w:type="spellEnd"/>
      <w:r w:rsidRPr="008D05C4">
        <w:rPr>
          <w:rFonts w:ascii="Times New Roman" w:hAnsi="Times New Roman"/>
          <w:sz w:val="20"/>
          <w:szCs w:val="20"/>
        </w:rPr>
        <w:t xml:space="preserve">, </w:t>
      </w:r>
      <w:r>
        <w:rPr>
          <w:rFonts w:ascii="Times New Roman" w:hAnsi="Times New Roman"/>
          <w:sz w:val="20"/>
          <w:szCs w:val="20"/>
        </w:rPr>
        <w:t xml:space="preserve">cujos valores são iguais a </w:t>
      </w:r>
      <w:r w:rsidRPr="008D05C4">
        <w:rPr>
          <w:rFonts w:ascii="Times New Roman" w:hAnsi="Times New Roman"/>
          <w:i/>
          <w:sz w:val="20"/>
          <w:szCs w:val="20"/>
        </w:rPr>
        <w:t>x</w:t>
      </w:r>
      <w:r w:rsidRPr="008D05C4">
        <w:rPr>
          <w:rFonts w:ascii="Times New Roman" w:hAnsi="Times New Roman"/>
          <w:sz w:val="20"/>
          <w:szCs w:val="20"/>
        </w:rPr>
        <w:t xml:space="preserve"> = 0,5 e </w:t>
      </w:r>
      <w:r w:rsidRPr="008D05C4">
        <w:rPr>
          <w:rFonts w:ascii="Times New Roman" w:hAnsi="Times New Roman"/>
          <w:i/>
          <w:sz w:val="20"/>
          <w:szCs w:val="20"/>
        </w:rPr>
        <w:t>y</w:t>
      </w:r>
      <w:r w:rsidRPr="008D05C4">
        <w:rPr>
          <w:rFonts w:ascii="Times New Roman" w:hAnsi="Times New Roman"/>
          <w:sz w:val="20"/>
          <w:szCs w:val="20"/>
        </w:rPr>
        <w:t xml:space="preserve"> = 0,2; 0,4 e 0,6 para as amostras das duas. É</w:t>
      </w:r>
      <w:r w:rsidR="009522DE">
        <w:rPr>
          <w:rFonts w:ascii="Times New Roman" w:hAnsi="Times New Roman"/>
          <w:sz w:val="20"/>
          <w:szCs w:val="20"/>
        </w:rPr>
        <w:t xml:space="preserve"> possível que possa ter ocorrido</w:t>
      </w:r>
      <w:r w:rsidRPr="008D05C4">
        <w:rPr>
          <w:rFonts w:ascii="Times New Roman" w:hAnsi="Times New Roman"/>
          <w:sz w:val="20"/>
          <w:szCs w:val="20"/>
        </w:rPr>
        <w:t xml:space="preserve"> a lixiviação de algum metal durante e processo de troca</w:t>
      </w:r>
      <w:r w:rsidR="006430FF">
        <w:rPr>
          <w:rFonts w:ascii="Times New Roman" w:hAnsi="Times New Roman"/>
          <w:sz w:val="20"/>
          <w:szCs w:val="20"/>
        </w:rPr>
        <w:t xml:space="preserve"> iônica</w:t>
      </w:r>
      <w:r w:rsidRPr="008D05C4">
        <w:rPr>
          <w:rFonts w:ascii="Times New Roman" w:hAnsi="Times New Roman"/>
          <w:sz w:val="20"/>
          <w:szCs w:val="20"/>
        </w:rPr>
        <w:t xml:space="preserve">, nesse sentido, para o melhor entendimento, novas análises por ICP-OES serão realizadas </w:t>
      </w:r>
      <w:r w:rsidRPr="008D05C4">
        <w:rPr>
          <w:rFonts w:ascii="Times New Roman" w:hAnsi="Times New Roman"/>
          <w:sz w:val="20"/>
          <w:szCs w:val="20"/>
        </w:rPr>
        <w:lastRenderedPageBreak/>
        <w:t>para os óxidos calcinados anterior a troca iônica. Dessa maneira, será possível verificar se os valores nominais são correspondentes aos valores encontrados na formação dos precursores.</w:t>
      </w:r>
    </w:p>
    <w:p w14:paraId="472963FA" w14:textId="33DFC10F" w:rsidR="00BB4750" w:rsidRPr="00C2126F" w:rsidRDefault="00BB4750" w:rsidP="00C20133">
      <w:pPr>
        <w:pStyle w:val="VDTableTitle"/>
        <w:spacing w:after="40"/>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551CCB">
        <w:rPr>
          <w:rFonts w:ascii="Times New Roman" w:hAnsi="Times New Roman"/>
          <w:lang w:val="pt-BR"/>
        </w:rPr>
        <w:t>Resultado</w:t>
      </w:r>
      <w:r w:rsidR="0093654C" w:rsidRPr="0093654C">
        <w:rPr>
          <w:rFonts w:ascii="Times New Roman" w:hAnsi="Times New Roman"/>
          <w:lang w:val="pt-BR"/>
        </w:rPr>
        <w:t xml:space="preserve"> d</w:t>
      </w:r>
      <w:r w:rsidR="00551CCB">
        <w:rPr>
          <w:rFonts w:ascii="Times New Roman" w:hAnsi="Times New Roman"/>
          <w:lang w:val="pt-BR"/>
        </w:rPr>
        <w:t xml:space="preserve">a análise elementar por ICP-OES, valores de </w:t>
      </w:r>
      <w:r w:rsidR="00551CCB" w:rsidRPr="00551CCB">
        <w:rPr>
          <w:rFonts w:ascii="Times New Roman" w:hAnsi="Times New Roman"/>
          <w:i/>
          <w:lang w:val="pt-BR"/>
        </w:rPr>
        <w:t>x</w:t>
      </w:r>
      <w:r w:rsidR="00551CCB">
        <w:rPr>
          <w:rFonts w:ascii="Times New Roman" w:hAnsi="Times New Roman"/>
          <w:lang w:val="pt-BR"/>
        </w:rPr>
        <w:t xml:space="preserve"> e </w:t>
      </w:r>
      <w:r w:rsidR="00551CCB" w:rsidRPr="00551CCB">
        <w:rPr>
          <w:rFonts w:ascii="Times New Roman" w:hAnsi="Times New Roman"/>
          <w:i/>
          <w:lang w:val="pt-BR"/>
        </w:rPr>
        <w:t>y</w:t>
      </w:r>
      <w:r w:rsidR="00551CCB">
        <w:rPr>
          <w:rFonts w:ascii="Times New Roman" w:hAnsi="Times New Roman"/>
          <w:lang w:val="pt-BR"/>
        </w:rPr>
        <w:t xml:space="preserve"> e relação molar </w:t>
      </w:r>
      <w:proofErr w:type="spellStart"/>
      <w:r w:rsidR="00551CCB">
        <w:rPr>
          <w:rFonts w:ascii="Times New Roman" w:hAnsi="Times New Roman"/>
          <w:lang w:val="pt-BR"/>
        </w:rPr>
        <w:t>Co</w:t>
      </w:r>
      <w:proofErr w:type="spellEnd"/>
      <w:r w:rsidR="00551CCB">
        <w:rPr>
          <w:rFonts w:ascii="Times New Roman" w:hAnsi="Times New Roman"/>
          <w:lang w:val="pt-BR"/>
        </w:rPr>
        <w:t>/</w:t>
      </w:r>
      <w:proofErr w:type="spellStart"/>
      <w:r w:rsidR="00551CCB">
        <w:rPr>
          <w:rFonts w:ascii="Times New Roman" w:hAnsi="Times New Roman"/>
          <w:lang w:val="pt-BR"/>
        </w:rPr>
        <w:t>Mo</w:t>
      </w:r>
      <w:proofErr w:type="spellEnd"/>
      <w:r w:rsidR="00551CCB">
        <w:rPr>
          <w:rFonts w:ascii="Times New Roman" w:hAnsi="Times New Roman"/>
          <w:lang w:val="pt-BR"/>
        </w:rPr>
        <w:t xml:space="preserve"> </w:t>
      </w:r>
      <w:r w:rsidR="0093654C" w:rsidRPr="0093654C">
        <w:rPr>
          <w:rFonts w:ascii="Times New Roman" w:hAnsi="Times New Roman"/>
          <w:lang w:val="pt-BR"/>
        </w:rPr>
        <w:t xml:space="preserve">dos óxidos das séries </w:t>
      </w:r>
      <w:proofErr w:type="spellStart"/>
      <w:r w:rsidR="0093654C" w:rsidRPr="0093654C">
        <w:rPr>
          <w:rFonts w:ascii="Times New Roman" w:hAnsi="Times New Roman"/>
          <w:lang w:val="pt-BR"/>
        </w:rPr>
        <w:t>CoZnAlMoC</w:t>
      </w:r>
      <w:proofErr w:type="spellEnd"/>
      <w:r w:rsidR="0093654C" w:rsidRPr="0093654C">
        <w:rPr>
          <w:rFonts w:ascii="Times New Roman" w:hAnsi="Times New Roman"/>
          <w:lang w:val="pt-BR"/>
        </w:rPr>
        <w:t xml:space="preserve"> e </w:t>
      </w:r>
      <w:proofErr w:type="spellStart"/>
      <w:r w:rsidR="0093654C" w:rsidRPr="0093654C">
        <w:rPr>
          <w:rFonts w:ascii="Times New Roman" w:hAnsi="Times New Roman"/>
          <w:lang w:val="pt-BR"/>
        </w:rPr>
        <w:t>CoMnAlMoC</w:t>
      </w:r>
      <w:proofErr w:type="spellEnd"/>
      <w:r w:rsidR="00C20133">
        <w:rPr>
          <w:rFonts w:ascii="Times New Roman" w:hAnsi="Times New Roman"/>
          <w:lang w:val="pt-BR"/>
        </w:rPr>
        <w:t>.</w:t>
      </w:r>
    </w:p>
    <w:tbl>
      <w:tblPr>
        <w:tblW w:w="50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1"/>
        <w:gridCol w:w="545"/>
        <w:gridCol w:w="796"/>
        <w:gridCol w:w="532"/>
        <w:gridCol w:w="492"/>
        <w:gridCol w:w="704"/>
      </w:tblGrid>
      <w:tr w:rsidR="00551CCB" w:rsidRPr="00072C7A" w14:paraId="4230C376" w14:textId="77777777" w:rsidTr="00FB05C7">
        <w:trPr>
          <w:trHeight w:val="170"/>
        </w:trPr>
        <w:tc>
          <w:tcPr>
            <w:tcW w:w="1776" w:type="pct"/>
          </w:tcPr>
          <w:p w14:paraId="19ED4C15" w14:textId="77777777" w:rsidR="00551CCB" w:rsidRDefault="00551CCB" w:rsidP="00551CCB">
            <w:pPr>
              <w:pStyle w:val="TCTableBody"/>
              <w:jc w:val="center"/>
              <w:rPr>
                <w:lang w:val="pt-BR"/>
              </w:rPr>
            </w:pPr>
            <w:r>
              <w:rPr>
                <w:lang w:val="pt-BR"/>
              </w:rPr>
              <w:t>Amostras</w:t>
            </w:r>
          </w:p>
        </w:tc>
        <w:tc>
          <w:tcPr>
            <w:tcW w:w="572" w:type="pct"/>
            <w:vAlign w:val="center"/>
          </w:tcPr>
          <w:p w14:paraId="3F8C8870" w14:textId="7BC6AED5" w:rsidR="00551CCB" w:rsidRPr="00107B66" w:rsidRDefault="00551CCB" w:rsidP="00107B66">
            <w:pPr>
              <w:pStyle w:val="TCTableBody"/>
              <w:jc w:val="center"/>
              <w:rPr>
                <w:rFonts w:ascii="Times New Roman" w:hAnsi="Times New Roman"/>
                <w:szCs w:val="18"/>
                <w:lang w:val="pt-BR"/>
              </w:rPr>
            </w:pPr>
            <w:r w:rsidRPr="00107B66">
              <w:rPr>
                <w:rFonts w:ascii="Times New Roman" w:hAnsi="Times New Roman"/>
                <w:szCs w:val="18"/>
              </w:rPr>
              <w:t>Mo</w:t>
            </w:r>
            <w:r w:rsidRPr="00107B66">
              <w:rPr>
                <w:rFonts w:ascii="Times New Roman" w:hAnsi="Times New Roman"/>
                <w:szCs w:val="18"/>
                <w:vertAlign w:val="superscript"/>
              </w:rPr>
              <w:t>a</w:t>
            </w:r>
          </w:p>
        </w:tc>
        <w:tc>
          <w:tcPr>
            <w:tcW w:w="893" w:type="pct"/>
            <w:vAlign w:val="center"/>
          </w:tcPr>
          <w:p w14:paraId="0D5AFD1E" w14:textId="102E2C39" w:rsidR="00551CCB" w:rsidRPr="00107B66" w:rsidRDefault="00551CCB" w:rsidP="00107B66">
            <w:pPr>
              <w:pStyle w:val="TCTableBody"/>
              <w:jc w:val="center"/>
              <w:rPr>
                <w:rFonts w:ascii="Times New Roman" w:hAnsi="Times New Roman"/>
                <w:szCs w:val="18"/>
                <w:lang w:val="pt-BR"/>
              </w:rPr>
            </w:pPr>
            <w:r w:rsidRPr="00107B66">
              <w:rPr>
                <w:rFonts w:ascii="Times New Roman" w:hAnsi="Times New Roman"/>
                <w:szCs w:val="18"/>
              </w:rPr>
              <w:t>Mo</w:t>
            </w:r>
            <w:r w:rsidRPr="00107B66">
              <w:rPr>
                <w:rFonts w:ascii="Times New Roman" w:hAnsi="Times New Roman"/>
                <w:szCs w:val="18"/>
                <w:vertAlign w:val="superscript"/>
              </w:rPr>
              <w:t>b</w:t>
            </w:r>
          </w:p>
        </w:tc>
        <w:tc>
          <w:tcPr>
            <w:tcW w:w="478" w:type="pct"/>
            <w:vAlign w:val="center"/>
          </w:tcPr>
          <w:p w14:paraId="6B927170" w14:textId="257544C7" w:rsidR="00551CCB" w:rsidRPr="00107B66" w:rsidRDefault="00687566" w:rsidP="00107B66">
            <w:pPr>
              <w:pStyle w:val="TCTableBody"/>
              <w:jc w:val="center"/>
              <w:rPr>
                <w:rFonts w:ascii="Times New Roman" w:hAnsi="Times New Roman"/>
                <w:szCs w:val="18"/>
                <w:lang w:val="pt-BR"/>
              </w:rPr>
            </w:pPr>
            <w:r w:rsidRPr="00107B66">
              <w:rPr>
                <w:rFonts w:ascii="Times New Roman" w:hAnsi="Times New Roman"/>
                <w:i/>
                <w:szCs w:val="18"/>
              </w:rPr>
              <w:t>x</w:t>
            </w:r>
            <w:r w:rsidRPr="00107B66">
              <w:rPr>
                <w:rFonts w:ascii="Times New Roman" w:hAnsi="Times New Roman"/>
                <w:i/>
                <w:szCs w:val="18"/>
                <w:vertAlign w:val="superscript"/>
              </w:rPr>
              <w:t>c</w:t>
            </w:r>
          </w:p>
        </w:tc>
        <w:tc>
          <w:tcPr>
            <w:tcW w:w="478" w:type="pct"/>
            <w:vAlign w:val="center"/>
          </w:tcPr>
          <w:p w14:paraId="6C16D417" w14:textId="3C79CAC7" w:rsidR="00551CCB" w:rsidRPr="00107B66" w:rsidRDefault="00687566" w:rsidP="00107B66">
            <w:pPr>
              <w:pStyle w:val="TCTableBody"/>
              <w:jc w:val="center"/>
              <w:rPr>
                <w:rFonts w:ascii="Times New Roman" w:hAnsi="Times New Roman"/>
                <w:szCs w:val="18"/>
                <w:lang w:val="pt-BR"/>
              </w:rPr>
            </w:pPr>
            <w:proofErr w:type="gramStart"/>
            <w:r w:rsidRPr="00107B66">
              <w:rPr>
                <w:rFonts w:ascii="Times New Roman" w:hAnsi="Times New Roman"/>
                <w:i/>
                <w:szCs w:val="18"/>
                <w:lang w:val="pt-BR"/>
              </w:rPr>
              <w:t>y</w:t>
            </w:r>
            <w:r w:rsidRPr="00107B66">
              <w:rPr>
                <w:rFonts w:ascii="Times New Roman" w:hAnsi="Times New Roman"/>
                <w:i/>
                <w:szCs w:val="18"/>
                <w:vertAlign w:val="superscript"/>
                <w:lang w:val="pt-BR"/>
              </w:rPr>
              <w:t>d</w:t>
            </w:r>
            <w:proofErr w:type="gramEnd"/>
          </w:p>
        </w:tc>
        <w:tc>
          <w:tcPr>
            <w:tcW w:w="803" w:type="pct"/>
            <w:vAlign w:val="center"/>
          </w:tcPr>
          <w:p w14:paraId="42D360AE" w14:textId="13E916C0" w:rsidR="00551CCB" w:rsidRPr="00107B66" w:rsidRDefault="00107B66" w:rsidP="00107B66">
            <w:pPr>
              <w:pStyle w:val="TCTableBody"/>
              <w:jc w:val="center"/>
              <w:rPr>
                <w:rFonts w:ascii="Times New Roman" w:hAnsi="Times New Roman"/>
                <w:szCs w:val="18"/>
              </w:rPr>
            </w:pPr>
            <w:r w:rsidRPr="00107B66">
              <w:rPr>
                <w:rFonts w:ascii="Times New Roman" w:hAnsi="Times New Roman"/>
                <w:szCs w:val="18"/>
              </w:rPr>
              <w:t>Co/Mo</w:t>
            </w:r>
            <w:r w:rsidRPr="00107B66">
              <w:rPr>
                <w:rFonts w:ascii="Times New Roman" w:hAnsi="Times New Roman"/>
                <w:szCs w:val="18"/>
                <w:vertAlign w:val="superscript"/>
              </w:rPr>
              <w:t>e</w:t>
            </w:r>
          </w:p>
        </w:tc>
      </w:tr>
      <w:tr w:rsidR="00107B66" w:rsidRPr="00072C7A" w14:paraId="6AE18C63" w14:textId="77777777" w:rsidTr="00FB05C7">
        <w:trPr>
          <w:trHeight w:val="170"/>
        </w:trPr>
        <w:tc>
          <w:tcPr>
            <w:tcW w:w="1776" w:type="pct"/>
            <w:tcBorders>
              <w:bottom w:val="single" w:sz="6" w:space="0" w:color="auto"/>
            </w:tcBorders>
          </w:tcPr>
          <w:p w14:paraId="63C74DF2" w14:textId="77777777" w:rsidR="00107B66" w:rsidRPr="004B7F76" w:rsidRDefault="00107B66" w:rsidP="00107B66">
            <w:pPr>
              <w:pStyle w:val="TCTableBody"/>
              <w:jc w:val="center"/>
            </w:pPr>
            <w:r w:rsidRPr="004B7F76">
              <w:t>Co10Zn40Al50MoC</w:t>
            </w:r>
          </w:p>
        </w:tc>
        <w:tc>
          <w:tcPr>
            <w:tcW w:w="479" w:type="pct"/>
            <w:tcBorders>
              <w:bottom w:val="single" w:sz="6" w:space="0" w:color="auto"/>
            </w:tcBorders>
          </w:tcPr>
          <w:p w14:paraId="70063313" w14:textId="3B148835" w:rsidR="00107B66" w:rsidRDefault="00107B66" w:rsidP="00107B66">
            <w:pPr>
              <w:pStyle w:val="TCTableBody"/>
              <w:jc w:val="center"/>
              <w:rPr>
                <w:lang w:val="pt-BR"/>
              </w:rPr>
            </w:pPr>
            <w:r w:rsidRPr="005929EE">
              <w:rPr>
                <w:rFonts w:ascii="Times New Roman" w:hAnsi="Times New Roman"/>
              </w:rPr>
              <w:t>28,67</w:t>
            </w:r>
          </w:p>
        </w:tc>
        <w:tc>
          <w:tcPr>
            <w:tcW w:w="495" w:type="pct"/>
            <w:tcBorders>
              <w:bottom w:val="single" w:sz="6" w:space="0" w:color="auto"/>
            </w:tcBorders>
          </w:tcPr>
          <w:p w14:paraId="38E24AE7" w14:textId="1DBA3232" w:rsidR="00107B66" w:rsidRDefault="00107B66" w:rsidP="00107B66">
            <w:pPr>
              <w:pStyle w:val="TCTableBody"/>
              <w:jc w:val="center"/>
              <w:rPr>
                <w:lang w:val="pt-BR"/>
              </w:rPr>
            </w:pPr>
            <w:r w:rsidRPr="005929EE">
              <w:rPr>
                <w:rFonts w:ascii="Times New Roman" w:hAnsi="Times New Roman"/>
              </w:rPr>
              <w:t>33,41</w:t>
            </w:r>
          </w:p>
        </w:tc>
        <w:tc>
          <w:tcPr>
            <w:tcW w:w="616" w:type="pct"/>
            <w:tcBorders>
              <w:bottom w:val="single" w:sz="6" w:space="0" w:color="auto"/>
            </w:tcBorders>
          </w:tcPr>
          <w:p w14:paraId="5C604214" w14:textId="7690C066" w:rsidR="00107B66" w:rsidRDefault="00107B66" w:rsidP="00107B66">
            <w:pPr>
              <w:pStyle w:val="TCTableBody"/>
              <w:jc w:val="center"/>
              <w:rPr>
                <w:lang w:val="pt-BR"/>
              </w:rPr>
            </w:pPr>
            <w:r w:rsidRPr="005929EE">
              <w:rPr>
                <w:rFonts w:ascii="Times New Roman" w:hAnsi="Times New Roman"/>
              </w:rPr>
              <w:t>0,67</w:t>
            </w:r>
          </w:p>
        </w:tc>
        <w:tc>
          <w:tcPr>
            <w:tcW w:w="572" w:type="pct"/>
            <w:tcBorders>
              <w:bottom w:val="single" w:sz="6" w:space="0" w:color="auto"/>
            </w:tcBorders>
          </w:tcPr>
          <w:p w14:paraId="73D3E203" w14:textId="13365271" w:rsidR="00107B66" w:rsidRDefault="00107B66" w:rsidP="00107B66">
            <w:pPr>
              <w:pStyle w:val="TCTableBody"/>
              <w:jc w:val="center"/>
              <w:rPr>
                <w:lang w:val="pt-BR"/>
              </w:rPr>
            </w:pPr>
            <w:r w:rsidRPr="005929EE">
              <w:rPr>
                <w:rFonts w:ascii="Times New Roman" w:hAnsi="Times New Roman"/>
              </w:rPr>
              <w:t>0,14</w:t>
            </w:r>
          </w:p>
        </w:tc>
        <w:tc>
          <w:tcPr>
            <w:tcW w:w="1062" w:type="pct"/>
            <w:tcBorders>
              <w:bottom w:val="single" w:sz="6" w:space="0" w:color="auto"/>
            </w:tcBorders>
          </w:tcPr>
          <w:p w14:paraId="22928ABF" w14:textId="7F03FEAA" w:rsidR="00107B66" w:rsidRPr="005929EE" w:rsidRDefault="00107B66" w:rsidP="00107B66">
            <w:pPr>
              <w:pStyle w:val="TCTableBody"/>
              <w:jc w:val="center"/>
              <w:rPr>
                <w:rFonts w:ascii="Times New Roman" w:hAnsi="Times New Roman"/>
              </w:rPr>
            </w:pPr>
            <w:r w:rsidRPr="005929EE">
              <w:rPr>
                <w:rFonts w:ascii="Times New Roman" w:hAnsi="Times New Roman"/>
              </w:rPr>
              <w:t>0,13</w:t>
            </w:r>
          </w:p>
        </w:tc>
      </w:tr>
      <w:tr w:rsidR="00107B66" w:rsidRPr="00072C7A" w14:paraId="1CD7708A" w14:textId="77777777" w:rsidTr="00FB05C7">
        <w:trPr>
          <w:trHeight w:val="170"/>
        </w:trPr>
        <w:tc>
          <w:tcPr>
            <w:tcW w:w="1776" w:type="pct"/>
            <w:tcBorders>
              <w:bottom w:val="single" w:sz="6" w:space="0" w:color="auto"/>
            </w:tcBorders>
          </w:tcPr>
          <w:p w14:paraId="69D3AB59" w14:textId="77777777" w:rsidR="00107B66" w:rsidRDefault="00107B66" w:rsidP="00107B66">
            <w:pPr>
              <w:pStyle w:val="TCTableBody"/>
              <w:jc w:val="center"/>
              <w:rPr>
                <w:lang w:val="pt-BR"/>
              </w:rPr>
            </w:pPr>
            <w:r w:rsidRPr="004B7F76">
              <w:rPr>
                <w:lang w:val="pt-BR"/>
              </w:rPr>
              <w:t>Co20Zn30Al50MoC</w:t>
            </w:r>
          </w:p>
        </w:tc>
        <w:tc>
          <w:tcPr>
            <w:tcW w:w="572" w:type="pct"/>
            <w:tcBorders>
              <w:bottom w:val="single" w:sz="6" w:space="0" w:color="auto"/>
            </w:tcBorders>
          </w:tcPr>
          <w:p w14:paraId="7861590F" w14:textId="0B2472F2" w:rsidR="00107B66" w:rsidRDefault="00107B66" w:rsidP="00107B66">
            <w:pPr>
              <w:pStyle w:val="TCTableBody"/>
              <w:jc w:val="center"/>
              <w:rPr>
                <w:lang w:val="pt-BR"/>
              </w:rPr>
            </w:pPr>
            <w:r w:rsidRPr="005929EE">
              <w:rPr>
                <w:rFonts w:ascii="Times New Roman" w:hAnsi="Times New Roman"/>
              </w:rPr>
              <w:t>28,11</w:t>
            </w:r>
          </w:p>
        </w:tc>
        <w:tc>
          <w:tcPr>
            <w:tcW w:w="893" w:type="pct"/>
            <w:tcBorders>
              <w:bottom w:val="single" w:sz="6" w:space="0" w:color="auto"/>
            </w:tcBorders>
          </w:tcPr>
          <w:p w14:paraId="49A28B96" w14:textId="105A6C08" w:rsidR="00107B66" w:rsidRDefault="00107B66" w:rsidP="00107B66">
            <w:pPr>
              <w:pStyle w:val="TCTableBody"/>
              <w:jc w:val="center"/>
              <w:rPr>
                <w:lang w:val="pt-BR"/>
              </w:rPr>
            </w:pPr>
            <w:r w:rsidRPr="005929EE">
              <w:rPr>
                <w:rFonts w:ascii="Times New Roman" w:hAnsi="Times New Roman"/>
              </w:rPr>
              <w:t>33,54</w:t>
            </w:r>
          </w:p>
        </w:tc>
        <w:tc>
          <w:tcPr>
            <w:tcW w:w="478" w:type="pct"/>
            <w:tcBorders>
              <w:bottom w:val="single" w:sz="6" w:space="0" w:color="auto"/>
            </w:tcBorders>
          </w:tcPr>
          <w:p w14:paraId="7BD1CC23" w14:textId="6E368687" w:rsidR="00107B66" w:rsidRDefault="00107B66" w:rsidP="00107B66">
            <w:pPr>
              <w:pStyle w:val="TCTableBody"/>
              <w:jc w:val="center"/>
              <w:rPr>
                <w:lang w:val="pt-BR"/>
              </w:rPr>
            </w:pPr>
            <w:r w:rsidRPr="005929EE">
              <w:rPr>
                <w:rFonts w:ascii="Times New Roman" w:hAnsi="Times New Roman"/>
              </w:rPr>
              <w:t>0,64</w:t>
            </w:r>
          </w:p>
        </w:tc>
        <w:tc>
          <w:tcPr>
            <w:tcW w:w="478" w:type="pct"/>
            <w:tcBorders>
              <w:bottom w:val="single" w:sz="6" w:space="0" w:color="auto"/>
            </w:tcBorders>
          </w:tcPr>
          <w:p w14:paraId="3A9141F7" w14:textId="26056363" w:rsidR="00107B66" w:rsidRDefault="00107B66" w:rsidP="00107B66">
            <w:pPr>
              <w:pStyle w:val="TCTableBody"/>
              <w:jc w:val="center"/>
              <w:rPr>
                <w:lang w:val="pt-BR"/>
              </w:rPr>
            </w:pPr>
            <w:r w:rsidRPr="005929EE">
              <w:rPr>
                <w:rFonts w:ascii="Times New Roman" w:hAnsi="Times New Roman"/>
              </w:rPr>
              <w:t>0,33</w:t>
            </w:r>
          </w:p>
        </w:tc>
        <w:tc>
          <w:tcPr>
            <w:tcW w:w="803" w:type="pct"/>
            <w:tcBorders>
              <w:bottom w:val="single" w:sz="6" w:space="0" w:color="auto"/>
            </w:tcBorders>
          </w:tcPr>
          <w:p w14:paraId="719C8641" w14:textId="574DB625" w:rsidR="00107B66" w:rsidRPr="005929EE" w:rsidRDefault="00107B66" w:rsidP="00107B66">
            <w:pPr>
              <w:pStyle w:val="TCTableBody"/>
              <w:jc w:val="center"/>
              <w:rPr>
                <w:rFonts w:ascii="Times New Roman" w:hAnsi="Times New Roman"/>
              </w:rPr>
            </w:pPr>
            <w:r w:rsidRPr="005929EE">
              <w:rPr>
                <w:rFonts w:ascii="Times New Roman" w:hAnsi="Times New Roman"/>
              </w:rPr>
              <w:t>0,33</w:t>
            </w:r>
          </w:p>
        </w:tc>
      </w:tr>
      <w:tr w:rsidR="00107B66" w:rsidRPr="00072C7A" w14:paraId="026972F7" w14:textId="77777777" w:rsidTr="00FB05C7">
        <w:trPr>
          <w:trHeight w:val="170"/>
        </w:trPr>
        <w:tc>
          <w:tcPr>
            <w:tcW w:w="1776" w:type="pct"/>
            <w:tcBorders>
              <w:bottom w:val="single" w:sz="6" w:space="0" w:color="auto"/>
            </w:tcBorders>
          </w:tcPr>
          <w:p w14:paraId="10051A9A" w14:textId="77777777" w:rsidR="00107B66" w:rsidRDefault="00107B66" w:rsidP="00107B66">
            <w:pPr>
              <w:pStyle w:val="TCTableBody"/>
              <w:jc w:val="center"/>
              <w:rPr>
                <w:lang w:val="pt-BR"/>
              </w:rPr>
            </w:pPr>
            <w:r w:rsidRPr="004B7F76">
              <w:rPr>
                <w:lang w:val="pt-BR"/>
              </w:rPr>
              <w:t>Co30Zn20Al50MoC</w:t>
            </w:r>
          </w:p>
        </w:tc>
        <w:tc>
          <w:tcPr>
            <w:tcW w:w="572" w:type="pct"/>
            <w:tcBorders>
              <w:bottom w:val="single" w:sz="6" w:space="0" w:color="auto"/>
            </w:tcBorders>
          </w:tcPr>
          <w:p w14:paraId="2EDA4FD3" w14:textId="77EF38A2" w:rsidR="00107B66" w:rsidRDefault="00107B66" w:rsidP="00107B66">
            <w:pPr>
              <w:pStyle w:val="TCTableBody"/>
              <w:jc w:val="center"/>
              <w:rPr>
                <w:lang w:val="pt-BR"/>
              </w:rPr>
            </w:pPr>
            <w:r w:rsidRPr="005929EE">
              <w:rPr>
                <w:rFonts w:ascii="Times New Roman" w:hAnsi="Times New Roman"/>
              </w:rPr>
              <w:t>29,06</w:t>
            </w:r>
          </w:p>
        </w:tc>
        <w:tc>
          <w:tcPr>
            <w:tcW w:w="893" w:type="pct"/>
            <w:tcBorders>
              <w:bottom w:val="single" w:sz="6" w:space="0" w:color="auto"/>
            </w:tcBorders>
          </w:tcPr>
          <w:p w14:paraId="08352F3E" w14:textId="2F5C94DD" w:rsidR="00107B66" w:rsidRDefault="00107B66" w:rsidP="00107B66">
            <w:pPr>
              <w:pStyle w:val="TCTableBody"/>
              <w:jc w:val="center"/>
              <w:rPr>
                <w:lang w:val="pt-BR"/>
              </w:rPr>
            </w:pPr>
            <w:r w:rsidRPr="005929EE">
              <w:rPr>
                <w:rFonts w:ascii="Times New Roman" w:hAnsi="Times New Roman"/>
              </w:rPr>
              <w:t>33,67</w:t>
            </w:r>
          </w:p>
        </w:tc>
        <w:tc>
          <w:tcPr>
            <w:tcW w:w="478" w:type="pct"/>
            <w:tcBorders>
              <w:bottom w:val="single" w:sz="6" w:space="0" w:color="auto"/>
            </w:tcBorders>
          </w:tcPr>
          <w:p w14:paraId="7B620BFA" w14:textId="3CD3EA72" w:rsidR="00107B66" w:rsidRDefault="00107B66" w:rsidP="00107B66">
            <w:pPr>
              <w:pStyle w:val="TCTableBody"/>
              <w:jc w:val="center"/>
              <w:rPr>
                <w:lang w:val="pt-BR"/>
              </w:rPr>
            </w:pPr>
            <w:r w:rsidRPr="005929EE">
              <w:rPr>
                <w:rFonts w:ascii="Times New Roman" w:hAnsi="Times New Roman"/>
              </w:rPr>
              <w:t>0,68</w:t>
            </w:r>
          </w:p>
        </w:tc>
        <w:tc>
          <w:tcPr>
            <w:tcW w:w="478" w:type="pct"/>
            <w:tcBorders>
              <w:bottom w:val="single" w:sz="6" w:space="0" w:color="auto"/>
            </w:tcBorders>
          </w:tcPr>
          <w:p w14:paraId="7B726755" w14:textId="37C2987E" w:rsidR="00107B66" w:rsidRDefault="00107B66" w:rsidP="00107B66">
            <w:pPr>
              <w:pStyle w:val="TCTableBody"/>
              <w:jc w:val="center"/>
              <w:rPr>
                <w:lang w:val="pt-BR"/>
              </w:rPr>
            </w:pPr>
            <w:r w:rsidRPr="005929EE">
              <w:rPr>
                <w:rFonts w:ascii="Times New Roman" w:hAnsi="Times New Roman"/>
              </w:rPr>
              <w:t>0,51</w:t>
            </w:r>
          </w:p>
        </w:tc>
        <w:tc>
          <w:tcPr>
            <w:tcW w:w="803" w:type="pct"/>
            <w:tcBorders>
              <w:bottom w:val="single" w:sz="6" w:space="0" w:color="auto"/>
            </w:tcBorders>
          </w:tcPr>
          <w:p w14:paraId="6EF32F46" w14:textId="5B5182FB" w:rsidR="00107B66" w:rsidRPr="005929EE" w:rsidRDefault="00107B66" w:rsidP="00107B66">
            <w:pPr>
              <w:pStyle w:val="TCTableBody"/>
              <w:jc w:val="center"/>
              <w:rPr>
                <w:rFonts w:ascii="Times New Roman" w:hAnsi="Times New Roman"/>
              </w:rPr>
            </w:pPr>
            <w:r w:rsidRPr="005929EE">
              <w:rPr>
                <w:rFonts w:ascii="Times New Roman" w:hAnsi="Times New Roman"/>
              </w:rPr>
              <w:t>0,52</w:t>
            </w:r>
          </w:p>
        </w:tc>
      </w:tr>
      <w:tr w:rsidR="00107B66" w:rsidRPr="00072C7A" w14:paraId="233BDB58" w14:textId="77777777" w:rsidTr="00FB05C7">
        <w:trPr>
          <w:trHeight w:val="170"/>
        </w:trPr>
        <w:tc>
          <w:tcPr>
            <w:tcW w:w="1776" w:type="pct"/>
            <w:tcBorders>
              <w:bottom w:val="single" w:sz="6" w:space="0" w:color="auto"/>
            </w:tcBorders>
          </w:tcPr>
          <w:p w14:paraId="226C1BD0" w14:textId="77777777" w:rsidR="00107B66" w:rsidRDefault="00107B66" w:rsidP="00107B66">
            <w:pPr>
              <w:pStyle w:val="TCTableBody"/>
              <w:jc w:val="center"/>
              <w:rPr>
                <w:lang w:val="pt-BR"/>
              </w:rPr>
            </w:pPr>
            <w:r w:rsidRPr="005968AA">
              <w:rPr>
                <w:lang w:val="pt-BR"/>
              </w:rPr>
              <w:t>Co10Mn40Al50MoC</w:t>
            </w:r>
          </w:p>
        </w:tc>
        <w:tc>
          <w:tcPr>
            <w:tcW w:w="572" w:type="pct"/>
            <w:tcBorders>
              <w:bottom w:val="single" w:sz="6" w:space="0" w:color="auto"/>
            </w:tcBorders>
          </w:tcPr>
          <w:p w14:paraId="2873C93E" w14:textId="0DC7BF6D" w:rsidR="00107B66" w:rsidRDefault="00107B66" w:rsidP="00107B66">
            <w:pPr>
              <w:pStyle w:val="TCTableBody"/>
              <w:jc w:val="center"/>
              <w:rPr>
                <w:lang w:val="pt-BR"/>
              </w:rPr>
            </w:pPr>
            <w:r w:rsidRPr="005929EE">
              <w:rPr>
                <w:rFonts w:ascii="Times New Roman" w:hAnsi="Times New Roman"/>
              </w:rPr>
              <w:t>10,91</w:t>
            </w:r>
          </w:p>
        </w:tc>
        <w:tc>
          <w:tcPr>
            <w:tcW w:w="893" w:type="pct"/>
            <w:tcBorders>
              <w:bottom w:val="single" w:sz="6" w:space="0" w:color="auto"/>
            </w:tcBorders>
          </w:tcPr>
          <w:p w14:paraId="7CFC0F5C" w14:textId="4307639B" w:rsidR="00107B66" w:rsidRDefault="00107B66" w:rsidP="00107B66">
            <w:pPr>
              <w:pStyle w:val="TCTableBody"/>
              <w:jc w:val="center"/>
              <w:rPr>
                <w:lang w:val="pt-BR"/>
              </w:rPr>
            </w:pPr>
            <w:r w:rsidRPr="005929EE">
              <w:rPr>
                <w:rFonts w:ascii="Times New Roman" w:hAnsi="Times New Roman"/>
              </w:rPr>
              <w:t>34,27</w:t>
            </w:r>
          </w:p>
        </w:tc>
        <w:tc>
          <w:tcPr>
            <w:tcW w:w="478" w:type="pct"/>
            <w:tcBorders>
              <w:bottom w:val="single" w:sz="6" w:space="0" w:color="auto"/>
            </w:tcBorders>
          </w:tcPr>
          <w:p w14:paraId="6CE63355" w14:textId="28D5E591" w:rsidR="00107B66" w:rsidRDefault="00107B66" w:rsidP="00107B66">
            <w:pPr>
              <w:pStyle w:val="TCTableBody"/>
              <w:jc w:val="center"/>
              <w:rPr>
                <w:lang w:val="pt-BR"/>
              </w:rPr>
            </w:pPr>
            <w:r w:rsidRPr="005929EE">
              <w:rPr>
                <w:rFonts w:ascii="Times New Roman" w:hAnsi="Times New Roman"/>
              </w:rPr>
              <w:t>0,72</w:t>
            </w:r>
          </w:p>
        </w:tc>
        <w:tc>
          <w:tcPr>
            <w:tcW w:w="478" w:type="pct"/>
            <w:tcBorders>
              <w:bottom w:val="single" w:sz="6" w:space="0" w:color="auto"/>
            </w:tcBorders>
          </w:tcPr>
          <w:p w14:paraId="564C27E8" w14:textId="3F60F736" w:rsidR="00107B66" w:rsidRDefault="00107B66" w:rsidP="00107B66">
            <w:pPr>
              <w:pStyle w:val="TCTableBody"/>
              <w:jc w:val="center"/>
              <w:rPr>
                <w:lang w:val="pt-BR"/>
              </w:rPr>
            </w:pPr>
            <w:r w:rsidRPr="005929EE">
              <w:rPr>
                <w:rFonts w:ascii="Times New Roman" w:hAnsi="Times New Roman"/>
              </w:rPr>
              <w:t>0,14</w:t>
            </w:r>
          </w:p>
        </w:tc>
        <w:tc>
          <w:tcPr>
            <w:tcW w:w="803" w:type="pct"/>
            <w:tcBorders>
              <w:bottom w:val="single" w:sz="6" w:space="0" w:color="auto"/>
            </w:tcBorders>
          </w:tcPr>
          <w:p w14:paraId="42A3DC01" w14:textId="611AB358" w:rsidR="00107B66" w:rsidRPr="005929EE" w:rsidRDefault="00107B66" w:rsidP="00107B66">
            <w:pPr>
              <w:pStyle w:val="TCTableBody"/>
              <w:jc w:val="center"/>
              <w:rPr>
                <w:rFonts w:ascii="Times New Roman" w:hAnsi="Times New Roman"/>
              </w:rPr>
            </w:pPr>
            <w:r w:rsidRPr="005929EE">
              <w:rPr>
                <w:rFonts w:ascii="Times New Roman" w:hAnsi="Times New Roman"/>
              </w:rPr>
              <w:t>0,39</w:t>
            </w:r>
          </w:p>
        </w:tc>
      </w:tr>
      <w:tr w:rsidR="00107B66" w:rsidRPr="00072C7A" w14:paraId="30F79DF9" w14:textId="77777777" w:rsidTr="00FB05C7">
        <w:trPr>
          <w:trHeight w:val="170"/>
        </w:trPr>
        <w:tc>
          <w:tcPr>
            <w:tcW w:w="1776" w:type="pct"/>
            <w:tcBorders>
              <w:bottom w:val="single" w:sz="6" w:space="0" w:color="auto"/>
            </w:tcBorders>
          </w:tcPr>
          <w:p w14:paraId="4A5A95A9" w14:textId="77777777" w:rsidR="00107B66" w:rsidRDefault="00107B66" w:rsidP="00107B66">
            <w:pPr>
              <w:pStyle w:val="TCTableBody"/>
              <w:jc w:val="center"/>
              <w:rPr>
                <w:lang w:val="pt-BR"/>
              </w:rPr>
            </w:pPr>
            <w:r w:rsidRPr="005968AA">
              <w:rPr>
                <w:lang w:val="pt-BR"/>
              </w:rPr>
              <w:t>Co20Mn30Al50MoC</w:t>
            </w:r>
          </w:p>
        </w:tc>
        <w:tc>
          <w:tcPr>
            <w:tcW w:w="572" w:type="pct"/>
            <w:tcBorders>
              <w:bottom w:val="single" w:sz="6" w:space="0" w:color="auto"/>
            </w:tcBorders>
          </w:tcPr>
          <w:p w14:paraId="102C544E" w14:textId="0D851531" w:rsidR="00107B66" w:rsidRDefault="00107B66" w:rsidP="00107B66">
            <w:pPr>
              <w:pStyle w:val="TCTableBody"/>
              <w:jc w:val="center"/>
              <w:rPr>
                <w:lang w:val="pt-BR"/>
              </w:rPr>
            </w:pPr>
            <w:r w:rsidRPr="005929EE">
              <w:rPr>
                <w:rFonts w:ascii="Times New Roman" w:hAnsi="Times New Roman"/>
              </w:rPr>
              <w:t>14,30</w:t>
            </w:r>
          </w:p>
        </w:tc>
        <w:tc>
          <w:tcPr>
            <w:tcW w:w="893" w:type="pct"/>
            <w:tcBorders>
              <w:bottom w:val="single" w:sz="6" w:space="0" w:color="auto"/>
            </w:tcBorders>
          </w:tcPr>
          <w:p w14:paraId="0FAAFAFF" w14:textId="458AB126" w:rsidR="00107B66" w:rsidRDefault="00107B66" w:rsidP="00107B66">
            <w:pPr>
              <w:pStyle w:val="TCTableBody"/>
              <w:jc w:val="center"/>
              <w:rPr>
                <w:lang w:val="pt-BR"/>
              </w:rPr>
            </w:pPr>
            <w:r w:rsidRPr="005929EE">
              <w:rPr>
                <w:rFonts w:ascii="Times New Roman" w:hAnsi="Times New Roman"/>
              </w:rPr>
              <w:t>34,18</w:t>
            </w:r>
          </w:p>
        </w:tc>
        <w:tc>
          <w:tcPr>
            <w:tcW w:w="478" w:type="pct"/>
            <w:tcBorders>
              <w:bottom w:val="single" w:sz="6" w:space="0" w:color="auto"/>
            </w:tcBorders>
          </w:tcPr>
          <w:p w14:paraId="2D6BC721" w14:textId="30D4B076" w:rsidR="00107B66" w:rsidRDefault="00107B66" w:rsidP="00107B66">
            <w:pPr>
              <w:pStyle w:val="TCTableBody"/>
              <w:jc w:val="center"/>
              <w:rPr>
                <w:lang w:val="pt-BR"/>
              </w:rPr>
            </w:pPr>
            <w:r w:rsidRPr="005929EE">
              <w:rPr>
                <w:rFonts w:ascii="Times New Roman" w:hAnsi="Times New Roman"/>
              </w:rPr>
              <w:t>0,71</w:t>
            </w:r>
          </w:p>
        </w:tc>
        <w:tc>
          <w:tcPr>
            <w:tcW w:w="478" w:type="pct"/>
            <w:tcBorders>
              <w:bottom w:val="single" w:sz="6" w:space="0" w:color="auto"/>
            </w:tcBorders>
          </w:tcPr>
          <w:p w14:paraId="1AC30333" w14:textId="05F89981" w:rsidR="00107B66" w:rsidRDefault="00107B66" w:rsidP="00107B66">
            <w:pPr>
              <w:pStyle w:val="TCTableBody"/>
              <w:jc w:val="center"/>
              <w:rPr>
                <w:lang w:val="pt-BR"/>
              </w:rPr>
            </w:pPr>
            <w:r w:rsidRPr="005929EE">
              <w:rPr>
                <w:rFonts w:ascii="Times New Roman" w:hAnsi="Times New Roman"/>
              </w:rPr>
              <w:t>0,55</w:t>
            </w:r>
          </w:p>
        </w:tc>
        <w:tc>
          <w:tcPr>
            <w:tcW w:w="803" w:type="pct"/>
            <w:tcBorders>
              <w:bottom w:val="single" w:sz="6" w:space="0" w:color="auto"/>
            </w:tcBorders>
          </w:tcPr>
          <w:p w14:paraId="465E7692" w14:textId="585F20D7" w:rsidR="00107B66" w:rsidRPr="005929EE" w:rsidRDefault="00107B66" w:rsidP="00107B66">
            <w:pPr>
              <w:pStyle w:val="TCTableBody"/>
              <w:jc w:val="center"/>
              <w:rPr>
                <w:rFonts w:ascii="Times New Roman" w:hAnsi="Times New Roman"/>
              </w:rPr>
            </w:pPr>
            <w:r w:rsidRPr="005929EE">
              <w:rPr>
                <w:rFonts w:ascii="Times New Roman" w:hAnsi="Times New Roman"/>
              </w:rPr>
              <w:t>1,09</w:t>
            </w:r>
          </w:p>
        </w:tc>
      </w:tr>
      <w:tr w:rsidR="00107B66" w:rsidRPr="00072C7A" w14:paraId="301715A3" w14:textId="77777777" w:rsidTr="00FB05C7">
        <w:trPr>
          <w:trHeight w:val="170"/>
        </w:trPr>
        <w:tc>
          <w:tcPr>
            <w:tcW w:w="1776" w:type="pct"/>
            <w:tcBorders>
              <w:bottom w:val="single" w:sz="6" w:space="0" w:color="auto"/>
            </w:tcBorders>
          </w:tcPr>
          <w:p w14:paraId="2674389E" w14:textId="77777777" w:rsidR="00107B66" w:rsidRDefault="00107B66" w:rsidP="00107B66">
            <w:pPr>
              <w:pStyle w:val="TCTableBody"/>
              <w:jc w:val="center"/>
              <w:rPr>
                <w:lang w:val="pt-BR"/>
              </w:rPr>
            </w:pPr>
            <w:r w:rsidRPr="005968AA">
              <w:rPr>
                <w:lang w:val="pt-BR"/>
              </w:rPr>
              <w:t>Co30Mn20Al50MoC</w:t>
            </w:r>
          </w:p>
        </w:tc>
        <w:tc>
          <w:tcPr>
            <w:tcW w:w="572" w:type="pct"/>
            <w:tcBorders>
              <w:bottom w:val="single" w:sz="6" w:space="0" w:color="auto"/>
            </w:tcBorders>
          </w:tcPr>
          <w:p w14:paraId="53ACD319" w14:textId="74BAC90E" w:rsidR="00107B66" w:rsidRDefault="00107B66" w:rsidP="00107B66">
            <w:pPr>
              <w:pStyle w:val="TCTableBody"/>
              <w:jc w:val="center"/>
              <w:rPr>
                <w:lang w:val="pt-BR"/>
              </w:rPr>
            </w:pPr>
            <w:r w:rsidRPr="005929EE">
              <w:rPr>
                <w:rFonts w:ascii="Times New Roman" w:hAnsi="Times New Roman"/>
              </w:rPr>
              <w:t>19,89</w:t>
            </w:r>
          </w:p>
        </w:tc>
        <w:tc>
          <w:tcPr>
            <w:tcW w:w="893" w:type="pct"/>
            <w:tcBorders>
              <w:bottom w:val="single" w:sz="6" w:space="0" w:color="auto"/>
            </w:tcBorders>
          </w:tcPr>
          <w:p w14:paraId="282B4DC9" w14:textId="3CC01E83" w:rsidR="00107B66" w:rsidRDefault="00107B66" w:rsidP="00107B66">
            <w:pPr>
              <w:pStyle w:val="TCTableBody"/>
              <w:jc w:val="center"/>
              <w:rPr>
                <w:lang w:val="pt-BR"/>
              </w:rPr>
            </w:pPr>
            <w:r w:rsidRPr="005929EE">
              <w:rPr>
                <w:rFonts w:ascii="Times New Roman" w:hAnsi="Times New Roman"/>
              </w:rPr>
              <w:t>34,10</w:t>
            </w:r>
          </w:p>
        </w:tc>
        <w:tc>
          <w:tcPr>
            <w:tcW w:w="478" w:type="pct"/>
            <w:tcBorders>
              <w:bottom w:val="single" w:sz="6" w:space="0" w:color="auto"/>
            </w:tcBorders>
          </w:tcPr>
          <w:p w14:paraId="2053DA7C" w14:textId="6A826EF7" w:rsidR="00107B66" w:rsidRDefault="00107B66" w:rsidP="00107B66">
            <w:pPr>
              <w:pStyle w:val="TCTableBody"/>
              <w:jc w:val="center"/>
              <w:rPr>
                <w:lang w:val="pt-BR"/>
              </w:rPr>
            </w:pPr>
            <w:r w:rsidRPr="005929EE">
              <w:rPr>
                <w:rFonts w:ascii="Times New Roman" w:hAnsi="Times New Roman"/>
              </w:rPr>
              <w:t>0,65</w:t>
            </w:r>
          </w:p>
        </w:tc>
        <w:tc>
          <w:tcPr>
            <w:tcW w:w="478" w:type="pct"/>
            <w:tcBorders>
              <w:bottom w:val="single" w:sz="6" w:space="0" w:color="auto"/>
            </w:tcBorders>
          </w:tcPr>
          <w:p w14:paraId="4BF17EF1" w14:textId="2D2596E6" w:rsidR="00107B66" w:rsidRDefault="00107B66" w:rsidP="00107B66">
            <w:pPr>
              <w:pStyle w:val="TCTableBody"/>
              <w:jc w:val="center"/>
              <w:rPr>
                <w:lang w:val="pt-BR"/>
              </w:rPr>
            </w:pPr>
            <w:r w:rsidRPr="005929EE">
              <w:rPr>
                <w:rFonts w:ascii="Times New Roman" w:hAnsi="Times New Roman"/>
              </w:rPr>
              <w:t>0,69</w:t>
            </w:r>
          </w:p>
        </w:tc>
        <w:tc>
          <w:tcPr>
            <w:tcW w:w="803" w:type="pct"/>
            <w:tcBorders>
              <w:bottom w:val="single" w:sz="6" w:space="0" w:color="auto"/>
            </w:tcBorders>
          </w:tcPr>
          <w:p w14:paraId="0A9FD0BA" w14:textId="547BCB32" w:rsidR="00107B66" w:rsidRPr="005929EE" w:rsidRDefault="00107B66" w:rsidP="00107B66">
            <w:pPr>
              <w:pStyle w:val="TCTableBody"/>
              <w:jc w:val="center"/>
              <w:rPr>
                <w:rFonts w:ascii="Times New Roman" w:hAnsi="Times New Roman"/>
              </w:rPr>
            </w:pPr>
            <w:r w:rsidRPr="005929EE">
              <w:rPr>
                <w:rFonts w:ascii="Times New Roman" w:hAnsi="Times New Roman"/>
              </w:rPr>
              <w:t>1,09</w:t>
            </w:r>
          </w:p>
        </w:tc>
      </w:tr>
    </w:tbl>
    <w:p w14:paraId="00A5CC2F" w14:textId="6C72C07E" w:rsidR="00BB4750" w:rsidRPr="008D05C4" w:rsidRDefault="00BB4750" w:rsidP="008D05C4">
      <w:pPr>
        <w:spacing w:after="120" w:line="240" w:lineRule="auto"/>
        <w:jc w:val="both"/>
        <w:rPr>
          <w:rFonts w:ascii="Times New Roman" w:hAnsi="Times New Roman"/>
          <w:i/>
          <w:iCs/>
          <w:sz w:val="16"/>
          <w:szCs w:val="16"/>
        </w:rPr>
      </w:pPr>
      <w:proofErr w:type="gramStart"/>
      <w:r w:rsidRPr="00BA08D3">
        <w:rPr>
          <w:rFonts w:ascii="Times New Roman" w:hAnsi="Times New Roman"/>
          <w:sz w:val="16"/>
          <w:szCs w:val="16"/>
          <w:vertAlign w:val="superscript"/>
        </w:rPr>
        <w:t>a</w:t>
      </w:r>
      <w:proofErr w:type="gramEnd"/>
      <w:r w:rsidRPr="00BA08D3">
        <w:rPr>
          <w:rFonts w:ascii="Times New Roman" w:hAnsi="Times New Roman"/>
          <w:sz w:val="16"/>
          <w:szCs w:val="16"/>
          <w:vertAlign w:val="superscript"/>
        </w:rPr>
        <w:t xml:space="preserve"> </w:t>
      </w:r>
      <w:r w:rsidRPr="00BA08D3">
        <w:rPr>
          <w:rFonts w:ascii="Times New Roman" w:hAnsi="Times New Roman"/>
          <w:i/>
          <w:sz w:val="16"/>
          <w:szCs w:val="16"/>
        </w:rPr>
        <w:t xml:space="preserve">Média dos </w:t>
      </w:r>
      <w:r w:rsidRPr="00BA08D3">
        <w:rPr>
          <w:rFonts w:ascii="Times New Roman" w:hAnsi="Times New Roman"/>
          <w:i/>
          <w:iCs/>
          <w:sz w:val="16"/>
          <w:szCs w:val="16"/>
        </w:rPr>
        <w:t>Resultados de ICP (% m/m)</w:t>
      </w:r>
      <w:r w:rsidRPr="00BA08D3">
        <w:rPr>
          <w:rFonts w:ascii="Times New Roman" w:hAnsi="Times New Roman"/>
          <w:sz w:val="16"/>
          <w:szCs w:val="16"/>
        </w:rPr>
        <w:t xml:space="preserve">; </w:t>
      </w:r>
      <w:r w:rsidRPr="00BA08D3">
        <w:rPr>
          <w:rFonts w:ascii="Times New Roman" w:hAnsi="Times New Roman"/>
          <w:i/>
          <w:iCs/>
          <w:sz w:val="16"/>
          <w:szCs w:val="16"/>
          <w:vertAlign w:val="superscript"/>
        </w:rPr>
        <w:t xml:space="preserve">b </w:t>
      </w:r>
      <w:proofErr w:type="spellStart"/>
      <w:r w:rsidRPr="00BA08D3">
        <w:rPr>
          <w:rFonts w:ascii="Times New Roman" w:hAnsi="Times New Roman"/>
          <w:i/>
          <w:iCs/>
          <w:sz w:val="16"/>
          <w:szCs w:val="16"/>
        </w:rPr>
        <w:t>Mo</w:t>
      </w:r>
      <w:proofErr w:type="spellEnd"/>
      <w:r w:rsidRPr="00BA08D3">
        <w:rPr>
          <w:rFonts w:ascii="Times New Roman" w:hAnsi="Times New Roman"/>
          <w:i/>
          <w:iCs/>
          <w:sz w:val="16"/>
          <w:szCs w:val="16"/>
        </w:rPr>
        <w:t xml:space="preserve"> esperado (% m/m)</w:t>
      </w:r>
      <w:r w:rsidR="00687566">
        <w:rPr>
          <w:rFonts w:ascii="Times New Roman" w:hAnsi="Times New Roman"/>
          <w:i/>
          <w:iCs/>
          <w:sz w:val="16"/>
          <w:szCs w:val="16"/>
        </w:rPr>
        <w:t>;</w:t>
      </w:r>
      <w:r w:rsidR="00687566" w:rsidRPr="00687566">
        <w:rPr>
          <w:rFonts w:ascii="Times New Roman" w:hAnsi="Times New Roman"/>
          <w:i/>
          <w:iCs/>
          <w:sz w:val="16"/>
          <w:szCs w:val="16"/>
        </w:rPr>
        <w:t xml:space="preserve"> </w:t>
      </w:r>
      <w:proofErr w:type="spellStart"/>
      <w:r w:rsidR="00687566" w:rsidRPr="00687566">
        <w:rPr>
          <w:rFonts w:ascii="Times New Roman" w:hAnsi="Times New Roman"/>
          <w:i/>
          <w:iCs/>
          <w:sz w:val="16"/>
          <w:szCs w:val="16"/>
          <w:vertAlign w:val="superscript"/>
        </w:rPr>
        <w:t>c</w:t>
      </w:r>
      <w:r w:rsidR="00687566" w:rsidRPr="00687566">
        <w:rPr>
          <w:rFonts w:ascii="Times New Roman" w:hAnsi="Times New Roman"/>
          <w:i/>
          <w:iCs/>
          <w:sz w:val="16"/>
          <w:szCs w:val="16"/>
        </w:rPr>
        <w:t>nAl</w:t>
      </w:r>
      <w:proofErr w:type="spellEnd"/>
      <w:r w:rsidR="00687566" w:rsidRPr="00687566">
        <w:rPr>
          <w:rFonts w:ascii="Times New Roman" w:hAnsi="Times New Roman"/>
          <w:i/>
          <w:iCs/>
          <w:sz w:val="16"/>
          <w:szCs w:val="16"/>
        </w:rPr>
        <w:t>/(</w:t>
      </w:r>
      <w:proofErr w:type="spellStart"/>
      <w:r w:rsidR="00687566" w:rsidRPr="00687566">
        <w:rPr>
          <w:rFonts w:ascii="Times New Roman" w:hAnsi="Times New Roman"/>
          <w:i/>
          <w:iCs/>
          <w:sz w:val="16"/>
          <w:szCs w:val="16"/>
        </w:rPr>
        <w:t>nAl+nCo+nZn</w:t>
      </w:r>
      <w:proofErr w:type="spellEnd"/>
      <w:r w:rsidR="00687566" w:rsidRPr="00687566">
        <w:rPr>
          <w:rFonts w:ascii="Times New Roman" w:hAnsi="Times New Roman"/>
          <w:i/>
          <w:iCs/>
          <w:sz w:val="16"/>
          <w:szCs w:val="16"/>
        </w:rPr>
        <w:t>);</w:t>
      </w:r>
      <w:r w:rsidR="0072792D" w:rsidRPr="0072792D">
        <w:rPr>
          <w:rFonts w:ascii="Times New Roman" w:hAnsi="Times New Roman"/>
          <w:i/>
          <w:iCs/>
          <w:sz w:val="16"/>
          <w:szCs w:val="16"/>
        </w:rPr>
        <w:t xml:space="preserve"> </w:t>
      </w:r>
      <w:r w:rsidR="0072792D" w:rsidRPr="0072792D">
        <w:rPr>
          <w:rFonts w:ascii="Times New Roman" w:hAnsi="Times New Roman"/>
          <w:i/>
          <w:iCs/>
          <w:sz w:val="16"/>
          <w:szCs w:val="16"/>
          <w:vertAlign w:val="superscript"/>
        </w:rPr>
        <w:t xml:space="preserve">d </w:t>
      </w:r>
      <w:proofErr w:type="spellStart"/>
      <w:r w:rsidR="0072792D" w:rsidRPr="0072792D">
        <w:rPr>
          <w:rFonts w:ascii="Times New Roman" w:hAnsi="Times New Roman"/>
          <w:i/>
          <w:iCs/>
          <w:sz w:val="16"/>
          <w:szCs w:val="16"/>
        </w:rPr>
        <w:t>nCo</w:t>
      </w:r>
      <w:proofErr w:type="spellEnd"/>
      <w:r w:rsidR="0072792D" w:rsidRPr="0072792D">
        <w:rPr>
          <w:rFonts w:ascii="Times New Roman" w:hAnsi="Times New Roman"/>
          <w:i/>
          <w:iCs/>
          <w:sz w:val="16"/>
          <w:szCs w:val="16"/>
        </w:rPr>
        <w:t>/(</w:t>
      </w:r>
      <w:proofErr w:type="spellStart"/>
      <w:r w:rsidR="0072792D" w:rsidRPr="0072792D">
        <w:rPr>
          <w:rFonts w:ascii="Times New Roman" w:hAnsi="Times New Roman"/>
          <w:i/>
          <w:iCs/>
          <w:sz w:val="16"/>
          <w:szCs w:val="16"/>
        </w:rPr>
        <w:t>nCo+nZn</w:t>
      </w:r>
      <w:proofErr w:type="spellEnd"/>
      <w:r w:rsidR="0072792D" w:rsidRPr="0072792D">
        <w:rPr>
          <w:rFonts w:ascii="Times New Roman" w:hAnsi="Times New Roman"/>
          <w:i/>
          <w:iCs/>
          <w:sz w:val="16"/>
          <w:szCs w:val="16"/>
        </w:rPr>
        <w:t>)</w:t>
      </w:r>
      <w:r w:rsidR="0072792D">
        <w:rPr>
          <w:rFonts w:ascii="Times New Roman" w:hAnsi="Times New Roman"/>
          <w:i/>
          <w:iCs/>
          <w:sz w:val="16"/>
          <w:szCs w:val="16"/>
        </w:rPr>
        <w:t xml:space="preserve">; </w:t>
      </w:r>
      <w:r w:rsidR="00107B66" w:rsidRPr="00107B66">
        <w:rPr>
          <w:rFonts w:ascii="Times New Roman" w:eastAsiaTheme="minorHAnsi" w:hAnsi="Times New Roman" w:cstheme="minorBidi"/>
          <w:i/>
          <w:iCs/>
          <w:sz w:val="20"/>
          <w:szCs w:val="20"/>
          <w:vertAlign w:val="superscript"/>
        </w:rPr>
        <w:t xml:space="preserve"> </w:t>
      </w:r>
      <w:r w:rsidR="00107B66" w:rsidRPr="00107B66">
        <w:rPr>
          <w:rFonts w:ascii="Times New Roman" w:hAnsi="Times New Roman"/>
          <w:i/>
          <w:iCs/>
          <w:sz w:val="16"/>
          <w:szCs w:val="16"/>
          <w:vertAlign w:val="superscript"/>
        </w:rPr>
        <w:t xml:space="preserve">e </w:t>
      </w:r>
      <w:r w:rsidR="00107B66" w:rsidRPr="00107B66">
        <w:rPr>
          <w:rFonts w:ascii="Times New Roman" w:hAnsi="Times New Roman"/>
          <w:i/>
          <w:iCs/>
          <w:sz w:val="16"/>
          <w:szCs w:val="16"/>
        </w:rPr>
        <w:t>relação molar</w:t>
      </w:r>
    </w:p>
    <w:p w14:paraId="7396E2DD" w14:textId="3E205E22" w:rsidR="00BB4750" w:rsidRPr="00C46665" w:rsidRDefault="00BB4750" w:rsidP="009A7529">
      <w:pPr>
        <w:spacing w:after="80" w:line="240" w:lineRule="auto"/>
        <w:ind w:firstLine="708"/>
        <w:jc w:val="both"/>
        <w:rPr>
          <w:rFonts w:ascii="Times New Roman" w:hAnsi="Times New Roman"/>
          <w:sz w:val="20"/>
          <w:szCs w:val="20"/>
        </w:rPr>
      </w:pPr>
      <w:r>
        <w:rPr>
          <w:rFonts w:ascii="Times New Roman" w:hAnsi="Times New Roman"/>
          <w:sz w:val="20"/>
          <w:szCs w:val="20"/>
        </w:rPr>
        <w:t>A</w:t>
      </w:r>
      <w:r w:rsidR="006430FF">
        <w:rPr>
          <w:rFonts w:ascii="Times New Roman" w:hAnsi="Times New Roman"/>
          <w:sz w:val="20"/>
          <w:szCs w:val="20"/>
        </w:rPr>
        <w:t xml:space="preserve"> partir da</w:t>
      </w:r>
      <w:r w:rsidR="00661DED">
        <w:rPr>
          <w:rFonts w:ascii="Times New Roman" w:hAnsi="Times New Roman"/>
          <w:sz w:val="20"/>
          <w:szCs w:val="20"/>
        </w:rPr>
        <w:t xml:space="preserve"> </w:t>
      </w:r>
      <w:r w:rsidRPr="00C46665">
        <w:rPr>
          <w:rFonts w:ascii="Times New Roman" w:hAnsi="Times New Roman"/>
          <w:sz w:val="20"/>
          <w:szCs w:val="20"/>
        </w:rPr>
        <w:t xml:space="preserve">análise química dos óxidos mistos </w:t>
      </w:r>
      <w:r w:rsidR="00191434">
        <w:rPr>
          <w:rFonts w:ascii="Times New Roman" w:hAnsi="Times New Roman"/>
          <w:sz w:val="20"/>
          <w:szCs w:val="20"/>
        </w:rPr>
        <w:t xml:space="preserve">fica evidenciado, Tabela </w:t>
      </w:r>
      <w:proofErr w:type="gramStart"/>
      <w:r w:rsidR="00191434">
        <w:rPr>
          <w:rFonts w:ascii="Times New Roman" w:hAnsi="Times New Roman"/>
          <w:sz w:val="20"/>
          <w:szCs w:val="20"/>
        </w:rPr>
        <w:t xml:space="preserve">2, </w:t>
      </w:r>
      <w:r w:rsidRPr="00C46665">
        <w:rPr>
          <w:rFonts w:ascii="Times New Roman" w:hAnsi="Times New Roman"/>
          <w:sz w:val="20"/>
          <w:szCs w:val="20"/>
        </w:rPr>
        <w:t xml:space="preserve"> que</w:t>
      </w:r>
      <w:proofErr w:type="gramEnd"/>
      <w:r w:rsidRPr="00C46665">
        <w:rPr>
          <w:rFonts w:ascii="Times New Roman" w:hAnsi="Times New Roman"/>
          <w:sz w:val="20"/>
          <w:szCs w:val="20"/>
        </w:rPr>
        <w:t xml:space="preserve"> para as amostras da série contendo zinco a quantidade </w:t>
      </w:r>
      <w:proofErr w:type="spellStart"/>
      <w:r w:rsidRPr="00C46665">
        <w:rPr>
          <w:rFonts w:ascii="Times New Roman" w:hAnsi="Times New Roman"/>
          <w:sz w:val="20"/>
          <w:szCs w:val="20"/>
        </w:rPr>
        <w:t>Mo</w:t>
      </w:r>
      <w:proofErr w:type="spellEnd"/>
      <w:r w:rsidRPr="00C46665">
        <w:rPr>
          <w:rFonts w:ascii="Times New Roman" w:hAnsi="Times New Roman"/>
          <w:sz w:val="20"/>
          <w:szCs w:val="20"/>
        </w:rPr>
        <w:t xml:space="preserve"> se aproxima da quantidade esperada, ao passo que, as amostras contendo manganês apresentaram um maior desvio do valor ideal. O cálculo do valor esperado de </w:t>
      </w:r>
      <w:proofErr w:type="spellStart"/>
      <w:r w:rsidRPr="00C46665">
        <w:rPr>
          <w:rFonts w:ascii="Times New Roman" w:hAnsi="Times New Roman"/>
          <w:sz w:val="20"/>
          <w:szCs w:val="20"/>
        </w:rPr>
        <w:t>Mo</w:t>
      </w:r>
      <w:proofErr w:type="spellEnd"/>
      <w:r w:rsidRPr="00C46665">
        <w:rPr>
          <w:rFonts w:ascii="Times New Roman" w:hAnsi="Times New Roman"/>
          <w:sz w:val="20"/>
          <w:szCs w:val="20"/>
        </w:rPr>
        <w:t xml:space="preserve"> foi realizado levando em consideração os valores de </w:t>
      </w:r>
      <w:r w:rsidRPr="00C46665">
        <w:rPr>
          <w:rFonts w:ascii="Times New Roman" w:hAnsi="Times New Roman"/>
          <w:i/>
          <w:sz w:val="20"/>
          <w:szCs w:val="20"/>
        </w:rPr>
        <w:t>x</w:t>
      </w:r>
      <w:r>
        <w:rPr>
          <w:rFonts w:ascii="Times New Roman" w:hAnsi="Times New Roman"/>
          <w:sz w:val="20"/>
          <w:szCs w:val="20"/>
        </w:rPr>
        <w:t xml:space="preserve"> e</w:t>
      </w:r>
      <w:r w:rsidRPr="00C46665">
        <w:rPr>
          <w:rFonts w:ascii="Times New Roman" w:hAnsi="Times New Roman"/>
          <w:sz w:val="20"/>
          <w:szCs w:val="20"/>
        </w:rPr>
        <w:t xml:space="preserve"> </w:t>
      </w:r>
      <w:r w:rsidRPr="00C46665">
        <w:rPr>
          <w:rFonts w:ascii="Times New Roman" w:hAnsi="Times New Roman"/>
          <w:i/>
          <w:sz w:val="20"/>
          <w:szCs w:val="20"/>
        </w:rPr>
        <w:t>y</w:t>
      </w:r>
      <w:r w:rsidRPr="00C46665">
        <w:rPr>
          <w:rFonts w:ascii="Times New Roman" w:hAnsi="Times New Roman"/>
          <w:sz w:val="20"/>
          <w:szCs w:val="20"/>
        </w:rPr>
        <w:t xml:space="preserve"> propostos na síntese dos precursores.</w:t>
      </w:r>
      <w:r w:rsidR="008D05C4">
        <w:rPr>
          <w:rFonts w:ascii="Times New Roman" w:hAnsi="Times New Roman"/>
          <w:sz w:val="20"/>
          <w:szCs w:val="20"/>
        </w:rPr>
        <w:t xml:space="preserve"> </w:t>
      </w:r>
      <w:r w:rsidR="008D05C4" w:rsidRPr="008D05C4">
        <w:rPr>
          <w:rFonts w:ascii="Times New Roman" w:hAnsi="Times New Roman"/>
          <w:sz w:val="20"/>
          <w:szCs w:val="20"/>
        </w:rPr>
        <w:t xml:space="preserve">Como a quantidade </w:t>
      </w:r>
      <w:proofErr w:type="spellStart"/>
      <w:r w:rsidR="008D05C4" w:rsidRPr="008D05C4">
        <w:rPr>
          <w:rFonts w:ascii="Times New Roman" w:hAnsi="Times New Roman"/>
          <w:sz w:val="20"/>
          <w:szCs w:val="20"/>
        </w:rPr>
        <w:t>Mo</w:t>
      </w:r>
      <w:proofErr w:type="spellEnd"/>
      <w:r w:rsidR="008D05C4" w:rsidRPr="008D05C4">
        <w:rPr>
          <w:rFonts w:ascii="Times New Roman" w:hAnsi="Times New Roman"/>
          <w:sz w:val="20"/>
          <w:szCs w:val="20"/>
        </w:rPr>
        <w:t xml:space="preserve"> foi muito menor para as amostras da série c</w:t>
      </w:r>
      <w:r w:rsidR="004C7A8C">
        <w:rPr>
          <w:rFonts w:ascii="Times New Roman" w:hAnsi="Times New Roman"/>
          <w:sz w:val="20"/>
          <w:szCs w:val="20"/>
        </w:rPr>
        <w:t xml:space="preserve">om manganês, </w:t>
      </w:r>
      <w:r w:rsidR="008D05C4" w:rsidRPr="008D05C4">
        <w:rPr>
          <w:rFonts w:ascii="Times New Roman" w:hAnsi="Times New Roman"/>
          <w:sz w:val="20"/>
          <w:szCs w:val="20"/>
        </w:rPr>
        <w:t xml:space="preserve">as amostras </w:t>
      </w:r>
      <w:r w:rsidR="004C7A8C">
        <w:rPr>
          <w:rFonts w:ascii="Times New Roman" w:hAnsi="Times New Roman"/>
          <w:sz w:val="20"/>
          <w:szCs w:val="20"/>
        </w:rPr>
        <w:t xml:space="preserve">denominadas </w:t>
      </w:r>
      <w:r w:rsidR="008D05C4" w:rsidRPr="008D05C4">
        <w:rPr>
          <w:rFonts w:ascii="Times New Roman" w:hAnsi="Times New Roman"/>
          <w:sz w:val="20"/>
          <w:szCs w:val="20"/>
        </w:rPr>
        <w:t xml:space="preserve">Co20Mn30Al50MoC e Co30Mn20Al50MoC </w:t>
      </w:r>
      <w:r w:rsidR="00CC6473">
        <w:rPr>
          <w:rFonts w:ascii="Times New Roman" w:hAnsi="Times New Roman"/>
          <w:sz w:val="20"/>
          <w:szCs w:val="20"/>
        </w:rPr>
        <w:t xml:space="preserve">apresentaram o valor da </w:t>
      </w:r>
      <w:r w:rsidR="008D05C4" w:rsidRPr="008D05C4">
        <w:rPr>
          <w:rFonts w:ascii="Times New Roman" w:hAnsi="Times New Roman"/>
          <w:sz w:val="20"/>
          <w:szCs w:val="20"/>
        </w:rPr>
        <w:t xml:space="preserve">relação molar </w:t>
      </w:r>
      <w:proofErr w:type="spellStart"/>
      <w:r w:rsidR="008D05C4" w:rsidRPr="008D05C4">
        <w:rPr>
          <w:rFonts w:ascii="Times New Roman" w:hAnsi="Times New Roman"/>
          <w:sz w:val="20"/>
          <w:szCs w:val="20"/>
        </w:rPr>
        <w:t>Co</w:t>
      </w:r>
      <w:proofErr w:type="spellEnd"/>
      <w:r w:rsidR="008D05C4" w:rsidRPr="008D05C4">
        <w:rPr>
          <w:rFonts w:ascii="Times New Roman" w:hAnsi="Times New Roman"/>
          <w:sz w:val="20"/>
          <w:szCs w:val="20"/>
        </w:rPr>
        <w:t>/</w:t>
      </w:r>
      <w:proofErr w:type="spellStart"/>
      <w:r w:rsidR="008D05C4" w:rsidRPr="008D05C4">
        <w:rPr>
          <w:rFonts w:ascii="Times New Roman" w:hAnsi="Times New Roman"/>
          <w:sz w:val="20"/>
          <w:szCs w:val="20"/>
        </w:rPr>
        <w:t>Mo</w:t>
      </w:r>
      <w:proofErr w:type="spellEnd"/>
      <w:r w:rsidR="008D05C4" w:rsidRPr="008D05C4">
        <w:rPr>
          <w:rFonts w:ascii="Times New Roman" w:hAnsi="Times New Roman"/>
          <w:sz w:val="20"/>
          <w:szCs w:val="20"/>
        </w:rPr>
        <w:t xml:space="preserve"> muito maiores do que a faixa de sinergia proposta na literatura</w:t>
      </w:r>
      <w:r w:rsidR="00634A5B">
        <w:rPr>
          <w:rFonts w:ascii="Times New Roman" w:hAnsi="Times New Roman"/>
          <w:sz w:val="20"/>
          <w:szCs w:val="20"/>
        </w:rPr>
        <w:t xml:space="preserve"> (24</w:t>
      </w:r>
      <w:r w:rsidR="00C20BC6">
        <w:rPr>
          <w:rFonts w:ascii="Times New Roman" w:hAnsi="Times New Roman"/>
          <w:sz w:val="20"/>
          <w:szCs w:val="20"/>
        </w:rPr>
        <w:t>)</w:t>
      </w:r>
      <w:r w:rsidR="004C7A8C">
        <w:rPr>
          <w:rFonts w:ascii="Times New Roman" w:hAnsi="Times New Roman"/>
          <w:sz w:val="20"/>
          <w:szCs w:val="20"/>
        </w:rPr>
        <w:t>.</w:t>
      </w:r>
      <w:r w:rsidRPr="00C46665">
        <w:rPr>
          <w:rFonts w:ascii="Times New Roman" w:hAnsi="Times New Roman"/>
          <w:sz w:val="20"/>
          <w:szCs w:val="20"/>
        </w:rPr>
        <w:t xml:space="preserve"> É interessante notar que a quantidade de </w:t>
      </w:r>
      <w:proofErr w:type="spellStart"/>
      <w:r w:rsidRPr="00C46665">
        <w:rPr>
          <w:rFonts w:ascii="Times New Roman" w:hAnsi="Times New Roman"/>
          <w:sz w:val="20"/>
          <w:szCs w:val="20"/>
        </w:rPr>
        <w:t>Mo</w:t>
      </w:r>
      <w:proofErr w:type="spellEnd"/>
      <w:r w:rsidRPr="00C46665">
        <w:rPr>
          <w:rFonts w:ascii="Times New Roman" w:hAnsi="Times New Roman"/>
          <w:sz w:val="20"/>
          <w:szCs w:val="20"/>
        </w:rPr>
        <w:t xml:space="preserve"> aumentou com o aumento da quantidade de Al nas amostras da série contendo zinco, ao passo, que essa relação é inversa para as amostras da série de manganês, ou seja, </w:t>
      </w:r>
      <w:r>
        <w:rPr>
          <w:rFonts w:ascii="Times New Roman" w:hAnsi="Times New Roman"/>
          <w:sz w:val="20"/>
          <w:szCs w:val="20"/>
        </w:rPr>
        <w:t>à</w:t>
      </w:r>
      <w:r w:rsidRPr="00C46665">
        <w:rPr>
          <w:rFonts w:ascii="Times New Roman" w:hAnsi="Times New Roman"/>
          <w:sz w:val="20"/>
          <w:szCs w:val="20"/>
        </w:rPr>
        <w:t xml:space="preserve"> medida que a quantidade </w:t>
      </w:r>
      <w:r>
        <w:rPr>
          <w:rFonts w:ascii="Times New Roman" w:hAnsi="Times New Roman"/>
          <w:sz w:val="20"/>
          <w:szCs w:val="20"/>
        </w:rPr>
        <w:t xml:space="preserve">de </w:t>
      </w:r>
      <w:r w:rsidRPr="00C46665">
        <w:rPr>
          <w:rFonts w:ascii="Times New Roman" w:hAnsi="Times New Roman"/>
          <w:sz w:val="20"/>
          <w:szCs w:val="20"/>
        </w:rPr>
        <w:t xml:space="preserve">Al aumenta a quantidade de </w:t>
      </w:r>
      <w:proofErr w:type="spellStart"/>
      <w:r w:rsidRPr="00C46665">
        <w:rPr>
          <w:rFonts w:ascii="Times New Roman" w:hAnsi="Times New Roman"/>
          <w:sz w:val="20"/>
          <w:szCs w:val="20"/>
        </w:rPr>
        <w:t>Mo</w:t>
      </w:r>
      <w:proofErr w:type="spellEnd"/>
      <w:r w:rsidRPr="00C46665">
        <w:rPr>
          <w:rFonts w:ascii="Times New Roman" w:hAnsi="Times New Roman"/>
          <w:sz w:val="20"/>
          <w:szCs w:val="20"/>
        </w:rPr>
        <w:t xml:space="preserve"> diminui. Acredita-se que para a série de manganês o alumínio tenha sido segregado em outra fase durante a troca iônica, diminuindo a densidade de carga da lamela e prejudicando, portanto, a inserção de espécies de </w:t>
      </w:r>
      <w:proofErr w:type="spellStart"/>
      <w:r w:rsidRPr="00C46665">
        <w:rPr>
          <w:rFonts w:ascii="Times New Roman" w:hAnsi="Times New Roman"/>
          <w:sz w:val="20"/>
          <w:szCs w:val="20"/>
        </w:rPr>
        <w:t>Mo</w:t>
      </w:r>
      <w:proofErr w:type="spellEnd"/>
      <w:r w:rsidRPr="00C46665">
        <w:rPr>
          <w:rFonts w:ascii="Times New Roman" w:hAnsi="Times New Roman"/>
          <w:sz w:val="20"/>
          <w:szCs w:val="20"/>
        </w:rPr>
        <w:t xml:space="preserve"> na região </w:t>
      </w:r>
      <w:proofErr w:type="spellStart"/>
      <w:r w:rsidRPr="00C46665">
        <w:rPr>
          <w:rFonts w:ascii="Times New Roman" w:hAnsi="Times New Roman"/>
          <w:sz w:val="20"/>
          <w:szCs w:val="20"/>
        </w:rPr>
        <w:t>interlamelar</w:t>
      </w:r>
      <w:proofErr w:type="spellEnd"/>
      <w:r w:rsidRPr="00C46665">
        <w:rPr>
          <w:rFonts w:ascii="Times New Roman" w:hAnsi="Times New Roman"/>
          <w:sz w:val="20"/>
          <w:szCs w:val="20"/>
        </w:rPr>
        <w:t xml:space="preserve"> dessas amostras, visto que uma menor quantidade do ânion seria necessária para neutralizar o composto.</w:t>
      </w:r>
    </w:p>
    <w:p w14:paraId="7E8A3689" w14:textId="77777777" w:rsidR="00BB4750" w:rsidRPr="001F25B2" w:rsidRDefault="00BB4750" w:rsidP="009A7529">
      <w:pPr>
        <w:pStyle w:val="Ttulo2"/>
        <w:spacing w:before="80"/>
        <w:rPr>
          <w:rFonts w:ascii="Helvetica" w:hAnsi="Helvetica" w:cs="Helvetica"/>
          <w:sz w:val="24"/>
          <w:szCs w:val="24"/>
        </w:rPr>
      </w:pPr>
      <w:r w:rsidRPr="001F25B2">
        <w:rPr>
          <w:rFonts w:ascii="Helvetica" w:hAnsi="Helvetica" w:cs="Helvetica"/>
          <w:sz w:val="24"/>
          <w:szCs w:val="24"/>
        </w:rPr>
        <w:t>Conclusões</w:t>
      </w:r>
    </w:p>
    <w:p w14:paraId="175B3410" w14:textId="7B5AEBB3" w:rsidR="00BB4750" w:rsidRPr="001F25B2" w:rsidRDefault="00BB4750" w:rsidP="009A7529">
      <w:pPr>
        <w:pStyle w:val="TAMainText"/>
        <w:spacing w:after="120"/>
        <w:ind w:firstLine="187"/>
        <w:rPr>
          <w:rFonts w:ascii="Times New Roman" w:hAnsi="Times New Roman"/>
          <w:lang w:val="pt-BR"/>
        </w:rPr>
      </w:pPr>
      <w:r>
        <w:rPr>
          <w:rFonts w:ascii="Times New Roman" w:hAnsi="Times New Roman"/>
          <w:lang w:val="pt-BR"/>
        </w:rPr>
        <w:t xml:space="preserve">Óxidos mistos de composição </w:t>
      </w:r>
      <w:proofErr w:type="spellStart"/>
      <w:r>
        <w:rPr>
          <w:rFonts w:ascii="Times New Roman" w:hAnsi="Times New Roman"/>
          <w:lang w:val="pt-BR"/>
        </w:rPr>
        <w:t>CoMoZnAl</w:t>
      </w:r>
      <w:proofErr w:type="spellEnd"/>
      <w:r>
        <w:rPr>
          <w:rFonts w:ascii="Times New Roman" w:hAnsi="Times New Roman"/>
          <w:lang w:val="pt-BR"/>
        </w:rPr>
        <w:t xml:space="preserve"> e </w:t>
      </w:r>
      <w:proofErr w:type="spellStart"/>
      <w:r>
        <w:rPr>
          <w:rFonts w:ascii="Times New Roman" w:hAnsi="Times New Roman"/>
          <w:lang w:val="pt-BR"/>
        </w:rPr>
        <w:t>CoMoMnAl</w:t>
      </w:r>
      <w:proofErr w:type="spellEnd"/>
      <w:r>
        <w:rPr>
          <w:rFonts w:ascii="Times New Roman" w:hAnsi="Times New Roman"/>
          <w:lang w:val="pt-BR"/>
        </w:rPr>
        <w:t xml:space="preserve"> foram obtidos a partir de compostos de </w:t>
      </w:r>
      <w:proofErr w:type="spellStart"/>
      <w:r>
        <w:rPr>
          <w:rFonts w:ascii="Times New Roman" w:hAnsi="Times New Roman"/>
          <w:lang w:val="pt-BR"/>
        </w:rPr>
        <w:t>hidrotalcitas</w:t>
      </w:r>
      <w:proofErr w:type="spellEnd"/>
      <w:r>
        <w:rPr>
          <w:rFonts w:ascii="Times New Roman" w:hAnsi="Times New Roman"/>
          <w:lang w:val="pt-BR"/>
        </w:rPr>
        <w:t>. A avaliação d</w:t>
      </w:r>
      <w:r w:rsidR="003B4741">
        <w:rPr>
          <w:rFonts w:ascii="Times New Roman" w:hAnsi="Times New Roman"/>
          <w:lang w:val="pt-BR"/>
        </w:rPr>
        <w:t xml:space="preserve">as propriedades </w:t>
      </w:r>
      <w:proofErr w:type="spellStart"/>
      <w:r w:rsidR="003B4741">
        <w:rPr>
          <w:rFonts w:ascii="Times New Roman" w:hAnsi="Times New Roman"/>
          <w:lang w:val="pt-BR"/>
        </w:rPr>
        <w:t>texturais</w:t>
      </w:r>
      <w:proofErr w:type="spellEnd"/>
      <w:r w:rsidR="003B4741">
        <w:rPr>
          <w:rFonts w:ascii="Times New Roman" w:hAnsi="Times New Roman"/>
          <w:lang w:val="pt-BR"/>
        </w:rPr>
        <w:t xml:space="preserve"> dos óxidos </w:t>
      </w:r>
      <w:r>
        <w:rPr>
          <w:rFonts w:ascii="Times New Roman" w:hAnsi="Times New Roman"/>
          <w:lang w:val="pt-BR"/>
        </w:rPr>
        <w:t xml:space="preserve">mostram que as amostras da série de Mn possuem maior área quando comparados com àquelas da série de Zn. Ainda, </w:t>
      </w:r>
      <w:r w:rsidRPr="00C70681">
        <w:rPr>
          <w:rFonts w:ascii="Times New Roman" w:hAnsi="Times New Roman"/>
          <w:lang w:val="x-none"/>
        </w:rPr>
        <w:t>quando se compara</w:t>
      </w:r>
      <w:r w:rsidR="003B4741">
        <w:rPr>
          <w:rFonts w:ascii="Times New Roman" w:hAnsi="Times New Roman"/>
          <w:lang w:val="pt-BR"/>
        </w:rPr>
        <w:t>m</w:t>
      </w:r>
      <w:r w:rsidRPr="00C70681">
        <w:rPr>
          <w:rFonts w:ascii="Times New Roman" w:hAnsi="Times New Roman"/>
          <w:lang w:val="x-none"/>
        </w:rPr>
        <w:t xml:space="preserve"> os valores de área para as amostras da mesma série, aquelas onde o pico relativo à fase β-CoMoO</w:t>
      </w:r>
      <w:r w:rsidRPr="00C70681">
        <w:rPr>
          <w:rFonts w:ascii="Times New Roman" w:hAnsi="Times New Roman"/>
          <w:vertAlign w:val="subscript"/>
          <w:lang w:val="x-none"/>
        </w:rPr>
        <w:t xml:space="preserve">4 </w:t>
      </w:r>
      <w:r w:rsidRPr="00C70681">
        <w:rPr>
          <w:rFonts w:ascii="Times New Roman" w:hAnsi="Times New Roman"/>
          <w:lang w:val="x-none"/>
        </w:rPr>
        <w:t xml:space="preserve">é mais pronunciado possuem a menor área, assim como observado </w:t>
      </w:r>
      <w:r w:rsidRPr="00C70681">
        <w:rPr>
          <w:rFonts w:ascii="Times New Roman" w:hAnsi="Times New Roman"/>
          <w:lang w:val="x-none"/>
        </w:rPr>
        <w:t>para a amostra Co10Zn40Al50MoC em relação as demais. O mesmo fato é observado para as amostras contendo manganês, onde a amostra Co30Mn20Al50MoC</w:t>
      </w:r>
      <w:r>
        <w:rPr>
          <w:rFonts w:ascii="Times New Roman" w:hAnsi="Times New Roman"/>
          <w:lang w:val="pt-BR"/>
        </w:rPr>
        <w:t xml:space="preserve"> possui menor área em relação a outras da sua série, sugerindo</w:t>
      </w:r>
      <w:r w:rsidRPr="00C61637">
        <w:rPr>
          <w:rFonts w:ascii="Times New Roman" w:hAnsi="Times New Roman"/>
          <w:lang w:val="x-none"/>
        </w:rPr>
        <w:t xml:space="preserve"> que os materiais com maior quantidade da</w:t>
      </w:r>
      <w:r>
        <w:rPr>
          <w:rFonts w:ascii="Times New Roman" w:hAnsi="Times New Roman"/>
          <w:lang w:val="pt-BR"/>
        </w:rPr>
        <w:t xml:space="preserve"> </w:t>
      </w:r>
      <w:r w:rsidRPr="00C61637">
        <w:rPr>
          <w:rFonts w:ascii="Times New Roman" w:hAnsi="Times New Roman"/>
          <w:lang w:val="x-none"/>
        </w:rPr>
        <w:t>fase β-</w:t>
      </w:r>
      <w:proofErr w:type="spellStart"/>
      <w:r w:rsidRPr="00C61637">
        <w:rPr>
          <w:rFonts w:ascii="Times New Roman" w:hAnsi="Times New Roman"/>
          <w:lang w:val="x-none"/>
        </w:rPr>
        <w:t>molibdato</w:t>
      </w:r>
      <w:proofErr w:type="spellEnd"/>
      <w:r w:rsidRPr="00C61637">
        <w:rPr>
          <w:rFonts w:ascii="Times New Roman" w:hAnsi="Times New Roman"/>
          <w:lang w:val="x-none"/>
        </w:rPr>
        <w:t xml:space="preserve"> na sua composição possuem as áreas específicas mais baixas</w:t>
      </w:r>
      <w:r>
        <w:rPr>
          <w:rFonts w:ascii="Times New Roman" w:hAnsi="Times New Roman"/>
          <w:lang w:val="pt-BR"/>
        </w:rPr>
        <w:t>. Por outro lado,</w:t>
      </w:r>
      <w:r w:rsidR="004A2D77">
        <w:rPr>
          <w:rFonts w:ascii="Times New Roman" w:hAnsi="Times New Roman"/>
          <w:lang w:val="pt-BR"/>
        </w:rPr>
        <w:t xml:space="preserve"> conforme discutido,</w:t>
      </w:r>
      <w:r>
        <w:rPr>
          <w:rFonts w:ascii="Times New Roman" w:hAnsi="Times New Roman"/>
          <w:lang w:val="pt-BR"/>
        </w:rPr>
        <w:t xml:space="preserve"> a presença dessa fase pode ser interessante para a formação de sítios ativos da fase sulfetada para HDS</w:t>
      </w:r>
      <w:r w:rsidR="005053C5">
        <w:rPr>
          <w:rFonts w:ascii="Times New Roman" w:hAnsi="Times New Roman"/>
          <w:lang w:val="pt-BR"/>
        </w:rPr>
        <w:t xml:space="preserve"> do</w:t>
      </w:r>
      <w:r>
        <w:rPr>
          <w:rFonts w:ascii="Times New Roman" w:hAnsi="Times New Roman"/>
          <w:lang w:val="pt-BR"/>
        </w:rPr>
        <w:t xml:space="preserve"> tiofeno.</w:t>
      </w:r>
    </w:p>
    <w:p w14:paraId="24EDD5B2" w14:textId="724BC37D" w:rsidR="00F90DAB" w:rsidRPr="0010096A" w:rsidRDefault="00BB4750" w:rsidP="0010096A">
      <w:pPr>
        <w:pStyle w:val="Ttulo2"/>
        <w:spacing w:before="0" w:after="80"/>
        <w:rPr>
          <w:rFonts w:ascii="Helvetica" w:hAnsi="Helvetica" w:cs="Helvetica"/>
          <w:sz w:val="24"/>
          <w:szCs w:val="24"/>
        </w:rPr>
      </w:pPr>
      <w:r w:rsidRPr="001F25B2">
        <w:rPr>
          <w:rFonts w:ascii="Helvetica" w:hAnsi="Helvetica" w:cs="Helvetica"/>
          <w:sz w:val="24"/>
          <w:szCs w:val="24"/>
        </w:rPr>
        <w:t>Agradecimentos</w:t>
      </w:r>
    </w:p>
    <w:p w14:paraId="532BD179" w14:textId="77777777" w:rsidR="00F90DAB" w:rsidRDefault="00F90DAB" w:rsidP="00C20133">
      <w:pPr>
        <w:spacing w:after="0"/>
        <w:rPr>
          <w:rFonts w:ascii="Times New Roman" w:hAnsi="Times New Roman"/>
          <w:sz w:val="20"/>
          <w:szCs w:val="20"/>
        </w:rPr>
      </w:pPr>
      <w:r w:rsidRPr="00360A70">
        <w:rPr>
          <w:rFonts w:ascii="Times New Roman" w:hAnsi="Times New Roman"/>
          <w:sz w:val="20"/>
          <w:szCs w:val="20"/>
        </w:rPr>
        <w:t>CENPES – PETROBRAS             LABCATH-UFRJ</w:t>
      </w:r>
    </w:p>
    <w:p w14:paraId="6DD92FEC" w14:textId="75262A45" w:rsidR="00F9411B" w:rsidRPr="00360A70" w:rsidRDefault="00F9411B" w:rsidP="008D05C4">
      <w:pPr>
        <w:spacing w:after="0"/>
        <w:rPr>
          <w:rFonts w:ascii="Times New Roman" w:hAnsi="Times New Roman"/>
          <w:sz w:val="20"/>
          <w:szCs w:val="20"/>
        </w:rPr>
      </w:pPr>
      <w:r>
        <w:rPr>
          <w:rFonts w:ascii="Times New Roman" w:hAnsi="Times New Roman"/>
          <w:sz w:val="20"/>
          <w:szCs w:val="20"/>
        </w:rPr>
        <w:t xml:space="preserve">Os autores agradecem ao grupo </w:t>
      </w:r>
      <w:r w:rsidRPr="00F9411B">
        <w:rPr>
          <w:rFonts w:ascii="Times New Roman" w:hAnsi="Times New Roman"/>
          <w:sz w:val="20"/>
          <w:szCs w:val="20"/>
        </w:rPr>
        <w:t>NEEM</w:t>
      </w:r>
      <w:r w:rsidR="005D7FA3">
        <w:rPr>
          <w:rFonts w:ascii="Times New Roman" w:hAnsi="Times New Roman"/>
          <w:sz w:val="20"/>
          <w:szCs w:val="20"/>
        </w:rPr>
        <w:t>-D</w:t>
      </w:r>
      <w:r>
        <w:rPr>
          <w:rFonts w:ascii="Times New Roman" w:hAnsi="Times New Roman"/>
          <w:sz w:val="20"/>
          <w:szCs w:val="20"/>
        </w:rPr>
        <w:t>Q-UFJF pelas análises Raman.</w:t>
      </w:r>
    </w:p>
    <w:p w14:paraId="530FF78E" w14:textId="77777777" w:rsidR="00BB4750" w:rsidRDefault="00BB4750" w:rsidP="008D05C4">
      <w:pPr>
        <w:pStyle w:val="Ttulo2"/>
        <w:spacing w:before="80" w:after="0"/>
        <w:rPr>
          <w:rFonts w:ascii="Helvetica" w:hAnsi="Helvetica" w:cs="Helvetica"/>
          <w:sz w:val="24"/>
          <w:szCs w:val="24"/>
        </w:rPr>
      </w:pPr>
      <w:r w:rsidRPr="001F25B2">
        <w:rPr>
          <w:rFonts w:ascii="Helvetica" w:hAnsi="Helvetica" w:cs="Helvetica"/>
          <w:sz w:val="24"/>
          <w:szCs w:val="24"/>
        </w:rPr>
        <w:t>Referências</w:t>
      </w:r>
    </w:p>
    <w:p w14:paraId="7AA17C43" w14:textId="558C5857" w:rsidR="00164A4B" w:rsidRPr="00756C0D" w:rsidRDefault="00164A4B" w:rsidP="00164A4B">
      <w:pPr>
        <w:pStyle w:val="EndNoteBibliography"/>
        <w:spacing w:after="0"/>
        <w:ind w:left="142" w:hanging="142"/>
        <w:jc w:val="both"/>
        <w:rPr>
          <w:rFonts w:ascii="Times New Roman" w:hAnsi="Times New Roman"/>
          <w:szCs w:val="20"/>
        </w:rPr>
      </w:pPr>
      <w:r w:rsidRPr="00F9411B">
        <w:rPr>
          <w:rFonts w:ascii="Times New Roman" w:hAnsi="Times New Roman"/>
          <w:szCs w:val="20"/>
          <w:lang w:val="pt-BR"/>
        </w:rPr>
        <w:t xml:space="preserve">1.R.T. Yang, A.J. Hernández-Maldonado, F.H. Yang. </w:t>
      </w:r>
      <w:r w:rsidRPr="00756C0D">
        <w:rPr>
          <w:rFonts w:ascii="Times New Roman" w:hAnsi="Times New Roman"/>
          <w:szCs w:val="20"/>
        </w:rPr>
        <w:t xml:space="preserve">Sciense, </w:t>
      </w:r>
      <w:r w:rsidRPr="00756C0D">
        <w:rPr>
          <w:rFonts w:ascii="Times New Roman" w:hAnsi="Times New Roman"/>
          <w:b/>
          <w:szCs w:val="20"/>
        </w:rPr>
        <w:t>2003</w:t>
      </w:r>
      <w:r w:rsidRPr="00756C0D">
        <w:rPr>
          <w:rFonts w:ascii="Times New Roman" w:hAnsi="Times New Roman"/>
          <w:szCs w:val="20"/>
        </w:rPr>
        <w:t xml:space="preserve">, </w:t>
      </w:r>
      <w:r w:rsidRPr="00756C0D">
        <w:rPr>
          <w:rFonts w:ascii="Times New Roman" w:hAnsi="Times New Roman"/>
          <w:i/>
          <w:szCs w:val="20"/>
        </w:rPr>
        <w:t>301</w:t>
      </w:r>
      <w:r w:rsidRPr="00756C0D">
        <w:rPr>
          <w:rFonts w:ascii="Times New Roman" w:hAnsi="Times New Roman"/>
          <w:szCs w:val="20"/>
        </w:rPr>
        <w:t>,</w:t>
      </w:r>
      <w:r w:rsidR="00386224" w:rsidRPr="00756C0D">
        <w:rPr>
          <w:rFonts w:ascii="Times New Roman" w:hAnsi="Times New Roman"/>
          <w:szCs w:val="20"/>
        </w:rPr>
        <w:t xml:space="preserve"> </w:t>
      </w:r>
      <w:r w:rsidRPr="00756C0D">
        <w:rPr>
          <w:rFonts w:ascii="Times New Roman" w:hAnsi="Times New Roman"/>
          <w:szCs w:val="20"/>
        </w:rPr>
        <w:t>79-81.</w:t>
      </w:r>
    </w:p>
    <w:p w14:paraId="47537696" w14:textId="2CA21027" w:rsidR="00537D7B" w:rsidRPr="00165A67" w:rsidRDefault="00537D7B" w:rsidP="00164A4B">
      <w:pPr>
        <w:pStyle w:val="EndNoteBibliography"/>
        <w:spacing w:after="0"/>
        <w:ind w:left="142" w:hanging="142"/>
        <w:jc w:val="both"/>
        <w:rPr>
          <w:rFonts w:ascii="Times New Roman" w:hAnsi="Times New Roman"/>
          <w:szCs w:val="20"/>
          <w:lang w:val="es-CO"/>
        </w:rPr>
      </w:pPr>
      <w:r w:rsidRPr="00F9411B">
        <w:rPr>
          <w:rFonts w:ascii="Times New Roman" w:hAnsi="Times New Roman"/>
          <w:szCs w:val="20"/>
        </w:rPr>
        <w:t xml:space="preserve">2. S. Brunet , et al. Appl. </w:t>
      </w:r>
      <w:r w:rsidRPr="00F9411B">
        <w:rPr>
          <w:rFonts w:ascii="Times New Roman" w:hAnsi="Times New Roman"/>
          <w:szCs w:val="20"/>
          <w:lang w:val="pt-BR"/>
        </w:rPr>
        <w:t xml:space="preserve">Catal. </w:t>
      </w:r>
      <w:r w:rsidRPr="00165A67">
        <w:rPr>
          <w:rFonts w:ascii="Times New Roman" w:hAnsi="Times New Roman"/>
          <w:szCs w:val="20"/>
          <w:lang w:val="es-CO"/>
        </w:rPr>
        <w:t xml:space="preserve">A: General, </w:t>
      </w:r>
      <w:r w:rsidRPr="00165A67">
        <w:rPr>
          <w:rFonts w:ascii="Times New Roman" w:hAnsi="Times New Roman"/>
          <w:b/>
          <w:szCs w:val="20"/>
          <w:lang w:val="es-CO"/>
        </w:rPr>
        <w:t>2005</w:t>
      </w:r>
      <w:r w:rsidR="00386224" w:rsidRPr="00165A67">
        <w:rPr>
          <w:rFonts w:ascii="Times New Roman" w:hAnsi="Times New Roman"/>
          <w:szCs w:val="20"/>
          <w:lang w:val="es-CO"/>
        </w:rPr>
        <w:t xml:space="preserve">, </w:t>
      </w:r>
      <w:r w:rsidRPr="00165A67">
        <w:rPr>
          <w:rFonts w:ascii="Times New Roman" w:hAnsi="Times New Roman"/>
          <w:i/>
          <w:szCs w:val="20"/>
          <w:lang w:val="es-CO"/>
        </w:rPr>
        <w:t>278</w:t>
      </w:r>
      <w:r w:rsidR="00386224" w:rsidRPr="00165A67">
        <w:rPr>
          <w:rFonts w:ascii="Times New Roman" w:hAnsi="Times New Roman"/>
          <w:szCs w:val="20"/>
          <w:lang w:val="es-CO"/>
        </w:rPr>
        <w:t>,</w:t>
      </w:r>
      <w:r w:rsidRPr="00165A67">
        <w:rPr>
          <w:rFonts w:ascii="Times New Roman" w:hAnsi="Times New Roman"/>
          <w:szCs w:val="20"/>
          <w:lang w:val="es-CO"/>
        </w:rPr>
        <w:t xml:space="preserve"> 143-172.</w:t>
      </w:r>
    </w:p>
    <w:p w14:paraId="51E207A0" w14:textId="7DB4567E" w:rsidR="00F21DC6" w:rsidRPr="00F9411B" w:rsidRDefault="00537D7B" w:rsidP="00164A4B">
      <w:pPr>
        <w:pStyle w:val="EndNoteBibliography"/>
        <w:spacing w:after="0"/>
        <w:ind w:left="142" w:hanging="142"/>
        <w:jc w:val="both"/>
        <w:rPr>
          <w:rFonts w:ascii="Times New Roman" w:hAnsi="Times New Roman"/>
          <w:szCs w:val="20"/>
        </w:rPr>
      </w:pPr>
      <w:r w:rsidRPr="00165A67">
        <w:rPr>
          <w:rFonts w:ascii="Times New Roman" w:hAnsi="Times New Roman"/>
          <w:szCs w:val="20"/>
          <w:lang w:val="es-CO"/>
        </w:rPr>
        <w:t>3</w:t>
      </w:r>
      <w:r w:rsidR="00F21DC6" w:rsidRPr="00165A67">
        <w:rPr>
          <w:rFonts w:ascii="Times New Roman" w:hAnsi="Times New Roman"/>
          <w:szCs w:val="20"/>
          <w:lang w:val="es-CO"/>
        </w:rPr>
        <w:t>. J.S. Valente;</w:t>
      </w:r>
      <w:r w:rsidRPr="00165A67">
        <w:rPr>
          <w:rFonts w:ascii="Times New Roman" w:hAnsi="Times New Roman"/>
          <w:szCs w:val="20"/>
          <w:lang w:val="es-CO"/>
        </w:rPr>
        <w:t xml:space="preserve"> et al.</w:t>
      </w:r>
      <w:r w:rsidR="00F21DC6" w:rsidRPr="00165A67">
        <w:rPr>
          <w:rFonts w:ascii="Times New Roman" w:hAnsi="Times New Roman"/>
          <w:szCs w:val="20"/>
          <w:lang w:val="es-CO"/>
        </w:rPr>
        <w:t xml:space="preserve"> </w:t>
      </w:r>
      <w:r w:rsidR="00F21DC6" w:rsidRPr="00F9411B">
        <w:rPr>
          <w:rFonts w:ascii="Times New Roman" w:hAnsi="Times New Roman"/>
          <w:szCs w:val="20"/>
        </w:rPr>
        <w:t xml:space="preserve">Catal. Today, </w:t>
      </w:r>
      <w:r w:rsidR="00386224" w:rsidRPr="00F9411B">
        <w:rPr>
          <w:rFonts w:ascii="Times New Roman" w:hAnsi="Times New Roman"/>
          <w:b/>
          <w:szCs w:val="20"/>
        </w:rPr>
        <w:t>2010</w:t>
      </w:r>
      <w:r w:rsidR="00386224" w:rsidRPr="00F9411B">
        <w:rPr>
          <w:rFonts w:ascii="Times New Roman" w:hAnsi="Times New Roman"/>
          <w:szCs w:val="20"/>
        </w:rPr>
        <w:t xml:space="preserve">, </w:t>
      </w:r>
      <w:r w:rsidR="00F21DC6" w:rsidRPr="00F9411B">
        <w:rPr>
          <w:rFonts w:ascii="Times New Roman" w:hAnsi="Times New Roman"/>
          <w:i/>
          <w:szCs w:val="20"/>
        </w:rPr>
        <w:t>150</w:t>
      </w:r>
      <w:r w:rsidR="00F21DC6" w:rsidRPr="00F9411B">
        <w:rPr>
          <w:rFonts w:ascii="Times New Roman" w:hAnsi="Times New Roman"/>
          <w:szCs w:val="20"/>
        </w:rPr>
        <w:t>,</w:t>
      </w:r>
      <w:r w:rsidR="00386224" w:rsidRPr="00F9411B">
        <w:rPr>
          <w:rFonts w:ascii="Times New Roman" w:hAnsi="Times New Roman"/>
          <w:szCs w:val="20"/>
        </w:rPr>
        <w:t xml:space="preserve"> </w:t>
      </w:r>
      <w:r w:rsidR="00F21DC6" w:rsidRPr="00F9411B">
        <w:rPr>
          <w:rFonts w:ascii="Times New Roman" w:hAnsi="Times New Roman"/>
          <w:szCs w:val="20"/>
        </w:rPr>
        <w:t>340-345</w:t>
      </w:r>
      <w:r w:rsidR="00386224" w:rsidRPr="00F9411B">
        <w:rPr>
          <w:rFonts w:ascii="Times New Roman" w:hAnsi="Times New Roman"/>
          <w:szCs w:val="20"/>
        </w:rPr>
        <w:t>.</w:t>
      </w:r>
    </w:p>
    <w:p w14:paraId="2698F24E" w14:textId="66C22079" w:rsidR="00BB4750" w:rsidRPr="003C19C4" w:rsidRDefault="00537D7B" w:rsidP="009A7529">
      <w:pPr>
        <w:pStyle w:val="EndNoteBibliography"/>
        <w:spacing w:after="0"/>
        <w:ind w:left="142" w:hanging="142"/>
        <w:jc w:val="both"/>
        <w:rPr>
          <w:rFonts w:ascii="Times New Roman" w:hAnsi="Times New Roman"/>
          <w:szCs w:val="20"/>
          <w:lang w:val="pt-BR"/>
        </w:rPr>
      </w:pPr>
      <w:r w:rsidRPr="00386224">
        <w:rPr>
          <w:rFonts w:ascii="Times New Roman" w:hAnsi="Times New Roman"/>
          <w:szCs w:val="20"/>
        </w:rPr>
        <w:t>4</w:t>
      </w:r>
      <w:r w:rsidR="00BB4750" w:rsidRPr="00386224">
        <w:rPr>
          <w:rFonts w:ascii="Times New Roman" w:hAnsi="Times New Roman"/>
          <w:szCs w:val="20"/>
        </w:rPr>
        <w:t xml:space="preserve">. </w:t>
      </w:r>
      <w:r w:rsidR="00386224" w:rsidRPr="00386224">
        <w:rPr>
          <w:rFonts w:ascii="Times New Roman" w:hAnsi="Times New Roman"/>
          <w:szCs w:val="20"/>
        </w:rPr>
        <w:t>C.L. Kibby</w:t>
      </w:r>
      <w:r w:rsidR="00BB4750" w:rsidRPr="00386224">
        <w:rPr>
          <w:rFonts w:ascii="Times New Roman" w:hAnsi="Times New Roman"/>
          <w:szCs w:val="20"/>
        </w:rPr>
        <w:t xml:space="preserve"> and H.E. Swift. </w:t>
      </w:r>
      <w:r w:rsidR="009A7529" w:rsidRPr="003C19C4">
        <w:rPr>
          <w:rFonts w:ascii="Times New Roman" w:hAnsi="Times New Roman"/>
          <w:szCs w:val="20"/>
          <w:lang w:val="pt-BR"/>
        </w:rPr>
        <w:t>J.</w:t>
      </w:r>
      <w:r w:rsidR="00BB4750" w:rsidRPr="003C19C4">
        <w:rPr>
          <w:rFonts w:ascii="Times New Roman" w:hAnsi="Times New Roman"/>
          <w:szCs w:val="20"/>
          <w:lang w:val="pt-BR"/>
        </w:rPr>
        <w:t xml:space="preserve"> Catal</w:t>
      </w:r>
      <w:r w:rsidR="009A7529" w:rsidRPr="003C19C4">
        <w:rPr>
          <w:rFonts w:ascii="Times New Roman" w:hAnsi="Times New Roman"/>
          <w:szCs w:val="20"/>
          <w:lang w:val="pt-BR"/>
        </w:rPr>
        <w:t>.</w:t>
      </w:r>
      <w:r w:rsidR="00386224">
        <w:rPr>
          <w:rFonts w:ascii="Times New Roman" w:hAnsi="Times New Roman"/>
          <w:szCs w:val="20"/>
          <w:lang w:val="pt-BR"/>
        </w:rPr>
        <w:t xml:space="preserve"> </w:t>
      </w:r>
      <w:r w:rsidR="00386224" w:rsidRPr="00386224">
        <w:rPr>
          <w:rFonts w:ascii="Times New Roman" w:hAnsi="Times New Roman"/>
          <w:b/>
          <w:szCs w:val="20"/>
          <w:lang w:val="pt-BR"/>
        </w:rPr>
        <w:t>1976</w:t>
      </w:r>
      <w:r w:rsidR="00386224" w:rsidRPr="00386224">
        <w:rPr>
          <w:rFonts w:ascii="Times New Roman" w:hAnsi="Times New Roman"/>
          <w:szCs w:val="20"/>
          <w:lang w:val="pt-BR"/>
        </w:rPr>
        <w:t>,</w:t>
      </w:r>
      <w:r w:rsidR="00BB4750" w:rsidRPr="00386224">
        <w:rPr>
          <w:rFonts w:ascii="Times New Roman" w:hAnsi="Times New Roman"/>
          <w:szCs w:val="20"/>
          <w:lang w:val="pt-BR"/>
        </w:rPr>
        <w:t xml:space="preserve"> </w:t>
      </w:r>
      <w:r w:rsidR="00BB4750" w:rsidRPr="00386224">
        <w:rPr>
          <w:rFonts w:ascii="Times New Roman" w:hAnsi="Times New Roman"/>
          <w:i/>
          <w:szCs w:val="20"/>
          <w:lang w:val="pt-BR"/>
        </w:rPr>
        <w:t>45</w:t>
      </w:r>
      <w:r w:rsidR="00386224" w:rsidRPr="00386224">
        <w:rPr>
          <w:rFonts w:ascii="Times New Roman" w:hAnsi="Times New Roman"/>
          <w:szCs w:val="20"/>
          <w:lang w:val="pt-BR"/>
        </w:rPr>
        <w:t>,</w:t>
      </w:r>
      <w:r w:rsidR="00BB4750" w:rsidRPr="003C19C4">
        <w:rPr>
          <w:rFonts w:ascii="Times New Roman" w:hAnsi="Times New Roman"/>
          <w:szCs w:val="20"/>
          <w:lang w:val="pt-BR"/>
        </w:rPr>
        <w:t xml:space="preserve"> 231-241.</w:t>
      </w:r>
    </w:p>
    <w:p w14:paraId="54946D81" w14:textId="103DA78C" w:rsidR="00BB4750" w:rsidRPr="00F90DAB" w:rsidRDefault="00537D7B" w:rsidP="009A7529">
      <w:pPr>
        <w:pStyle w:val="EndNoteBibliography"/>
        <w:spacing w:after="0"/>
        <w:ind w:left="142" w:hanging="142"/>
        <w:jc w:val="both"/>
        <w:rPr>
          <w:rFonts w:ascii="Times New Roman" w:hAnsi="Times New Roman"/>
          <w:szCs w:val="20"/>
          <w:lang w:val="pt-BR"/>
        </w:rPr>
      </w:pPr>
      <w:r>
        <w:rPr>
          <w:rFonts w:ascii="Times New Roman" w:hAnsi="Times New Roman"/>
          <w:szCs w:val="20"/>
          <w:lang w:val="pt-BR"/>
        </w:rPr>
        <w:t>5</w:t>
      </w:r>
      <w:r w:rsidR="00BB4750" w:rsidRPr="00F90DAB">
        <w:rPr>
          <w:rFonts w:ascii="Times New Roman" w:hAnsi="Times New Roman"/>
          <w:szCs w:val="20"/>
          <w:lang w:val="pt-BR"/>
        </w:rPr>
        <w:t>.</w:t>
      </w:r>
      <w:r>
        <w:rPr>
          <w:rFonts w:ascii="Times New Roman" w:hAnsi="Times New Roman"/>
          <w:szCs w:val="20"/>
          <w:lang w:val="pt-BR"/>
        </w:rPr>
        <w:t xml:space="preserve"> </w:t>
      </w:r>
      <w:r w:rsidR="00386224" w:rsidRPr="00F90DAB">
        <w:rPr>
          <w:rFonts w:ascii="Times New Roman" w:hAnsi="Times New Roman"/>
          <w:szCs w:val="20"/>
          <w:lang w:val="pt-BR"/>
        </w:rPr>
        <w:t>T.L.</w:t>
      </w:r>
      <w:r w:rsidR="00386224">
        <w:rPr>
          <w:rFonts w:ascii="Times New Roman" w:hAnsi="Times New Roman"/>
          <w:szCs w:val="20"/>
          <w:lang w:val="pt-BR"/>
        </w:rPr>
        <w:t xml:space="preserve"> </w:t>
      </w:r>
      <w:r w:rsidR="00BB4750" w:rsidRPr="00F90DAB">
        <w:rPr>
          <w:rFonts w:ascii="Times New Roman" w:hAnsi="Times New Roman"/>
          <w:szCs w:val="20"/>
          <w:lang w:val="pt-BR"/>
        </w:rPr>
        <w:t>Coelho, Tese de Doutorado, Universidade Federal do Rio de Janeiro, 2018.</w:t>
      </w:r>
    </w:p>
    <w:p w14:paraId="5D39DF87" w14:textId="46E2858C" w:rsidR="00BB4750" w:rsidRPr="00756C0D" w:rsidRDefault="00537D7B" w:rsidP="009A7529">
      <w:pPr>
        <w:pStyle w:val="EndNoteBibliography"/>
        <w:spacing w:after="0"/>
        <w:ind w:left="142" w:hanging="142"/>
        <w:jc w:val="both"/>
        <w:rPr>
          <w:rFonts w:ascii="Times New Roman" w:hAnsi="Times New Roman"/>
          <w:szCs w:val="20"/>
        </w:rPr>
      </w:pPr>
      <w:r>
        <w:rPr>
          <w:rFonts w:ascii="Times New Roman" w:hAnsi="Times New Roman"/>
          <w:szCs w:val="20"/>
          <w:lang w:val="pt-BR"/>
        </w:rPr>
        <w:t>6</w:t>
      </w:r>
      <w:r w:rsidR="00BB4750" w:rsidRPr="00F90DAB">
        <w:rPr>
          <w:rFonts w:ascii="Times New Roman" w:hAnsi="Times New Roman"/>
          <w:szCs w:val="20"/>
          <w:lang w:val="pt-BR"/>
        </w:rPr>
        <w:t>.</w:t>
      </w:r>
      <w:r>
        <w:rPr>
          <w:rFonts w:ascii="Times New Roman" w:hAnsi="Times New Roman"/>
          <w:szCs w:val="20"/>
          <w:lang w:val="pt-BR"/>
        </w:rPr>
        <w:t xml:space="preserve"> </w:t>
      </w:r>
      <w:r w:rsidR="00386224" w:rsidRPr="00F90DAB">
        <w:rPr>
          <w:rFonts w:ascii="Times New Roman" w:hAnsi="Times New Roman"/>
          <w:szCs w:val="20"/>
          <w:lang w:val="pt-BR"/>
        </w:rPr>
        <w:t>L.J.</w:t>
      </w:r>
      <w:r w:rsidR="00386224">
        <w:rPr>
          <w:rFonts w:ascii="Times New Roman" w:hAnsi="Times New Roman"/>
          <w:szCs w:val="20"/>
          <w:lang w:val="pt-BR"/>
        </w:rPr>
        <w:t xml:space="preserve"> </w:t>
      </w:r>
      <w:r w:rsidR="00BB4750" w:rsidRPr="00F90DAB">
        <w:rPr>
          <w:rFonts w:ascii="Times New Roman" w:hAnsi="Times New Roman"/>
          <w:szCs w:val="20"/>
          <w:lang w:val="pt-BR"/>
        </w:rPr>
        <w:t>Aguilera, L.A. Palacio and A.C. Faro Jr,</w:t>
      </w:r>
      <w:r w:rsidR="00BB4750" w:rsidRPr="00F90DAB">
        <w:rPr>
          <w:rFonts w:ascii="Times New Roman" w:hAnsi="Times New Roman"/>
          <w:i/>
          <w:szCs w:val="20"/>
          <w:lang w:val="pt-BR"/>
        </w:rPr>
        <w:t>.</w:t>
      </w:r>
      <w:r w:rsidR="00BB4750" w:rsidRPr="00F90DAB">
        <w:rPr>
          <w:rFonts w:ascii="Times New Roman" w:hAnsi="Times New Roman"/>
          <w:szCs w:val="20"/>
          <w:lang w:val="pt-BR"/>
        </w:rPr>
        <w:t xml:space="preserve"> </w:t>
      </w:r>
      <w:r w:rsidR="00BB4750" w:rsidRPr="00756C0D">
        <w:rPr>
          <w:rFonts w:ascii="Times New Roman" w:hAnsi="Times New Roman"/>
          <w:szCs w:val="20"/>
        </w:rPr>
        <w:t>Appl</w:t>
      </w:r>
      <w:r w:rsidR="004A6705" w:rsidRPr="00756C0D">
        <w:rPr>
          <w:rFonts w:ascii="Times New Roman" w:hAnsi="Times New Roman"/>
          <w:szCs w:val="20"/>
        </w:rPr>
        <w:t>. Clay Sci</w:t>
      </w:r>
      <w:r w:rsidR="00BB4750" w:rsidRPr="00756C0D">
        <w:rPr>
          <w:rFonts w:ascii="Times New Roman" w:hAnsi="Times New Roman"/>
          <w:szCs w:val="20"/>
        </w:rPr>
        <w:t xml:space="preserve">, </w:t>
      </w:r>
      <w:r w:rsidR="00BB4750" w:rsidRPr="00756C0D">
        <w:rPr>
          <w:rFonts w:ascii="Times New Roman" w:hAnsi="Times New Roman"/>
          <w:b/>
          <w:szCs w:val="20"/>
        </w:rPr>
        <w:t>2019</w:t>
      </w:r>
      <w:r w:rsidR="00386224" w:rsidRPr="00756C0D">
        <w:rPr>
          <w:rFonts w:ascii="Times New Roman" w:hAnsi="Times New Roman"/>
          <w:szCs w:val="20"/>
        </w:rPr>
        <w:t>,</w:t>
      </w:r>
      <w:r w:rsidR="00BB4750" w:rsidRPr="00756C0D">
        <w:rPr>
          <w:rFonts w:ascii="Times New Roman" w:hAnsi="Times New Roman"/>
          <w:szCs w:val="20"/>
        </w:rPr>
        <w:t xml:space="preserve"> </w:t>
      </w:r>
      <w:r w:rsidR="00BB4750" w:rsidRPr="00756C0D">
        <w:rPr>
          <w:rFonts w:ascii="Times New Roman" w:hAnsi="Times New Roman"/>
          <w:i/>
          <w:szCs w:val="20"/>
        </w:rPr>
        <w:t>176</w:t>
      </w:r>
      <w:r w:rsidR="00386224" w:rsidRPr="00756C0D">
        <w:rPr>
          <w:rFonts w:ascii="Times New Roman" w:hAnsi="Times New Roman"/>
          <w:szCs w:val="20"/>
        </w:rPr>
        <w:t xml:space="preserve">, </w:t>
      </w:r>
      <w:r w:rsidR="00BB4750" w:rsidRPr="00756C0D">
        <w:rPr>
          <w:rFonts w:ascii="Times New Roman" w:hAnsi="Times New Roman"/>
          <w:szCs w:val="20"/>
        </w:rPr>
        <w:t>29-37.</w:t>
      </w:r>
    </w:p>
    <w:p w14:paraId="10412CF1" w14:textId="14A4A64C" w:rsidR="00BB4750" w:rsidRPr="00165A67" w:rsidRDefault="00386224" w:rsidP="009A7529">
      <w:pPr>
        <w:pStyle w:val="EndNoteBibliography"/>
        <w:spacing w:after="0"/>
        <w:ind w:left="142" w:hanging="142"/>
        <w:jc w:val="both"/>
        <w:rPr>
          <w:rFonts w:ascii="Times New Roman" w:hAnsi="Times New Roman"/>
          <w:szCs w:val="20"/>
          <w:lang w:val="es-CO"/>
        </w:rPr>
      </w:pPr>
      <w:r w:rsidRPr="00165A67">
        <w:rPr>
          <w:rFonts w:ascii="Times New Roman" w:hAnsi="Times New Roman"/>
          <w:szCs w:val="20"/>
          <w:lang w:val="es-CO"/>
        </w:rPr>
        <w:t>7</w:t>
      </w:r>
      <w:r w:rsidR="009A7529" w:rsidRPr="00165A67">
        <w:rPr>
          <w:rFonts w:ascii="Times New Roman" w:hAnsi="Times New Roman"/>
          <w:szCs w:val="20"/>
          <w:lang w:val="es-CO"/>
        </w:rPr>
        <w:t xml:space="preserve">. </w:t>
      </w:r>
      <w:r w:rsidRPr="00165A67">
        <w:rPr>
          <w:rFonts w:ascii="Times New Roman" w:hAnsi="Times New Roman"/>
          <w:szCs w:val="20"/>
          <w:lang w:val="es-CO"/>
        </w:rPr>
        <w:t>S. Arias,</w:t>
      </w:r>
      <w:r w:rsidR="00BB4750" w:rsidRPr="00165A67">
        <w:rPr>
          <w:rFonts w:ascii="Times New Roman" w:hAnsi="Times New Roman"/>
          <w:szCs w:val="20"/>
          <w:lang w:val="es-CO"/>
        </w:rPr>
        <w:t xml:space="preserve"> et al</w:t>
      </w:r>
      <w:r w:rsidR="00BB4750" w:rsidRPr="00165A67">
        <w:rPr>
          <w:rFonts w:ascii="Times New Roman" w:hAnsi="Times New Roman"/>
          <w:i/>
          <w:szCs w:val="20"/>
          <w:lang w:val="es-CO"/>
        </w:rPr>
        <w:t>.</w:t>
      </w:r>
      <w:r w:rsidR="004A6705" w:rsidRPr="00165A67">
        <w:rPr>
          <w:rFonts w:ascii="Times New Roman" w:hAnsi="Times New Roman"/>
          <w:szCs w:val="20"/>
          <w:lang w:val="es-CO"/>
        </w:rPr>
        <w:t xml:space="preserve"> Dalton Trans.</w:t>
      </w:r>
      <w:r w:rsidR="00BB4750" w:rsidRPr="00165A67">
        <w:rPr>
          <w:rFonts w:ascii="Times New Roman" w:hAnsi="Times New Roman"/>
          <w:szCs w:val="20"/>
          <w:lang w:val="es-CO"/>
        </w:rPr>
        <w:t xml:space="preserve">, </w:t>
      </w:r>
      <w:r w:rsidR="00BB4750" w:rsidRPr="00165A67">
        <w:rPr>
          <w:rFonts w:ascii="Times New Roman" w:hAnsi="Times New Roman"/>
          <w:b/>
          <w:szCs w:val="20"/>
          <w:lang w:val="es-CO"/>
        </w:rPr>
        <w:t>2013</w:t>
      </w:r>
      <w:r w:rsidRPr="00165A67">
        <w:rPr>
          <w:rFonts w:ascii="Times New Roman" w:hAnsi="Times New Roman"/>
          <w:szCs w:val="20"/>
          <w:lang w:val="es-CO"/>
        </w:rPr>
        <w:t>,</w:t>
      </w:r>
      <w:r w:rsidR="00BB4750" w:rsidRPr="00165A67">
        <w:rPr>
          <w:rFonts w:ascii="Times New Roman" w:hAnsi="Times New Roman"/>
          <w:szCs w:val="20"/>
          <w:lang w:val="es-CO"/>
        </w:rPr>
        <w:t xml:space="preserve"> </w:t>
      </w:r>
      <w:r w:rsidR="00BB4750" w:rsidRPr="00165A67">
        <w:rPr>
          <w:rFonts w:ascii="Times New Roman" w:hAnsi="Times New Roman"/>
          <w:i/>
          <w:szCs w:val="20"/>
          <w:lang w:val="es-CO"/>
        </w:rPr>
        <w:t>42</w:t>
      </w:r>
      <w:r w:rsidRPr="00165A67">
        <w:rPr>
          <w:rFonts w:ascii="Times New Roman" w:hAnsi="Times New Roman"/>
          <w:i/>
          <w:szCs w:val="20"/>
          <w:lang w:val="es-CO"/>
        </w:rPr>
        <w:t>,</w:t>
      </w:r>
      <w:r w:rsidR="00BB4750" w:rsidRPr="00165A67">
        <w:rPr>
          <w:rFonts w:ascii="Times New Roman" w:hAnsi="Times New Roman"/>
          <w:szCs w:val="20"/>
          <w:lang w:val="es-CO"/>
        </w:rPr>
        <w:t xml:space="preserve"> 2084-2093.</w:t>
      </w:r>
    </w:p>
    <w:p w14:paraId="2F65C66F" w14:textId="246DAA66" w:rsidR="00BB4750" w:rsidRPr="00F90DAB"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lang w:val="pt-BR"/>
        </w:rPr>
        <w:t>8</w:t>
      </w:r>
      <w:r w:rsidR="009A7529" w:rsidRPr="00386224">
        <w:rPr>
          <w:rFonts w:ascii="Times New Roman" w:hAnsi="Times New Roman"/>
          <w:szCs w:val="20"/>
          <w:lang w:val="pt-BR"/>
        </w:rPr>
        <w:t xml:space="preserve">. </w:t>
      </w:r>
      <w:r w:rsidRPr="00386224">
        <w:rPr>
          <w:rFonts w:ascii="Times New Roman" w:hAnsi="Times New Roman"/>
          <w:szCs w:val="20"/>
          <w:lang w:val="pt-BR"/>
        </w:rPr>
        <w:t xml:space="preserve">T.L. </w:t>
      </w:r>
      <w:r w:rsidR="00BB4750" w:rsidRPr="00386224">
        <w:rPr>
          <w:rFonts w:ascii="Times New Roman" w:hAnsi="Times New Roman"/>
          <w:szCs w:val="20"/>
          <w:lang w:val="pt-BR"/>
        </w:rPr>
        <w:t>Coelho,</w:t>
      </w:r>
      <w:r w:rsidRPr="00386224">
        <w:rPr>
          <w:rFonts w:ascii="Times New Roman" w:hAnsi="Times New Roman"/>
          <w:szCs w:val="20"/>
          <w:lang w:val="pt-BR"/>
        </w:rPr>
        <w:t xml:space="preserve"> </w:t>
      </w:r>
      <w:r w:rsidR="00BB4750" w:rsidRPr="00386224">
        <w:rPr>
          <w:rFonts w:ascii="Times New Roman" w:hAnsi="Times New Roman"/>
          <w:szCs w:val="20"/>
          <w:lang w:val="pt-BR"/>
        </w:rPr>
        <w:t>et al</w:t>
      </w:r>
      <w:r w:rsidR="00BB4750" w:rsidRPr="00386224">
        <w:rPr>
          <w:rFonts w:ascii="Times New Roman" w:hAnsi="Times New Roman"/>
          <w:i/>
          <w:szCs w:val="20"/>
          <w:lang w:val="pt-BR"/>
        </w:rPr>
        <w:t>.</w:t>
      </w:r>
      <w:r w:rsidR="00BB4750" w:rsidRPr="00386224">
        <w:rPr>
          <w:rFonts w:ascii="Times New Roman" w:hAnsi="Times New Roman"/>
          <w:szCs w:val="20"/>
          <w:lang w:val="pt-BR"/>
        </w:rPr>
        <w:t xml:space="preserve"> </w:t>
      </w:r>
      <w:r w:rsidR="004A6705" w:rsidRPr="00756C0D">
        <w:rPr>
          <w:rFonts w:ascii="Times New Roman" w:hAnsi="Times New Roman"/>
          <w:szCs w:val="20"/>
          <w:lang w:val="pt-BR"/>
        </w:rPr>
        <w:t>Catal.</w:t>
      </w:r>
      <w:r w:rsidR="00BB4750" w:rsidRPr="00756C0D">
        <w:rPr>
          <w:rFonts w:ascii="Times New Roman" w:hAnsi="Times New Roman"/>
          <w:szCs w:val="20"/>
          <w:lang w:val="pt-BR"/>
        </w:rPr>
        <w:t xml:space="preserve"> </w:t>
      </w:r>
      <w:r w:rsidR="00BB4750" w:rsidRPr="00F90DAB">
        <w:rPr>
          <w:rFonts w:ascii="Times New Roman" w:hAnsi="Times New Roman"/>
          <w:szCs w:val="20"/>
        </w:rPr>
        <w:t xml:space="preserve">Today, </w:t>
      </w:r>
      <w:r w:rsidR="00BB4750" w:rsidRPr="00386224">
        <w:rPr>
          <w:rFonts w:ascii="Times New Roman" w:hAnsi="Times New Roman"/>
          <w:b/>
          <w:szCs w:val="20"/>
        </w:rPr>
        <w:t>2015</w:t>
      </w:r>
      <w:r w:rsidR="00BB4750" w:rsidRPr="00F90DAB">
        <w:rPr>
          <w:rFonts w:ascii="Times New Roman" w:hAnsi="Times New Roman"/>
          <w:szCs w:val="20"/>
        </w:rPr>
        <w:t xml:space="preserve">. </w:t>
      </w:r>
      <w:r w:rsidR="00BB4750" w:rsidRPr="00386224">
        <w:rPr>
          <w:rFonts w:ascii="Times New Roman" w:hAnsi="Times New Roman"/>
          <w:i/>
          <w:szCs w:val="20"/>
        </w:rPr>
        <w:t>250</w:t>
      </w:r>
      <w:r w:rsidRPr="00386224">
        <w:rPr>
          <w:rFonts w:ascii="Times New Roman" w:hAnsi="Times New Roman"/>
          <w:szCs w:val="20"/>
        </w:rPr>
        <w:t>,</w:t>
      </w:r>
      <w:r w:rsidR="00BB4750" w:rsidRPr="00F90DAB">
        <w:rPr>
          <w:rFonts w:ascii="Times New Roman" w:hAnsi="Times New Roman"/>
          <w:szCs w:val="20"/>
        </w:rPr>
        <w:t xml:space="preserve"> 38-46.</w:t>
      </w:r>
    </w:p>
    <w:p w14:paraId="6E7A6298" w14:textId="0C1E6111" w:rsidR="00BB4750" w:rsidRPr="00F90DAB"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rPr>
        <w:t>9</w:t>
      </w:r>
      <w:r w:rsidR="00F358D2">
        <w:rPr>
          <w:rFonts w:ascii="Times New Roman" w:hAnsi="Times New Roman"/>
          <w:szCs w:val="20"/>
        </w:rPr>
        <w:t xml:space="preserve">. </w:t>
      </w:r>
      <w:r>
        <w:rPr>
          <w:rFonts w:ascii="Times New Roman" w:hAnsi="Times New Roman"/>
          <w:szCs w:val="20"/>
        </w:rPr>
        <w:t xml:space="preserve">D.G. </w:t>
      </w:r>
      <w:r w:rsidR="00BB4750" w:rsidRPr="00F90DAB">
        <w:rPr>
          <w:rFonts w:ascii="Times New Roman" w:hAnsi="Times New Roman"/>
          <w:szCs w:val="20"/>
        </w:rPr>
        <w:t>Evans and R.C.T. Slade</w:t>
      </w:r>
      <w:r>
        <w:rPr>
          <w:rFonts w:ascii="Times New Roman" w:hAnsi="Times New Roman"/>
          <w:szCs w:val="20"/>
        </w:rPr>
        <w:t xml:space="preserve"> </w:t>
      </w:r>
      <w:r w:rsidR="00BB4750" w:rsidRPr="00F90DAB">
        <w:rPr>
          <w:rFonts w:ascii="Times New Roman" w:hAnsi="Times New Roman"/>
          <w:szCs w:val="20"/>
        </w:rPr>
        <w:t xml:space="preserve">in </w:t>
      </w:r>
      <w:r w:rsidR="00BB4750" w:rsidRPr="00F90DAB">
        <w:rPr>
          <w:rFonts w:ascii="Times New Roman" w:hAnsi="Times New Roman"/>
          <w:i/>
          <w:szCs w:val="20"/>
        </w:rPr>
        <w:t>Layered double hydoxides</w:t>
      </w:r>
      <w:r w:rsidR="00BB4750" w:rsidRPr="00F90DAB">
        <w:rPr>
          <w:rFonts w:ascii="Times New Roman" w:hAnsi="Times New Roman"/>
          <w:szCs w:val="20"/>
        </w:rPr>
        <w:t>, X.</w:t>
      </w:r>
      <w:r w:rsidR="0039056D">
        <w:rPr>
          <w:rFonts w:ascii="Times New Roman" w:hAnsi="Times New Roman"/>
          <w:szCs w:val="20"/>
        </w:rPr>
        <w:t xml:space="preserve"> </w:t>
      </w:r>
      <w:r>
        <w:rPr>
          <w:rFonts w:ascii="Times New Roman" w:hAnsi="Times New Roman"/>
          <w:szCs w:val="20"/>
        </w:rPr>
        <w:t>Duan and D.G. Evans, Ed</w:t>
      </w:r>
      <w:r w:rsidR="00BB4750" w:rsidRPr="00F90DAB">
        <w:rPr>
          <w:rFonts w:ascii="Times New Roman" w:hAnsi="Times New Roman"/>
          <w:szCs w:val="20"/>
        </w:rPr>
        <w:t>.</w:t>
      </w:r>
      <w:r>
        <w:rPr>
          <w:rFonts w:ascii="Times New Roman" w:hAnsi="Times New Roman"/>
          <w:szCs w:val="20"/>
        </w:rPr>
        <w:t>;</w:t>
      </w:r>
      <w:r w:rsidR="00BB4750" w:rsidRPr="00F90DAB">
        <w:rPr>
          <w:rFonts w:ascii="Times New Roman" w:hAnsi="Times New Roman"/>
          <w:szCs w:val="20"/>
        </w:rPr>
        <w:t xml:space="preserve"> </w:t>
      </w:r>
      <w:r>
        <w:rPr>
          <w:rFonts w:ascii="Times New Roman" w:hAnsi="Times New Roman"/>
          <w:szCs w:val="20"/>
        </w:rPr>
        <w:t xml:space="preserve">Springer: Germany, </w:t>
      </w:r>
      <w:r w:rsidRPr="00386224">
        <w:rPr>
          <w:rFonts w:ascii="Times New Roman" w:hAnsi="Times New Roman"/>
          <w:b/>
          <w:szCs w:val="20"/>
        </w:rPr>
        <w:t>2005</w:t>
      </w:r>
      <w:r>
        <w:rPr>
          <w:rFonts w:ascii="Times New Roman" w:hAnsi="Times New Roman"/>
          <w:szCs w:val="20"/>
        </w:rPr>
        <w:t xml:space="preserve">, </w:t>
      </w:r>
      <w:r w:rsidR="00BB4750" w:rsidRPr="00F90DAB">
        <w:rPr>
          <w:rFonts w:ascii="Times New Roman" w:hAnsi="Times New Roman"/>
          <w:szCs w:val="20"/>
        </w:rPr>
        <w:t>1-87.</w:t>
      </w:r>
    </w:p>
    <w:p w14:paraId="68254BFD" w14:textId="04A333E8" w:rsidR="00BB4750" w:rsidRPr="00F90DAB" w:rsidRDefault="00386224" w:rsidP="009A7529">
      <w:pPr>
        <w:pStyle w:val="EndNoteBibliography"/>
        <w:spacing w:after="0"/>
        <w:ind w:left="142" w:hanging="142"/>
        <w:jc w:val="both"/>
        <w:rPr>
          <w:rFonts w:ascii="Times New Roman" w:hAnsi="Times New Roman"/>
          <w:szCs w:val="20"/>
        </w:rPr>
      </w:pPr>
      <w:r w:rsidRPr="00165A67">
        <w:rPr>
          <w:rFonts w:ascii="Times New Roman" w:hAnsi="Times New Roman"/>
          <w:szCs w:val="20"/>
          <w:lang w:val="es-CO"/>
        </w:rPr>
        <w:t>10</w:t>
      </w:r>
      <w:r w:rsidR="009A7529" w:rsidRPr="00165A67">
        <w:rPr>
          <w:rFonts w:ascii="Times New Roman" w:hAnsi="Times New Roman"/>
          <w:szCs w:val="20"/>
          <w:lang w:val="es-CO"/>
        </w:rPr>
        <w:t xml:space="preserve">. </w:t>
      </w:r>
      <w:r w:rsidR="00C734E5" w:rsidRPr="00165A67">
        <w:rPr>
          <w:rFonts w:ascii="Times New Roman" w:hAnsi="Times New Roman"/>
          <w:szCs w:val="20"/>
          <w:lang w:val="es-CO"/>
        </w:rPr>
        <w:t>D.Carriazo,</w:t>
      </w:r>
      <w:r w:rsidR="00BB4750" w:rsidRPr="00165A67">
        <w:rPr>
          <w:rFonts w:ascii="Times New Roman" w:hAnsi="Times New Roman"/>
          <w:szCs w:val="20"/>
          <w:lang w:val="es-CO"/>
        </w:rPr>
        <w:t xml:space="preserve"> et al</w:t>
      </w:r>
      <w:r w:rsidR="00BB4750" w:rsidRPr="00165A67">
        <w:rPr>
          <w:rFonts w:ascii="Times New Roman" w:hAnsi="Times New Roman"/>
          <w:i/>
          <w:szCs w:val="20"/>
          <w:lang w:val="es-CO"/>
        </w:rPr>
        <w:t>.</w:t>
      </w:r>
      <w:r w:rsidR="004A6705" w:rsidRPr="00165A67">
        <w:rPr>
          <w:rFonts w:ascii="Times New Roman" w:hAnsi="Times New Roman"/>
          <w:szCs w:val="20"/>
          <w:lang w:val="es-CO"/>
        </w:rPr>
        <w:t xml:space="preserve"> Inorg.</w:t>
      </w:r>
      <w:r w:rsidR="00BB4750" w:rsidRPr="00165A67">
        <w:rPr>
          <w:rFonts w:ascii="Times New Roman" w:hAnsi="Times New Roman"/>
          <w:szCs w:val="20"/>
          <w:lang w:val="es-CO"/>
        </w:rPr>
        <w:t xml:space="preserve"> </w:t>
      </w:r>
      <w:r w:rsidR="00BB4750" w:rsidRPr="00F90DAB">
        <w:rPr>
          <w:rFonts w:ascii="Times New Roman" w:hAnsi="Times New Roman"/>
          <w:szCs w:val="20"/>
        </w:rPr>
        <w:t>Chem</w:t>
      </w:r>
      <w:r w:rsidR="004A6705" w:rsidRPr="00F90DAB">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b/>
          <w:szCs w:val="20"/>
        </w:rPr>
        <w:t>2006</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45</w:t>
      </w:r>
      <w:r w:rsidR="00C734E5" w:rsidRPr="00C734E5">
        <w:rPr>
          <w:rFonts w:ascii="Times New Roman" w:hAnsi="Times New Roman"/>
          <w:szCs w:val="20"/>
        </w:rPr>
        <w:t>,</w:t>
      </w:r>
      <w:r w:rsidR="00BB4750" w:rsidRPr="00F90DAB">
        <w:rPr>
          <w:rFonts w:ascii="Times New Roman" w:hAnsi="Times New Roman"/>
          <w:szCs w:val="20"/>
        </w:rPr>
        <w:t xml:space="preserve"> 1243-1251.</w:t>
      </w:r>
    </w:p>
    <w:p w14:paraId="79E122F7" w14:textId="1E1C91A7" w:rsidR="00BB4750" w:rsidRPr="00F90DAB"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rPr>
        <w:t>11</w:t>
      </w:r>
      <w:r w:rsidR="009A7529" w:rsidRPr="00F90DAB">
        <w:rPr>
          <w:rFonts w:ascii="Times New Roman" w:hAnsi="Times New Roman"/>
          <w:szCs w:val="20"/>
        </w:rPr>
        <w:t>.</w:t>
      </w:r>
      <w:r w:rsidR="00C734E5">
        <w:rPr>
          <w:rFonts w:ascii="Times New Roman" w:hAnsi="Times New Roman"/>
          <w:szCs w:val="20"/>
        </w:rPr>
        <w:t xml:space="preserve"> T.</w:t>
      </w:r>
      <w:r w:rsidR="009A7529" w:rsidRPr="00F90DAB">
        <w:rPr>
          <w:rFonts w:ascii="Times New Roman" w:hAnsi="Times New Roman"/>
          <w:szCs w:val="20"/>
        </w:rPr>
        <w:t xml:space="preserve"> </w:t>
      </w:r>
      <w:r w:rsidR="00BB4750" w:rsidRPr="00F90DAB">
        <w:rPr>
          <w:rFonts w:ascii="Times New Roman" w:hAnsi="Times New Roman"/>
          <w:szCs w:val="20"/>
        </w:rPr>
        <w:t>Hibino and A. Tsunashima</w:t>
      </w:r>
      <w:r w:rsidR="00BB4750" w:rsidRPr="00F90DAB">
        <w:rPr>
          <w:rFonts w:ascii="Times New Roman" w:hAnsi="Times New Roman"/>
          <w:i/>
          <w:szCs w:val="20"/>
        </w:rPr>
        <w:t>.</w:t>
      </w:r>
      <w:r w:rsidR="00BB4750" w:rsidRPr="00F90DAB">
        <w:rPr>
          <w:rFonts w:ascii="Times New Roman" w:hAnsi="Times New Roman"/>
          <w:szCs w:val="20"/>
        </w:rPr>
        <w:t xml:space="preserve"> Chem</w:t>
      </w:r>
      <w:r w:rsidR="004A6705" w:rsidRPr="00F90DAB">
        <w:rPr>
          <w:rFonts w:ascii="Times New Roman" w:hAnsi="Times New Roman"/>
          <w:szCs w:val="20"/>
        </w:rPr>
        <w:t>.</w:t>
      </w:r>
      <w:r w:rsidR="00BB4750" w:rsidRPr="00F90DAB">
        <w:rPr>
          <w:rFonts w:ascii="Times New Roman" w:hAnsi="Times New Roman"/>
          <w:szCs w:val="20"/>
        </w:rPr>
        <w:t xml:space="preserve"> Mater</w:t>
      </w:r>
      <w:r w:rsidR="004A6705" w:rsidRPr="00F90DAB">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b/>
          <w:szCs w:val="20"/>
        </w:rPr>
        <w:t>1997</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9</w:t>
      </w:r>
      <w:r w:rsidR="00C734E5" w:rsidRPr="00C734E5">
        <w:rPr>
          <w:rFonts w:ascii="Times New Roman" w:hAnsi="Times New Roman"/>
          <w:szCs w:val="20"/>
        </w:rPr>
        <w:t>,</w:t>
      </w:r>
      <w:r w:rsidR="00BB4750" w:rsidRPr="00F90DAB">
        <w:rPr>
          <w:rFonts w:ascii="Times New Roman" w:hAnsi="Times New Roman"/>
          <w:szCs w:val="20"/>
        </w:rPr>
        <w:t>. 2082-2089.</w:t>
      </w:r>
    </w:p>
    <w:p w14:paraId="4D0759D0" w14:textId="2A3B1384" w:rsidR="00BB4750" w:rsidRPr="00F90DAB"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rPr>
        <w:t>12</w:t>
      </w:r>
      <w:r w:rsidR="009A7529" w:rsidRPr="00F90DAB">
        <w:rPr>
          <w:rFonts w:ascii="Times New Roman" w:hAnsi="Times New Roman"/>
          <w:szCs w:val="20"/>
        </w:rPr>
        <w:t xml:space="preserve">. </w:t>
      </w:r>
      <w:r w:rsidR="00C734E5">
        <w:rPr>
          <w:rFonts w:ascii="Times New Roman" w:hAnsi="Times New Roman"/>
          <w:szCs w:val="20"/>
        </w:rPr>
        <w:t xml:space="preserve">E.A.Gardner, </w:t>
      </w:r>
      <w:r w:rsidR="00BB4750" w:rsidRPr="00F90DAB">
        <w:rPr>
          <w:rFonts w:ascii="Times New Roman" w:hAnsi="Times New Roman"/>
          <w:szCs w:val="20"/>
        </w:rPr>
        <w:t>et al</w:t>
      </w:r>
      <w:r w:rsidR="00BB4750" w:rsidRPr="00F90DAB">
        <w:rPr>
          <w:rFonts w:ascii="Times New Roman" w:hAnsi="Times New Roman"/>
          <w:i/>
          <w:szCs w:val="20"/>
        </w:rPr>
        <w:t>.</w:t>
      </w:r>
      <w:r w:rsidR="004A6705" w:rsidRPr="00F90DAB">
        <w:rPr>
          <w:rFonts w:ascii="Times New Roman" w:hAnsi="Times New Roman"/>
          <w:szCs w:val="20"/>
        </w:rPr>
        <w:t xml:space="preserve"> Appl. Clay Sci.</w:t>
      </w:r>
      <w:r w:rsidR="00C734E5">
        <w:rPr>
          <w:rFonts w:ascii="Times New Roman" w:hAnsi="Times New Roman"/>
          <w:szCs w:val="20"/>
        </w:rPr>
        <w:t xml:space="preserve">, </w:t>
      </w:r>
      <w:r w:rsidR="00C734E5" w:rsidRPr="00C734E5">
        <w:rPr>
          <w:rFonts w:ascii="Times New Roman" w:hAnsi="Times New Roman"/>
          <w:b/>
          <w:szCs w:val="20"/>
        </w:rPr>
        <w:t>1998</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13</w:t>
      </w:r>
      <w:r w:rsidR="00C734E5" w:rsidRPr="00C734E5">
        <w:rPr>
          <w:rFonts w:ascii="Times New Roman" w:hAnsi="Times New Roman"/>
          <w:szCs w:val="20"/>
        </w:rPr>
        <w:t>,</w:t>
      </w:r>
      <w:r w:rsidR="00BB4750" w:rsidRPr="00F90DAB">
        <w:rPr>
          <w:rFonts w:ascii="Times New Roman" w:hAnsi="Times New Roman"/>
          <w:szCs w:val="20"/>
        </w:rPr>
        <w:t xml:space="preserve"> 479-494.</w:t>
      </w:r>
    </w:p>
    <w:p w14:paraId="2E0D529C" w14:textId="0DCCC927" w:rsidR="00BB4750" w:rsidRPr="00165A67" w:rsidRDefault="00386224" w:rsidP="009A7529">
      <w:pPr>
        <w:pStyle w:val="EndNoteBibliography"/>
        <w:spacing w:after="0"/>
        <w:ind w:left="142" w:hanging="142"/>
        <w:jc w:val="both"/>
        <w:rPr>
          <w:rFonts w:ascii="Times New Roman" w:hAnsi="Times New Roman"/>
          <w:szCs w:val="20"/>
          <w:lang w:val="es-CO"/>
        </w:rPr>
      </w:pPr>
      <w:r>
        <w:rPr>
          <w:rFonts w:ascii="Times New Roman" w:hAnsi="Times New Roman"/>
          <w:szCs w:val="20"/>
        </w:rPr>
        <w:t>13</w:t>
      </w:r>
      <w:r w:rsidR="009A7529" w:rsidRPr="00F90DAB">
        <w:rPr>
          <w:rFonts w:ascii="Times New Roman" w:hAnsi="Times New Roman"/>
          <w:szCs w:val="20"/>
        </w:rPr>
        <w:t xml:space="preserve">. </w:t>
      </w:r>
      <w:r w:rsidR="00C734E5" w:rsidRPr="00F90DAB">
        <w:rPr>
          <w:rFonts w:ascii="Times New Roman" w:hAnsi="Times New Roman"/>
          <w:szCs w:val="20"/>
        </w:rPr>
        <w:t>R.</w:t>
      </w:r>
      <w:r w:rsidR="00C734E5">
        <w:rPr>
          <w:rFonts w:ascii="Times New Roman" w:hAnsi="Times New Roman"/>
          <w:szCs w:val="20"/>
        </w:rPr>
        <w:t xml:space="preserve"> Zǎvoianu,</w:t>
      </w:r>
      <w:r w:rsidR="00BB4750" w:rsidRPr="00F90DAB">
        <w:rPr>
          <w:rFonts w:ascii="Times New Roman" w:hAnsi="Times New Roman"/>
          <w:szCs w:val="20"/>
        </w:rPr>
        <w:t xml:space="preserve"> et al</w:t>
      </w:r>
      <w:r w:rsidR="00BB4750" w:rsidRPr="00F90DAB">
        <w:rPr>
          <w:rFonts w:ascii="Times New Roman" w:hAnsi="Times New Roman"/>
          <w:i/>
          <w:szCs w:val="20"/>
        </w:rPr>
        <w:t>.</w:t>
      </w:r>
      <w:r w:rsidR="004A6705" w:rsidRPr="00F90DAB">
        <w:rPr>
          <w:rFonts w:ascii="Times New Roman" w:hAnsi="Times New Roman"/>
          <w:szCs w:val="20"/>
        </w:rPr>
        <w:t xml:space="preserve"> Appl.</w:t>
      </w:r>
      <w:r w:rsidR="00BB4750" w:rsidRPr="00F90DAB">
        <w:rPr>
          <w:rFonts w:ascii="Times New Roman" w:hAnsi="Times New Roman"/>
          <w:szCs w:val="20"/>
        </w:rPr>
        <w:t xml:space="preserve"> Catal</w:t>
      </w:r>
      <w:r w:rsidR="004A6705" w:rsidRPr="00F90DAB">
        <w:rPr>
          <w:rFonts w:ascii="Times New Roman" w:hAnsi="Times New Roman"/>
          <w:szCs w:val="20"/>
        </w:rPr>
        <w:t xml:space="preserve">. </w:t>
      </w:r>
      <w:r w:rsidR="00BB4750" w:rsidRPr="00165A67">
        <w:rPr>
          <w:rFonts w:ascii="Times New Roman" w:hAnsi="Times New Roman"/>
          <w:szCs w:val="20"/>
          <w:lang w:val="es-CO"/>
        </w:rPr>
        <w:t xml:space="preserve">A: General, </w:t>
      </w:r>
      <w:r w:rsidR="00BB4750" w:rsidRPr="00165A67">
        <w:rPr>
          <w:rFonts w:ascii="Times New Roman" w:hAnsi="Times New Roman"/>
          <w:b/>
          <w:szCs w:val="20"/>
          <w:lang w:val="es-CO"/>
        </w:rPr>
        <w:t>2005</w:t>
      </w:r>
      <w:r w:rsidR="00C734E5" w:rsidRPr="00165A67">
        <w:rPr>
          <w:rFonts w:ascii="Times New Roman" w:hAnsi="Times New Roman"/>
          <w:szCs w:val="20"/>
          <w:lang w:val="es-CO"/>
        </w:rPr>
        <w:t>,</w:t>
      </w:r>
      <w:r w:rsidR="00BB4750" w:rsidRPr="00165A67">
        <w:rPr>
          <w:rFonts w:ascii="Times New Roman" w:hAnsi="Times New Roman"/>
          <w:szCs w:val="20"/>
          <w:lang w:val="es-CO"/>
        </w:rPr>
        <w:t xml:space="preserve"> </w:t>
      </w:r>
      <w:r w:rsidR="00BB4750" w:rsidRPr="00165A67">
        <w:rPr>
          <w:rFonts w:ascii="Times New Roman" w:hAnsi="Times New Roman"/>
          <w:i/>
          <w:szCs w:val="20"/>
          <w:lang w:val="es-CO"/>
        </w:rPr>
        <w:t>286</w:t>
      </w:r>
      <w:r w:rsidR="00C734E5" w:rsidRPr="00165A67">
        <w:rPr>
          <w:rFonts w:ascii="Times New Roman" w:hAnsi="Times New Roman"/>
          <w:szCs w:val="20"/>
          <w:lang w:val="es-CO"/>
        </w:rPr>
        <w:t>,</w:t>
      </w:r>
      <w:r w:rsidR="00C734E5" w:rsidRPr="00165A67">
        <w:rPr>
          <w:rFonts w:ascii="Times New Roman" w:hAnsi="Times New Roman"/>
          <w:b/>
          <w:szCs w:val="20"/>
          <w:lang w:val="es-CO"/>
        </w:rPr>
        <w:t xml:space="preserve"> </w:t>
      </w:r>
      <w:r w:rsidR="00BB4750" w:rsidRPr="00165A67">
        <w:rPr>
          <w:rFonts w:ascii="Times New Roman" w:hAnsi="Times New Roman"/>
          <w:szCs w:val="20"/>
          <w:lang w:val="es-CO"/>
        </w:rPr>
        <w:t>211-220.</w:t>
      </w:r>
    </w:p>
    <w:p w14:paraId="5027008A" w14:textId="4B095D9E" w:rsidR="00BB4750" w:rsidRDefault="00386224" w:rsidP="009A7529">
      <w:pPr>
        <w:pStyle w:val="EndNoteBibliography"/>
        <w:spacing w:after="0"/>
        <w:ind w:left="142" w:hanging="142"/>
        <w:jc w:val="both"/>
        <w:rPr>
          <w:rFonts w:ascii="Times New Roman" w:hAnsi="Times New Roman"/>
          <w:szCs w:val="20"/>
        </w:rPr>
      </w:pPr>
      <w:r w:rsidRPr="00165A67">
        <w:rPr>
          <w:rFonts w:ascii="Times New Roman" w:hAnsi="Times New Roman"/>
          <w:szCs w:val="20"/>
          <w:lang w:val="es-CO"/>
        </w:rPr>
        <w:t>14</w:t>
      </w:r>
      <w:r w:rsidR="009A7529" w:rsidRPr="00165A67">
        <w:rPr>
          <w:rFonts w:ascii="Times New Roman" w:hAnsi="Times New Roman"/>
          <w:szCs w:val="20"/>
          <w:lang w:val="es-CO"/>
        </w:rPr>
        <w:t xml:space="preserve">. </w:t>
      </w:r>
      <w:r w:rsidR="00C734E5" w:rsidRPr="00165A67">
        <w:rPr>
          <w:rFonts w:ascii="Times New Roman" w:hAnsi="Times New Roman"/>
          <w:szCs w:val="20"/>
          <w:lang w:val="es-CO"/>
        </w:rPr>
        <w:t xml:space="preserve">C.E. </w:t>
      </w:r>
      <w:r w:rsidR="00BB4750" w:rsidRPr="00165A67">
        <w:rPr>
          <w:rFonts w:ascii="Times New Roman" w:hAnsi="Times New Roman"/>
          <w:szCs w:val="20"/>
          <w:lang w:val="es-CO"/>
        </w:rPr>
        <w:t>Ciocan,</w:t>
      </w:r>
      <w:r w:rsidR="00C734E5" w:rsidRPr="00165A67">
        <w:rPr>
          <w:rFonts w:ascii="Times New Roman" w:hAnsi="Times New Roman"/>
          <w:szCs w:val="20"/>
          <w:lang w:val="es-CO"/>
        </w:rPr>
        <w:t xml:space="preserve"> </w:t>
      </w:r>
      <w:r w:rsidR="00BB4750" w:rsidRPr="00165A67">
        <w:rPr>
          <w:rFonts w:ascii="Times New Roman" w:hAnsi="Times New Roman"/>
          <w:szCs w:val="20"/>
          <w:lang w:val="es-CO"/>
        </w:rPr>
        <w:t>et al.</w:t>
      </w:r>
      <w:r w:rsidR="00BB4750" w:rsidRPr="00165A67">
        <w:rPr>
          <w:rFonts w:ascii="Times New Roman" w:hAnsi="Times New Roman"/>
          <w:i/>
          <w:szCs w:val="20"/>
          <w:lang w:val="es-CO"/>
        </w:rPr>
        <w:t>.</w:t>
      </w:r>
      <w:r w:rsidR="004A6705" w:rsidRPr="00165A67">
        <w:rPr>
          <w:rFonts w:ascii="Times New Roman" w:hAnsi="Times New Roman"/>
          <w:szCs w:val="20"/>
          <w:lang w:val="es-CO"/>
        </w:rPr>
        <w:t xml:space="preserve"> </w:t>
      </w:r>
      <w:r w:rsidR="004A6705" w:rsidRPr="00F90DAB">
        <w:rPr>
          <w:rFonts w:ascii="Times New Roman" w:hAnsi="Times New Roman"/>
          <w:szCs w:val="20"/>
        </w:rPr>
        <w:t>Catal.</w:t>
      </w:r>
      <w:r w:rsidR="00C734E5">
        <w:rPr>
          <w:rFonts w:ascii="Times New Roman" w:hAnsi="Times New Roman"/>
          <w:szCs w:val="20"/>
        </w:rPr>
        <w:t xml:space="preserve"> Today, </w:t>
      </w:r>
      <w:r w:rsidR="00C734E5" w:rsidRPr="00C734E5">
        <w:rPr>
          <w:rFonts w:ascii="Times New Roman" w:hAnsi="Times New Roman"/>
          <w:b/>
          <w:szCs w:val="20"/>
        </w:rPr>
        <w:t>2012</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198</w:t>
      </w:r>
      <w:r w:rsidR="00C734E5" w:rsidRPr="00C734E5">
        <w:rPr>
          <w:rFonts w:ascii="Times New Roman" w:hAnsi="Times New Roman"/>
          <w:szCs w:val="20"/>
        </w:rPr>
        <w:t>,</w:t>
      </w:r>
      <w:r w:rsidR="00BB4750" w:rsidRPr="00F90DAB">
        <w:rPr>
          <w:rFonts w:ascii="Times New Roman" w:hAnsi="Times New Roman"/>
          <w:szCs w:val="20"/>
        </w:rPr>
        <w:t xml:space="preserve"> 239-245.</w:t>
      </w:r>
    </w:p>
    <w:p w14:paraId="034C8E1F" w14:textId="554B08FC" w:rsidR="00AC30D1" w:rsidRPr="00F90DAB" w:rsidRDefault="00386224" w:rsidP="00AC30D1">
      <w:pPr>
        <w:pStyle w:val="EndNoteBibliography"/>
        <w:spacing w:after="0"/>
        <w:ind w:left="142" w:hanging="142"/>
        <w:jc w:val="both"/>
        <w:rPr>
          <w:rFonts w:ascii="Times New Roman" w:hAnsi="Times New Roman"/>
          <w:szCs w:val="20"/>
        </w:rPr>
      </w:pPr>
      <w:r>
        <w:rPr>
          <w:rFonts w:ascii="Times New Roman" w:hAnsi="Times New Roman"/>
          <w:szCs w:val="20"/>
        </w:rPr>
        <w:t>15</w:t>
      </w:r>
      <w:r w:rsidR="00AC30D1">
        <w:rPr>
          <w:rFonts w:ascii="Times New Roman" w:hAnsi="Times New Roman"/>
          <w:szCs w:val="20"/>
        </w:rPr>
        <w:t xml:space="preserve"> </w:t>
      </w:r>
      <w:r w:rsidR="00C734E5">
        <w:rPr>
          <w:rFonts w:ascii="Times New Roman" w:hAnsi="Times New Roman"/>
          <w:szCs w:val="20"/>
        </w:rPr>
        <w:t xml:space="preserve">L. Chen, </w:t>
      </w:r>
      <w:r w:rsidR="00AC30D1" w:rsidRPr="002B03BD">
        <w:rPr>
          <w:rFonts w:ascii="Times New Roman" w:hAnsi="Times New Roman"/>
          <w:szCs w:val="20"/>
        </w:rPr>
        <w:t xml:space="preserve">et al. Catal. </w:t>
      </w:r>
      <w:r w:rsidR="00C734E5">
        <w:rPr>
          <w:rFonts w:ascii="Times New Roman" w:hAnsi="Times New Roman"/>
          <w:szCs w:val="20"/>
        </w:rPr>
        <w:t xml:space="preserve">Commun., </w:t>
      </w:r>
      <w:r w:rsidR="00C734E5" w:rsidRPr="00C734E5">
        <w:rPr>
          <w:rFonts w:ascii="Times New Roman" w:hAnsi="Times New Roman"/>
          <w:b/>
          <w:szCs w:val="20"/>
        </w:rPr>
        <w:t>2021</w:t>
      </w:r>
      <w:r w:rsidR="00C734E5">
        <w:rPr>
          <w:rFonts w:ascii="Times New Roman" w:hAnsi="Times New Roman"/>
          <w:szCs w:val="20"/>
        </w:rPr>
        <w:t>,</w:t>
      </w:r>
      <w:r w:rsidR="00AC30D1" w:rsidRPr="00AC30D1">
        <w:rPr>
          <w:rFonts w:ascii="Times New Roman" w:hAnsi="Times New Roman"/>
          <w:szCs w:val="20"/>
        </w:rPr>
        <w:t xml:space="preserve"> </w:t>
      </w:r>
      <w:r w:rsidR="00AC30D1" w:rsidRPr="00C734E5">
        <w:rPr>
          <w:rFonts w:ascii="Times New Roman" w:hAnsi="Times New Roman"/>
          <w:i/>
          <w:szCs w:val="20"/>
        </w:rPr>
        <w:t>155</w:t>
      </w:r>
      <w:r w:rsidR="00C734E5" w:rsidRPr="00C734E5">
        <w:rPr>
          <w:rFonts w:ascii="Times New Roman" w:hAnsi="Times New Roman"/>
          <w:szCs w:val="20"/>
        </w:rPr>
        <w:t>,</w:t>
      </w:r>
      <w:r w:rsidR="00AC30D1" w:rsidRPr="00AC30D1">
        <w:rPr>
          <w:rFonts w:ascii="Times New Roman" w:hAnsi="Times New Roman"/>
          <w:szCs w:val="20"/>
        </w:rPr>
        <w:t xml:space="preserve"> 106316.</w:t>
      </w:r>
    </w:p>
    <w:p w14:paraId="2AF4E287" w14:textId="2CD97DCD" w:rsidR="00BB4750"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rPr>
        <w:t>16</w:t>
      </w:r>
      <w:r w:rsidR="009A7529" w:rsidRPr="00F90DAB">
        <w:rPr>
          <w:rFonts w:ascii="Times New Roman" w:hAnsi="Times New Roman"/>
          <w:szCs w:val="20"/>
        </w:rPr>
        <w:t xml:space="preserve">. </w:t>
      </w:r>
      <w:r w:rsidR="00C734E5" w:rsidRPr="00F90DAB">
        <w:rPr>
          <w:rFonts w:ascii="Times New Roman" w:hAnsi="Times New Roman"/>
          <w:szCs w:val="20"/>
        </w:rPr>
        <w:t>L.</w:t>
      </w:r>
      <w:r w:rsidR="00BB4750" w:rsidRPr="00F90DAB">
        <w:rPr>
          <w:rFonts w:ascii="Times New Roman" w:hAnsi="Times New Roman"/>
          <w:szCs w:val="20"/>
        </w:rPr>
        <w:t>Samain, et al</w:t>
      </w:r>
      <w:r w:rsidR="00BB4750" w:rsidRPr="00F90DAB">
        <w:rPr>
          <w:rFonts w:ascii="Times New Roman" w:hAnsi="Times New Roman"/>
          <w:i/>
          <w:szCs w:val="20"/>
        </w:rPr>
        <w:t>.</w:t>
      </w:r>
      <w:r w:rsidR="004A6705" w:rsidRPr="00F90DAB">
        <w:rPr>
          <w:rFonts w:ascii="Times New Roman" w:hAnsi="Times New Roman"/>
          <w:szCs w:val="20"/>
        </w:rPr>
        <w:t xml:space="preserve"> J. </w:t>
      </w:r>
      <w:r w:rsidR="00BB4750" w:rsidRPr="00F90DAB">
        <w:rPr>
          <w:rFonts w:ascii="Times New Roman" w:hAnsi="Times New Roman"/>
          <w:szCs w:val="20"/>
        </w:rPr>
        <w:t>Solid State Chem</w:t>
      </w:r>
      <w:r w:rsidR="004A6705" w:rsidRPr="00F90DAB">
        <w:rPr>
          <w:rFonts w:ascii="Times New Roman" w:hAnsi="Times New Roman"/>
          <w:szCs w:val="20"/>
        </w:rPr>
        <w:t>.</w:t>
      </w:r>
      <w:r w:rsidR="00C734E5">
        <w:rPr>
          <w:rFonts w:ascii="Times New Roman" w:hAnsi="Times New Roman"/>
          <w:szCs w:val="20"/>
        </w:rPr>
        <w:t xml:space="preserve">, </w:t>
      </w:r>
      <w:r w:rsidR="00C734E5" w:rsidRPr="00C734E5">
        <w:rPr>
          <w:rFonts w:ascii="Times New Roman" w:hAnsi="Times New Roman"/>
          <w:b/>
          <w:szCs w:val="20"/>
        </w:rPr>
        <w:t>2014</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217</w:t>
      </w:r>
      <w:r w:rsidR="00C734E5" w:rsidRPr="00C734E5">
        <w:rPr>
          <w:rFonts w:ascii="Times New Roman" w:hAnsi="Times New Roman"/>
          <w:szCs w:val="20"/>
        </w:rPr>
        <w:t>,</w:t>
      </w:r>
      <w:r w:rsidR="00C734E5">
        <w:rPr>
          <w:rFonts w:ascii="Times New Roman" w:hAnsi="Times New Roman"/>
          <w:szCs w:val="20"/>
        </w:rPr>
        <w:t xml:space="preserve"> </w:t>
      </w:r>
      <w:r w:rsidR="00BB4750" w:rsidRPr="00F90DAB">
        <w:rPr>
          <w:rFonts w:ascii="Times New Roman" w:hAnsi="Times New Roman"/>
          <w:szCs w:val="20"/>
        </w:rPr>
        <w:t>1-8.</w:t>
      </w:r>
    </w:p>
    <w:p w14:paraId="0FA30F6B" w14:textId="76D72E57" w:rsidR="00BB4750" w:rsidRPr="00164A4B" w:rsidRDefault="00386224" w:rsidP="009A7529">
      <w:pPr>
        <w:pStyle w:val="EndNoteBibliography"/>
        <w:spacing w:after="0"/>
        <w:ind w:left="142" w:hanging="142"/>
        <w:jc w:val="both"/>
        <w:rPr>
          <w:rFonts w:ascii="Times New Roman" w:hAnsi="Times New Roman"/>
          <w:szCs w:val="20"/>
        </w:rPr>
      </w:pPr>
      <w:r>
        <w:rPr>
          <w:rFonts w:ascii="Times New Roman" w:hAnsi="Times New Roman"/>
          <w:szCs w:val="20"/>
        </w:rPr>
        <w:t>17</w:t>
      </w:r>
      <w:r w:rsidR="009A7529" w:rsidRPr="00F90DAB">
        <w:rPr>
          <w:rFonts w:ascii="Times New Roman" w:hAnsi="Times New Roman"/>
          <w:szCs w:val="20"/>
        </w:rPr>
        <w:t xml:space="preserve">. </w:t>
      </w:r>
      <w:r w:rsidR="00C734E5" w:rsidRPr="00F90DAB">
        <w:rPr>
          <w:rFonts w:ascii="Times New Roman" w:hAnsi="Times New Roman"/>
          <w:szCs w:val="20"/>
        </w:rPr>
        <w:t>L.</w:t>
      </w:r>
      <w:r w:rsidR="00C734E5">
        <w:rPr>
          <w:rFonts w:ascii="Times New Roman" w:hAnsi="Times New Roman"/>
          <w:szCs w:val="20"/>
        </w:rPr>
        <w:t xml:space="preserve"> Mai,</w:t>
      </w:r>
      <w:r w:rsidR="00BB4750" w:rsidRPr="00F90DAB">
        <w:rPr>
          <w:rFonts w:ascii="Times New Roman" w:hAnsi="Times New Roman"/>
          <w:szCs w:val="20"/>
        </w:rPr>
        <w:t xml:space="preserve"> et al</w:t>
      </w:r>
      <w:r w:rsidR="00BB4750" w:rsidRPr="00F90DAB">
        <w:rPr>
          <w:rFonts w:ascii="Times New Roman" w:hAnsi="Times New Roman"/>
          <w:i/>
          <w:szCs w:val="20"/>
        </w:rPr>
        <w:t>.</w:t>
      </w:r>
      <w:r w:rsidR="004A6705" w:rsidRPr="00F90DAB">
        <w:rPr>
          <w:rFonts w:ascii="Times New Roman" w:hAnsi="Times New Roman"/>
          <w:szCs w:val="20"/>
        </w:rPr>
        <w:t xml:space="preserve"> Mater.</w:t>
      </w:r>
      <w:r w:rsidR="00C734E5">
        <w:rPr>
          <w:rFonts w:ascii="Times New Roman" w:hAnsi="Times New Roman"/>
          <w:szCs w:val="20"/>
        </w:rPr>
        <w:t xml:space="preserve"> Today, </w:t>
      </w:r>
      <w:r w:rsidR="00C734E5" w:rsidRPr="00C734E5">
        <w:rPr>
          <w:rFonts w:ascii="Times New Roman" w:hAnsi="Times New Roman"/>
          <w:b/>
          <w:szCs w:val="20"/>
        </w:rPr>
        <w:t>2011</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14</w:t>
      </w:r>
      <w:r w:rsidR="00C734E5" w:rsidRPr="00C734E5">
        <w:rPr>
          <w:rFonts w:ascii="Times New Roman" w:hAnsi="Times New Roman"/>
          <w:szCs w:val="20"/>
        </w:rPr>
        <w:t>,</w:t>
      </w:r>
      <w:r w:rsidR="00BB4750" w:rsidRPr="00164A4B">
        <w:rPr>
          <w:rFonts w:ascii="Times New Roman" w:hAnsi="Times New Roman"/>
          <w:szCs w:val="20"/>
        </w:rPr>
        <w:t xml:space="preserve"> 346-353.</w:t>
      </w:r>
    </w:p>
    <w:p w14:paraId="7D933317" w14:textId="411836D0" w:rsidR="00BB4750" w:rsidRPr="00F90DAB" w:rsidRDefault="00AD284B" w:rsidP="009A7529">
      <w:pPr>
        <w:pStyle w:val="EndNoteBibliography"/>
        <w:spacing w:after="0"/>
        <w:ind w:left="142" w:hanging="142"/>
        <w:jc w:val="both"/>
        <w:rPr>
          <w:rFonts w:ascii="Times New Roman" w:hAnsi="Times New Roman"/>
          <w:szCs w:val="20"/>
        </w:rPr>
      </w:pPr>
      <w:r w:rsidRPr="00165A67">
        <w:rPr>
          <w:rFonts w:ascii="Times New Roman" w:hAnsi="Times New Roman"/>
          <w:szCs w:val="20"/>
        </w:rPr>
        <w:t>18</w:t>
      </w:r>
      <w:r w:rsidR="009A7529" w:rsidRPr="00165A67">
        <w:rPr>
          <w:rFonts w:ascii="Times New Roman" w:hAnsi="Times New Roman"/>
          <w:szCs w:val="20"/>
        </w:rPr>
        <w:t xml:space="preserve">. </w:t>
      </w:r>
      <w:r w:rsidR="00C734E5" w:rsidRPr="00165A67">
        <w:rPr>
          <w:rFonts w:ascii="Times New Roman" w:hAnsi="Times New Roman"/>
          <w:szCs w:val="20"/>
        </w:rPr>
        <w:t>C.V. Ramana,</w:t>
      </w:r>
      <w:r w:rsidR="00BB4750" w:rsidRPr="00165A67">
        <w:rPr>
          <w:rFonts w:ascii="Times New Roman" w:hAnsi="Times New Roman"/>
          <w:szCs w:val="20"/>
        </w:rPr>
        <w:t xml:space="preserve"> et al</w:t>
      </w:r>
      <w:r w:rsidR="00BB4750" w:rsidRPr="00165A67">
        <w:rPr>
          <w:rFonts w:ascii="Times New Roman" w:hAnsi="Times New Roman"/>
          <w:i/>
          <w:szCs w:val="20"/>
        </w:rPr>
        <w:t>.</w:t>
      </w:r>
      <w:r w:rsidR="00BB4750" w:rsidRPr="00165A67">
        <w:rPr>
          <w:rFonts w:ascii="Times New Roman" w:hAnsi="Times New Roman"/>
          <w:szCs w:val="20"/>
        </w:rPr>
        <w:t xml:space="preserve"> </w:t>
      </w:r>
      <w:r w:rsidR="004A6705" w:rsidRPr="00F90DAB">
        <w:rPr>
          <w:rFonts w:ascii="Times New Roman" w:hAnsi="Times New Roman"/>
          <w:szCs w:val="20"/>
        </w:rPr>
        <w:t>Solid State Commun.</w:t>
      </w:r>
      <w:r w:rsidR="00BB4750" w:rsidRPr="00F90DAB">
        <w:rPr>
          <w:rFonts w:ascii="Times New Roman" w:hAnsi="Times New Roman"/>
          <w:szCs w:val="20"/>
        </w:rPr>
        <w:t xml:space="preserve">, </w:t>
      </w:r>
      <w:r w:rsidR="00BB4750" w:rsidRPr="00C734E5">
        <w:rPr>
          <w:rFonts w:ascii="Times New Roman" w:hAnsi="Times New Roman"/>
          <w:b/>
          <w:szCs w:val="20"/>
        </w:rPr>
        <w:t>2009</w:t>
      </w:r>
      <w:r w:rsidR="00C734E5" w:rsidRPr="00C734E5">
        <w:rPr>
          <w:rFonts w:ascii="Times New Roman" w:hAnsi="Times New Roman"/>
          <w:szCs w:val="20"/>
        </w:rPr>
        <w:t>,</w:t>
      </w:r>
      <w:r w:rsidR="00BB4750" w:rsidRPr="00C734E5">
        <w:rPr>
          <w:rFonts w:ascii="Times New Roman" w:hAnsi="Times New Roman"/>
          <w:szCs w:val="20"/>
        </w:rPr>
        <w:t xml:space="preserve"> </w:t>
      </w:r>
      <w:r w:rsidR="00BB4750" w:rsidRPr="00C734E5">
        <w:rPr>
          <w:rFonts w:ascii="Times New Roman" w:hAnsi="Times New Roman"/>
          <w:i/>
          <w:szCs w:val="20"/>
        </w:rPr>
        <w:t>149</w:t>
      </w:r>
      <w:r w:rsidR="00C734E5" w:rsidRPr="00C734E5">
        <w:rPr>
          <w:rFonts w:ascii="Times New Roman" w:hAnsi="Times New Roman"/>
          <w:szCs w:val="20"/>
        </w:rPr>
        <w:t>,</w:t>
      </w:r>
      <w:r w:rsidR="00C734E5">
        <w:rPr>
          <w:rFonts w:ascii="Times New Roman" w:hAnsi="Times New Roman"/>
          <w:b/>
          <w:szCs w:val="20"/>
        </w:rPr>
        <w:t xml:space="preserve"> </w:t>
      </w:r>
      <w:r w:rsidR="00BB4750" w:rsidRPr="00F90DAB">
        <w:rPr>
          <w:rFonts w:ascii="Times New Roman" w:hAnsi="Times New Roman"/>
          <w:szCs w:val="20"/>
        </w:rPr>
        <w:t>6-9.</w:t>
      </w:r>
    </w:p>
    <w:p w14:paraId="131BF48A" w14:textId="45E418AE" w:rsidR="00BB4750" w:rsidRPr="00165A67" w:rsidRDefault="00AD284B" w:rsidP="009A7529">
      <w:pPr>
        <w:pStyle w:val="EndNoteBibliography"/>
        <w:spacing w:after="0"/>
        <w:ind w:left="142" w:hanging="142"/>
        <w:jc w:val="both"/>
        <w:rPr>
          <w:rFonts w:ascii="Times New Roman" w:hAnsi="Times New Roman"/>
          <w:szCs w:val="20"/>
          <w:lang w:val="es-CO"/>
        </w:rPr>
      </w:pPr>
      <w:r>
        <w:rPr>
          <w:rFonts w:ascii="Times New Roman" w:hAnsi="Times New Roman"/>
          <w:szCs w:val="20"/>
        </w:rPr>
        <w:t>19</w:t>
      </w:r>
      <w:r w:rsidR="009A7529" w:rsidRPr="00F90DAB">
        <w:rPr>
          <w:rFonts w:ascii="Times New Roman" w:hAnsi="Times New Roman"/>
          <w:szCs w:val="20"/>
        </w:rPr>
        <w:t xml:space="preserve">. </w:t>
      </w:r>
      <w:r w:rsidR="00C734E5" w:rsidRPr="00F90DAB">
        <w:rPr>
          <w:rFonts w:ascii="Times New Roman" w:hAnsi="Times New Roman"/>
          <w:szCs w:val="20"/>
        </w:rPr>
        <w:t>P.</w:t>
      </w:r>
      <w:r w:rsidR="00C734E5">
        <w:rPr>
          <w:rFonts w:ascii="Times New Roman" w:hAnsi="Times New Roman"/>
          <w:szCs w:val="20"/>
        </w:rPr>
        <w:t xml:space="preserve"> </w:t>
      </w:r>
      <w:r w:rsidR="00BB4750" w:rsidRPr="00F90DAB">
        <w:rPr>
          <w:rFonts w:ascii="Times New Roman" w:hAnsi="Times New Roman"/>
          <w:szCs w:val="20"/>
        </w:rPr>
        <w:t>Gajardo,</w:t>
      </w:r>
      <w:r w:rsidR="00C734E5">
        <w:rPr>
          <w:rFonts w:ascii="Times New Roman" w:hAnsi="Times New Roman"/>
          <w:szCs w:val="20"/>
        </w:rPr>
        <w:t xml:space="preserve"> P. Grange</w:t>
      </w:r>
      <w:r w:rsidR="00BB4750" w:rsidRPr="00F90DAB">
        <w:rPr>
          <w:rFonts w:ascii="Times New Roman" w:hAnsi="Times New Roman"/>
          <w:szCs w:val="20"/>
        </w:rPr>
        <w:t xml:space="preserve"> and B. Delmon</w:t>
      </w:r>
      <w:r w:rsidR="00BB4750" w:rsidRPr="00F90DAB">
        <w:rPr>
          <w:rFonts w:ascii="Times New Roman" w:hAnsi="Times New Roman"/>
          <w:i/>
          <w:szCs w:val="20"/>
        </w:rPr>
        <w:t>.</w:t>
      </w:r>
      <w:r w:rsidR="004A6705" w:rsidRPr="00F90DAB">
        <w:rPr>
          <w:rFonts w:ascii="Times New Roman" w:hAnsi="Times New Roman"/>
          <w:szCs w:val="20"/>
        </w:rPr>
        <w:t xml:space="preserve"> </w:t>
      </w:r>
      <w:r w:rsidR="004A6705" w:rsidRPr="00165A67">
        <w:rPr>
          <w:rFonts w:ascii="Times New Roman" w:hAnsi="Times New Roman"/>
          <w:szCs w:val="20"/>
          <w:lang w:val="es-CO"/>
        </w:rPr>
        <w:t>J.</w:t>
      </w:r>
      <w:r w:rsidR="00BB4750" w:rsidRPr="00165A67">
        <w:rPr>
          <w:rFonts w:ascii="Times New Roman" w:hAnsi="Times New Roman"/>
          <w:szCs w:val="20"/>
          <w:lang w:val="es-CO"/>
        </w:rPr>
        <w:t xml:space="preserve"> Catal</w:t>
      </w:r>
      <w:r w:rsidR="004A6705" w:rsidRPr="00165A67">
        <w:rPr>
          <w:rFonts w:ascii="Times New Roman" w:hAnsi="Times New Roman"/>
          <w:szCs w:val="20"/>
          <w:lang w:val="es-CO"/>
        </w:rPr>
        <w:t>.</w:t>
      </w:r>
      <w:r w:rsidR="00BB4750" w:rsidRPr="00165A67">
        <w:rPr>
          <w:rFonts w:ascii="Times New Roman" w:hAnsi="Times New Roman"/>
          <w:szCs w:val="20"/>
          <w:lang w:val="es-CO"/>
        </w:rPr>
        <w:t xml:space="preserve">, </w:t>
      </w:r>
      <w:r w:rsidR="00BB4750" w:rsidRPr="00165A67">
        <w:rPr>
          <w:rFonts w:ascii="Times New Roman" w:hAnsi="Times New Roman"/>
          <w:b/>
          <w:szCs w:val="20"/>
          <w:lang w:val="es-CO"/>
        </w:rPr>
        <w:t>1980</w:t>
      </w:r>
      <w:r w:rsidR="00C734E5" w:rsidRPr="00165A67">
        <w:rPr>
          <w:rFonts w:ascii="Times New Roman" w:hAnsi="Times New Roman"/>
          <w:szCs w:val="20"/>
          <w:lang w:val="es-CO"/>
        </w:rPr>
        <w:t>,</w:t>
      </w:r>
      <w:r w:rsidR="00BB4750" w:rsidRPr="00165A67">
        <w:rPr>
          <w:rFonts w:ascii="Times New Roman" w:hAnsi="Times New Roman"/>
          <w:szCs w:val="20"/>
          <w:lang w:val="es-CO"/>
        </w:rPr>
        <w:t xml:space="preserve"> </w:t>
      </w:r>
      <w:r w:rsidR="00BB4750" w:rsidRPr="00165A67">
        <w:rPr>
          <w:rFonts w:ascii="Times New Roman" w:hAnsi="Times New Roman"/>
          <w:i/>
          <w:szCs w:val="20"/>
          <w:lang w:val="es-CO"/>
        </w:rPr>
        <w:t>63</w:t>
      </w:r>
      <w:r w:rsidR="00C734E5" w:rsidRPr="00165A67">
        <w:rPr>
          <w:rFonts w:ascii="Times New Roman" w:hAnsi="Times New Roman"/>
          <w:szCs w:val="20"/>
          <w:lang w:val="es-CO"/>
        </w:rPr>
        <w:t>,</w:t>
      </w:r>
      <w:r w:rsidR="00BB4750" w:rsidRPr="00165A67">
        <w:rPr>
          <w:rFonts w:ascii="Times New Roman" w:hAnsi="Times New Roman"/>
          <w:szCs w:val="20"/>
          <w:lang w:val="es-CO"/>
        </w:rPr>
        <w:t xml:space="preserve"> 201-216.</w:t>
      </w:r>
    </w:p>
    <w:p w14:paraId="32811D49" w14:textId="6D85F183" w:rsidR="00BB4750" w:rsidRPr="00F90DAB" w:rsidRDefault="00AD284B" w:rsidP="009A7529">
      <w:pPr>
        <w:pStyle w:val="EndNoteBibliography"/>
        <w:spacing w:after="0"/>
        <w:ind w:left="142" w:hanging="142"/>
        <w:jc w:val="both"/>
        <w:rPr>
          <w:rFonts w:ascii="Times New Roman" w:hAnsi="Times New Roman"/>
          <w:szCs w:val="20"/>
        </w:rPr>
      </w:pPr>
      <w:r w:rsidRPr="00165A67">
        <w:rPr>
          <w:rFonts w:ascii="Times New Roman" w:hAnsi="Times New Roman"/>
          <w:szCs w:val="20"/>
          <w:lang w:val="es-CO"/>
        </w:rPr>
        <w:t>20</w:t>
      </w:r>
      <w:r w:rsidR="009A7529" w:rsidRPr="00165A67">
        <w:rPr>
          <w:rFonts w:ascii="Times New Roman" w:hAnsi="Times New Roman"/>
          <w:szCs w:val="20"/>
          <w:lang w:val="es-CO"/>
        </w:rPr>
        <w:t xml:space="preserve">. </w:t>
      </w:r>
      <w:r w:rsidR="00C734E5" w:rsidRPr="00165A67">
        <w:rPr>
          <w:rFonts w:ascii="Times New Roman" w:hAnsi="Times New Roman"/>
          <w:szCs w:val="20"/>
          <w:lang w:val="es-CO"/>
        </w:rPr>
        <w:t>M.</w:t>
      </w:r>
      <w:r w:rsidR="00BB4750" w:rsidRPr="00165A67">
        <w:rPr>
          <w:rFonts w:ascii="Times New Roman" w:hAnsi="Times New Roman"/>
          <w:szCs w:val="20"/>
          <w:lang w:val="es-CO"/>
        </w:rPr>
        <w:t>Thommes, et al.</w:t>
      </w:r>
      <w:r w:rsidR="004A6705" w:rsidRPr="00165A67">
        <w:rPr>
          <w:rFonts w:ascii="Times New Roman" w:hAnsi="Times New Roman"/>
          <w:szCs w:val="20"/>
          <w:lang w:val="es-CO"/>
        </w:rPr>
        <w:t xml:space="preserve"> </w:t>
      </w:r>
      <w:r w:rsidR="004A6705" w:rsidRPr="00F90DAB">
        <w:rPr>
          <w:rFonts w:ascii="Times New Roman" w:hAnsi="Times New Roman"/>
          <w:szCs w:val="20"/>
        </w:rPr>
        <w:t>Pure and Appl.</w:t>
      </w:r>
      <w:r w:rsidR="00BB4750" w:rsidRPr="00F90DAB">
        <w:rPr>
          <w:rFonts w:ascii="Times New Roman" w:hAnsi="Times New Roman"/>
          <w:szCs w:val="20"/>
        </w:rPr>
        <w:t xml:space="preserve"> Chem</w:t>
      </w:r>
      <w:r w:rsidR="004A6705" w:rsidRPr="00F90DAB">
        <w:rPr>
          <w:rFonts w:ascii="Times New Roman" w:hAnsi="Times New Roman"/>
          <w:szCs w:val="20"/>
        </w:rPr>
        <w:t>.</w:t>
      </w:r>
      <w:r w:rsidR="00C734E5">
        <w:rPr>
          <w:rFonts w:ascii="Times New Roman" w:hAnsi="Times New Roman"/>
          <w:szCs w:val="20"/>
        </w:rPr>
        <w:t xml:space="preserve">, </w:t>
      </w:r>
      <w:r w:rsidR="00C734E5" w:rsidRPr="00C734E5">
        <w:rPr>
          <w:rFonts w:ascii="Times New Roman" w:hAnsi="Times New Roman"/>
          <w:b/>
          <w:szCs w:val="20"/>
        </w:rPr>
        <w:t>2015</w:t>
      </w:r>
      <w:r w:rsidR="00C734E5">
        <w:rPr>
          <w:rFonts w:ascii="Times New Roman" w:hAnsi="Times New Roman"/>
          <w:szCs w:val="20"/>
        </w:rPr>
        <w:t>,</w:t>
      </w:r>
      <w:r w:rsidR="00BB4750" w:rsidRPr="00F90DAB">
        <w:rPr>
          <w:rFonts w:ascii="Times New Roman" w:hAnsi="Times New Roman"/>
          <w:szCs w:val="20"/>
        </w:rPr>
        <w:t xml:space="preserve"> </w:t>
      </w:r>
      <w:r w:rsidR="00BB4750" w:rsidRPr="00C734E5">
        <w:rPr>
          <w:rFonts w:ascii="Times New Roman" w:hAnsi="Times New Roman"/>
          <w:i/>
          <w:szCs w:val="20"/>
        </w:rPr>
        <w:t>87</w:t>
      </w:r>
      <w:r w:rsidR="00C734E5" w:rsidRPr="00C734E5">
        <w:rPr>
          <w:rFonts w:ascii="Times New Roman" w:hAnsi="Times New Roman"/>
          <w:szCs w:val="20"/>
        </w:rPr>
        <w:t>,</w:t>
      </w:r>
      <w:r w:rsidR="00BB4750" w:rsidRPr="00F90DAB">
        <w:rPr>
          <w:rFonts w:ascii="Times New Roman" w:hAnsi="Times New Roman"/>
          <w:szCs w:val="20"/>
        </w:rPr>
        <w:t xml:space="preserve"> 1051-1069.</w:t>
      </w:r>
    </w:p>
    <w:p w14:paraId="1E4D5A7B" w14:textId="7B4487A3" w:rsidR="00BB4750" w:rsidRPr="00F90DAB" w:rsidRDefault="00AD284B" w:rsidP="009A7529">
      <w:pPr>
        <w:pStyle w:val="EndNoteBibliography"/>
        <w:spacing w:after="0"/>
        <w:ind w:left="142" w:hanging="142"/>
        <w:jc w:val="both"/>
        <w:rPr>
          <w:rFonts w:ascii="Times New Roman" w:hAnsi="Times New Roman"/>
          <w:szCs w:val="20"/>
        </w:rPr>
      </w:pPr>
      <w:r>
        <w:rPr>
          <w:rFonts w:ascii="Times New Roman" w:hAnsi="Times New Roman"/>
          <w:szCs w:val="20"/>
        </w:rPr>
        <w:t>21</w:t>
      </w:r>
      <w:r w:rsidR="009A7529" w:rsidRPr="00F90DAB">
        <w:rPr>
          <w:rFonts w:ascii="Times New Roman" w:hAnsi="Times New Roman"/>
          <w:szCs w:val="20"/>
        </w:rPr>
        <w:t xml:space="preserve">. </w:t>
      </w:r>
      <w:r w:rsidR="0085697B" w:rsidRPr="00F90DAB">
        <w:rPr>
          <w:rFonts w:ascii="Times New Roman" w:hAnsi="Times New Roman"/>
          <w:szCs w:val="20"/>
        </w:rPr>
        <w:t>S.</w:t>
      </w:r>
      <w:r w:rsidR="0085697B">
        <w:rPr>
          <w:rFonts w:ascii="Times New Roman" w:hAnsi="Times New Roman"/>
          <w:szCs w:val="20"/>
        </w:rPr>
        <w:t xml:space="preserve"> </w:t>
      </w:r>
      <w:r w:rsidR="00BB4750" w:rsidRPr="00F90DAB">
        <w:rPr>
          <w:rFonts w:ascii="Times New Roman" w:hAnsi="Times New Roman"/>
          <w:szCs w:val="20"/>
        </w:rPr>
        <w:t>Brunauer, P.H. Emmett, and E. Teller</w:t>
      </w:r>
      <w:r w:rsidR="00BB4750" w:rsidRPr="00F90DAB">
        <w:rPr>
          <w:rFonts w:ascii="Times New Roman" w:hAnsi="Times New Roman"/>
          <w:i/>
          <w:szCs w:val="20"/>
        </w:rPr>
        <w:t>.</w:t>
      </w:r>
      <w:r w:rsidR="004A6705" w:rsidRPr="00F90DAB">
        <w:rPr>
          <w:rFonts w:ascii="Times New Roman" w:hAnsi="Times New Roman"/>
          <w:szCs w:val="20"/>
        </w:rPr>
        <w:t xml:space="preserve"> J.</w:t>
      </w:r>
      <w:r w:rsidR="00BB4750" w:rsidRPr="00F90DAB">
        <w:rPr>
          <w:rFonts w:ascii="Times New Roman" w:hAnsi="Times New Roman"/>
          <w:szCs w:val="20"/>
        </w:rPr>
        <w:t xml:space="preserve"> Am</w:t>
      </w:r>
      <w:r w:rsidR="004A6705" w:rsidRPr="00F90DAB">
        <w:rPr>
          <w:rFonts w:ascii="Times New Roman" w:hAnsi="Times New Roman"/>
          <w:szCs w:val="20"/>
        </w:rPr>
        <w:t xml:space="preserve">. </w:t>
      </w:r>
      <w:r w:rsidR="00BB4750" w:rsidRPr="00F90DAB">
        <w:rPr>
          <w:rFonts w:ascii="Times New Roman" w:hAnsi="Times New Roman"/>
          <w:szCs w:val="20"/>
        </w:rPr>
        <w:t>Chem</w:t>
      </w:r>
      <w:r w:rsidR="006F7D7E" w:rsidRPr="00F90DAB">
        <w:rPr>
          <w:rFonts w:ascii="Times New Roman" w:hAnsi="Times New Roman"/>
          <w:szCs w:val="20"/>
        </w:rPr>
        <w:t>. Soc.</w:t>
      </w:r>
      <w:r w:rsidR="00BB4750" w:rsidRPr="00F90DAB">
        <w:rPr>
          <w:rFonts w:ascii="Times New Roman" w:hAnsi="Times New Roman"/>
          <w:szCs w:val="20"/>
        </w:rPr>
        <w:t xml:space="preserve">, </w:t>
      </w:r>
      <w:r w:rsidR="00BB4750" w:rsidRPr="0085697B">
        <w:rPr>
          <w:rFonts w:ascii="Times New Roman" w:hAnsi="Times New Roman"/>
          <w:b/>
          <w:szCs w:val="20"/>
        </w:rPr>
        <w:t>1938</w:t>
      </w:r>
      <w:r w:rsidR="0085697B">
        <w:rPr>
          <w:rFonts w:ascii="Times New Roman" w:hAnsi="Times New Roman"/>
          <w:szCs w:val="20"/>
        </w:rPr>
        <w:t>,</w:t>
      </w:r>
      <w:r w:rsidR="00BB4750" w:rsidRPr="00F90DAB">
        <w:rPr>
          <w:rFonts w:ascii="Times New Roman" w:hAnsi="Times New Roman"/>
          <w:szCs w:val="20"/>
        </w:rPr>
        <w:t xml:space="preserve"> </w:t>
      </w:r>
      <w:r w:rsidR="00BB4750" w:rsidRPr="0085697B">
        <w:rPr>
          <w:rFonts w:ascii="Times New Roman" w:hAnsi="Times New Roman"/>
          <w:i/>
          <w:szCs w:val="20"/>
        </w:rPr>
        <w:t>60</w:t>
      </w:r>
      <w:r w:rsidR="0085697B" w:rsidRPr="0085697B">
        <w:rPr>
          <w:rFonts w:ascii="Times New Roman" w:hAnsi="Times New Roman"/>
          <w:szCs w:val="20"/>
        </w:rPr>
        <w:t>,</w:t>
      </w:r>
      <w:r w:rsidR="00BB4750" w:rsidRPr="00F90DAB">
        <w:rPr>
          <w:rFonts w:ascii="Times New Roman" w:hAnsi="Times New Roman"/>
          <w:szCs w:val="20"/>
        </w:rPr>
        <w:t xml:space="preserve"> 309-319.</w:t>
      </w:r>
    </w:p>
    <w:p w14:paraId="20DB37B9" w14:textId="13D63741" w:rsidR="0039056D" w:rsidRDefault="00AD284B" w:rsidP="00C20BC6">
      <w:pPr>
        <w:pStyle w:val="EndNoteBibliography"/>
        <w:spacing w:after="0"/>
        <w:ind w:left="142" w:hanging="142"/>
        <w:jc w:val="both"/>
        <w:rPr>
          <w:rFonts w:ascii="Times New Roman" w:hAnsi="Times New Roman"/>
          <w:szCs w:val="20"/>
        </w:rPr>
      </w:pPr>
      <w:r>
        <w:rPr>
          <w:rFonts w:ascii="Times New Roman" w:hAnsi="Times New Roman"/>
          <w:szCs w:val="20"/>
        </w:rPr>
        <w:t>22</w:t>
      </w:r>
      <w:r w:rsidR="009A7529" w:rsidRPr="00F90DAB">
        <w:rPr>
          <w:rFonts w:ascii="Times New Roman" w:hAnsi="Times New Roman"/>
          <w:szCs w:val="20"/>
        </w:rPr>
        <w:t xml:space="preserve">. </w:t>
      </w:r>
      <w:r w:rsidR="0085697B">
        <w:rPr>
          <w:rFonts w:ascii="Times New Roman" w:hAnsi="Times New Roman"/>
          <w:szCs w:val="20"/>
        </w:rPr>
        <w:t xml:space="preserve">E.P. </w:t>
      </w:r>
      <w:r w:rsidR="00BB4750" w:rsidRPr="00F90DAB">
        <w:rPr>
          <w:rFonts w:ascii="Times New Roman" w:hAnsi="Times New Roman"/>
          <w:szCs w:val="20"/>
        </w:rPr>
        <w:t>B</w:t>
      </w:r>
      <w:r w:rsidR="0085697B">
        <w:rPr>
          <w:rFonts w:ascii="Times New Roman" w:hAnsi="Times New Roman"/>
          <w:szCs w:val="20"/>
        </w:rPr>
        <w:t>arrett</w:t>
      </w:r>
      <w:r w:rsidR="00BB4750" w:rsidRPr="00F90DAB">
        <w:rPr>
          <w:rFonts w:ascii="Times New Roman" w:hAnsi="Times New Roman"/>
          <w:szCs w:val="20"/>
        </w:rPr>
        <w:t>, L.G. J</w:t>
      </w:r>
      <w:r w:rsidR="0085697B">
        <w:rPr>
          <w:rFonts w:ascii="Times New Roman" w:hAnsi="Times New Roman"/>
          <w:szCs w:val="20"/>
        </w:rPr>
        <w:t>oyner</w:t>
      </w:r>
      <w:r w:rsidR="00BB4750" w:rsidRPr="00F90DAB">
        <w:rPr>
          <w:rFonts w:ascii="Times New Roman" w:hAnsi="Times New Roman"/>
          <w:szCs w:val="20"/>
        </w:rPr>
        <w:t xml:space="preserve"> and P.P. H</w:t>
      </w:r>
      <w:r w:rsidR="0085697B">
        <w:rPr>
          <w:rFonts w:ascii="Times New Roman" w:hAnsi="Times New Roman"/>
          <w:szCs w:val="20"/>
        </w:rPr>
        <w:t>alenda.</w:t>
      </w:r>
      <w:r w:rsidR="00BB4750" w:rsidRPr="00F90DAB">
        <w:rPr>
          <w:rFonts w:ascii="Times New Roman" w:hAnsi="Times New Roman"/>
          <w:szCs w:val="20"/>
        </w:rPr>
        <w:t xml:space="preserve"> </w:t>
      </w:r>
      <w:r w:rsidR="006F7D7E" w:rsidRPr="00F90DAB">
        <w:rPr>
          <w:rFonts w:ascii="Times New Roman" w:hAnsi="Times New Roman"/>
          <w:szCs w:val="20"/>
        </w:rPr>
        <w:t>J. Am. Chem. Soc.</w:t>
      </w:r>
      <w:r w:rsidR="00BB4750" w:rsidRPr="00F90DAB">
        <w:rPr>
          <w:rFonts w:ascii="Times New Roman" w:hAnsi="Times New Roman"/>
          <w:szCs w:val="20"/>
        </w:rPr>
        <w:t>,</w:t>
      </w:r>
      <w:r w:rsidR="0085697B">
        <w:rPr>
          <w:rFonts w:ascii="Times New Roman" w:hAnsi="Times New Roman"/>
          <w:szCs w:val="20"/>
        </w:rPr>
        <w:t xml:space="preserve"> </w:t>
      </w:r>
      <w:r w:rsidR="0085697B" w:rsidRPr="0085697B">
        <w:rPr>
          <w:rFonts w:ascii="Times New Roman" w:hAnsi="Times New Roman"/>
          <w:b/>
          <w:szCs w:val="20"/>
        </w:rPr>
        <w:t>1951</w:t>
      </w:r>
      <w:r w:rsidR="0085697B">
        <w:rPr>
          <w:rFonts w:ascii="Times New Roman" w:hAnsi="Times New Roman"/>
          <w:szCs w:val="20"/>
        </w:rPr>
        <w:t>,</w:t>
      </w:r>
      <w:r w:rsidR="00BB4750" w:rsidRPr="00F90DAB">
        <w:rPr>
          <w:rFonts w:ascii="Times New Roman" w:hAnsi="Times New Roman"/>
          <w:szCs w:val="20"/>
        </w:rPr>
        <w:t xml:space="preserve"> </w:t>
      </w:r>
      <w:r w:rsidR="00BB4750" w:rsidRPr="0085697B">
        <w:rPr>
          <w:rFonts w:ascii="Times New Roman" w:hAnsi="Times New Roman"/>
          <w:i/>
          <w:szCs w:val="20"/>
        </w:rPr>
        <w:t>73</w:t>
      </w:r>
      <w:r w:rsidR="0085697B" w:rsidRPr="0085697B">
        <w:rPr>
          <w:rFonts w:ascii="Times New Roman" w:hAnsi="Times New Roman"/>
          <w:szCs w:val="20"/>
        </w:rPr>
        <w:t>,</w:t>
      </w:r>
      <w:r w:rsidR="00BB4750" w:rsidRPr="00F90DAB">
        <w:rPr>
          <w:rFonts w:ascii="Times New Roman" w:hAnsi="Times New Roman"/>
          <w:szCs w:val="20"/>
        </w:rPr>
        <w:t xml:space="preserve"> 373-380.</w:t>
      </w:r>
    </w:p>
    <w:p w14:paraId="5990C26C" w14:textId="77777777" w:rsidR="00C20133" w:rsidRDefault="00634A5B" w:rsidP="00C20133">
      <w:pPr>
        <w:pStyle w:val="EndNoteBibliography"/>
        <w:spacing w:after="0"/>
        <w:ind w:left="142" w:hanging="142"/>
        <w:jc w:val="both"/>
        <w:rPr>
          <w:rFonts w:ascii="Times New Roman" w:hAnsi="Times New Roman"/>
          <w:szCs w:val="20"/>
        </w:rPr>
      </w:pPr>
      <w:r w:rsidRPr="00CA2832">
        <w:rPr>
          <w:rFonts w:ascii="Times New Roman" w:hAnsi="Times New Roman"/>
          <w:szCs w:val="20"/>
        </w:rPr>
        <w:t xml:space="preserve">23. </w:t>
      </w:r>
      <w:r w:rsidR="00F73397" w:rsidRPr="00CA2832">
        <w:rPr>
          <w:rFonts w:ascii="Times New Roman" w:hAnsi="Times New Roman"/>
          <w:szCs w:val="20"/>
        </w:rPr>
        <w:t>Valente, J.S., et al.</w:t>
      </w:r>
      <w:r w:rsidRPr="00CA2832">
        <w:rPr>
          <w:rFonts w:ascii="Times New Roman" w:hAnsi="Times New Roman"/>
          <w:szCs w:val="20"/>
        </w:rPr>
        <w:t xml:space="preserve"> </w:t>
      </w:r>
      <w:r w:rsidR="00F73397" w:rsidRPr="00634A5B">
        <w:rPr>
          <w:rFonts w:ascii="Times New Roman" w:hAnsi="Times New Roman"/>
          <w:szCs w:val="20"/>
        </w:rPr>
        <w:t>Catal</w:t>
      </w:r>
      <w:r w:rsidRPr="00634A5B">
        <w:rPr>
          <w:rFonts w:ascii="Times New Roman" w:hAnsi="Times New Roman"/>
          <w:szCs w:val="20"/>
        </w:rPr>
        <w:t>.</w:t>
      </w:r>
      <w:r w:rsidR="00F73397" w:rsidRPr="00634A5B">
        <w:rPr>
          <w:rFonts w:ascii="Times New Roman" w:hAnsi="Times New Roman"/>
          <w:szCs w:val="20"/>
        </w:rPr>
        <w:t xml:space="preserve"> Today, </w:t>
      </w:r>
      <w:r w:rsidR="00F73397" w:rsidRPr="00634A5B">
        <w:rPr>
          <w:rFonts w:ascii="Times New Roman" w:hAnsi="Times New Roman"/>
          <w:b/>
          <w:szCs w:val="20"/>
        </w:rPr>
        <w:t>2010</w:t>
      </w:r>
      <w:r w:rsidRPr="00634A5B">
        <w:rPr>
          <w:rFonts w:ascii="Times New Roman" w:hAnsi="Times New Roman"/>
          <w:szCs w:val="20"/>
        </w:rPr>
        <w:t>,</w:t>
      </w:r>
      <w:r w:rsidR="00F73397" w:rsidRPr="00634A5B">
        <w:rPr>
          <w:rFonts w:ascii="Times New Roman" w:hAnsi="Times New Roman"/>
          <w:szCs w:val="20"/>
        </w:rPr>
        <w:t xml:space="preserve"> </w:t>
      </w:r>
      <w:r w:rsidR="00F73397" w:rsidRPr="00634A5B">
        <w:rPr>
          <w:rFonts w:ascii="Times New Roman" w:hAnsi="Times New Roman"/>
          <w:i/>
          <w:szCs w:val="20"/>
        </w:rPr>
        <w:t>150</w:t>
      </w:r>
      <w:r w:rsidRPr="00634A5B">
        <w:rPr>
          <w:rFonts w:ascii="Times New Roman" w:hAnsi="Times New Roman"/>
          <w:szCs w:val="20"/>
        </w:rPr>
        <w:t xml:space="preserve">, </w:t>
      </w:r>
      <w:r w:rsidR="00F73397" w:rsidRPr="00634A5B">
        <w:rPr>
          <w:rFonts w:ascii="Times New Roman" w:hAnsi="Times New Roman"/>
          <w:szCs w:val="20"/>
        </w:rPr>
        <w:t>340-345</w:t>
      </w:r>
      <w:r w:rsidRPr="00634A5B">
        <w:rPr>
          <w:rFonts w:ascii="Times New Roman" w:hAnsi="Times New Roman"/>
          <w:szCs w:val="20"/>
        </w:rPr>
        <w:t>.</w:t>
      </w:r>
    </w:p>
    <w:p w14:paraId="0BE2E414" w14:textId="217F8360" w:rsidR="00C20BC6" w:rsidRPr="003C19C4" w:rsidRDefault="00634A5B" w:rsidP="00C20133">
      <w:pPr>
        <w:pStyle w:val="EndNoteBibliography"/>
        <w:spacing w:after="0"/>
        <w:ind w:left="142" w:hanging="142"/>
        <w:jc w:val="both"/>
      </w:pPr>
      <w:r>
        <w:rPr>
          <w:rFonts w:ascii="Times New Roman" w:hAnsi="Times New Roman"/>
          <w:szCs w:val="20"/>
        </w:rPr>
        <w:t>24</w:t>
      </w:r>
      <w:r w:rsidR="00C20BC6">
        <w:rPr>
          <w:rFonts w:ascii="Times New Roman" w:hAnsi="Times New Roman"/>
          <w:szCs w:val="20"/>
        </w:rPr>
        <w:t>.</w:t>
      </w:r>
      <w:r w:rsidR="00C20BC6" w:rsidRPr="00C20BC6">
        <w:rPr>
          <w:rFonts w:ascii="Times New Roman" w:hAnsi="Times New Roman"/>
          <w:szCs w:val="20"/>
        </w:rPr>
        <w:t>H.Topsøe,</w:t>
      </w:r>
      <w:r w:rsidR="00C20BC6">
        <w:rPr>
          <w:rFonts w:ascii="Times New Roman" w:hAnsi="Times New Roman"/>
          <w:szCs w:val="20"/>
        </w:rPr>
        <w:t xml:space="preserve"> B.S. </w:t>
      </w:r>
      <w:r w:rsidR="00C20BC6" w:rsidRPr="00C20BC6">
        <w:rPr>
          <w:rFonts w:ascii="Times New Roman" w:hAnsi="Times New Roman"/>
          <w:szCs w:val="20"/>
        </w:rPr>
        <w:t xml:space="preserve">Clausene and </w:t>
      </w:r>
      <w:r w:rsidR="00C20BC6">
        <w:rPr>
          <w:rFonts w:ascii="Times New Roman" w:hAnsi="Times New Roman"/>
          <w:szCs w:val="20"/>
        </w:rPr>
        <w:t xml:space="preserve">F.E. </w:t>
      </w:r>
      <w:r w:rsidR="00C20BC6" w:rsidRPr="00C20BC6">
        <w:rPr>
          <w:rFonts w:ascii="Times New Roman" w:hAnsi="Times New Roman"/>
          <w:szCs w:val="20"/>
        </w:rPr>
        <w:t>Massoth</w:t>
      </w:r>
      <w:r w:rsidR="00C20BC6">
        <w:rPr>
          <w:rFonts w:ascii="Times New Roman" w:hAnsi="Times New Roman"/>
          <w:szCs w:val="20"/>
        </w:rPr>
        <w:t>.</w:t>
      </w:r>
      <w:r w:rsidR="00C20BC6" w:rsidRPr="00C20BC6">
        <w:rPr>
          <w:rFonts w:ascii="Times New Roman" w:hAnsi="Times New Roman"/>
          <w:b/>
          <w:szCs w:val="20"/>
        </w:rPr>
        <w:t xml:space="preserve"> </w:t>
      </w:r>
      <w:r w:rsidR="00C20BC6" w:rsidRPr="00C20BC6">
        <w:rPr>
          <w:rFonts w:ascii="Times New Roman" w:hAnsi="Times New Roman"/>
          <w:i/>
          <w:szCs w:val="20"/>
        </w:rPr>
        <w:t>Hydrotreating Catalysis Science and Technology</w:t>
      </w:r>
      <w:r w:rsidR="00C20BC6" w:rsidRPr="00C20BC6">
        <w:rPr>
          <w:rFonts w:ascii="Times New Roman" w:hAnsi="Times New Roman"/>
          <w:b/>
          <w:szCs w:val="20"/>
        </w:rPr>
        <w:t xml:space="preserve"> </w:t>
      </w:r>
      <w:r w:rsidR="00C20BC6" w:rsidRPr="00C20BC6">
        <w:rPr>
          <w:rFonts w:ascii="Times New Roman" w:hAnsi="Times New Roman"/>
          <w:szCs w:val="20"/>
        </w:rPr>
        <w:t xml:space="preserve">1st ed. </w:t>
      </w:r>
      <w:r w:rsidR="00C20BC6">
        <w:rPr>
          <w:rFonts w:ascii="Times New Roman" w:hAnsi="Times New Roman"/>
          <w:szCs w:val="20"/>
        </w:rPr>
        <w:t xml:space="preserve">New York: Springer-Verlag, </w:t>
      </w:r>
      <w:r w:rsidR="00C20BC6" w:rsidRPr="00C20BC6">
        <w:rPr>
          <w:rFonts w:ascii="Times New Roman" w:hAnsi="Times New Roman"/>
          <w:b/>
          <w:szCs w:val="20"/>
        </w:rPr>
        <w:t>1996</w:t>
      </w:r>
      <w:r w:rsidR="00C20BC6">
        <w:rPr>
          <w:rFonts w:ascii="Times New Roman" w:hAnsi="Times New Roman"/>
          <w:b/>
          <w:szCs w:val="20"/>
        </w:rPr>
        <w:t>.</w:t>
      </w:r>
    </w:p>
    <w:sectPr w:rsidR="00C20BC6" w:rsidRPr="003C19C4" w:rsidSect="0039056D">
      <w:type w:val="continuous"/>
      <w:pgSz w:w="11906" w:h="16838"/>
      <w:pgMar w:top="1418" w:right="1094" w:bottom="1418" w:left="567"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55E0C" w16cex:dateUtc="2023-04-15T20:31:00Z"/>
  <w16cex:commentExtensible w16cex:durableId="27E5641B" w16cex:dateUtc="2023-04-15T20:57:00Z"/>
  <w16cex:commentExtensible w16cex:durableId="27E567E8" w16cex:dateUtc="2023-04-15T21:14:00Z"/>
  <w16cex:commentExtensible w16cex:durableId="27E568BC" w16cex:dateUtc="2023-04-15T21:17:00Z"/>
  <w16cex:commentExtensible w16cex:durableId="27E5698B" w16cex:dateUtc="2023-04-15T21:20:00Z"/>
  <w16cex:commentExtensible w16cex:durableId="27E56A0A" w16cex:dateUtc="2023-04-15T2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190C0" w16cid:durableId="27E55E0C"/>
  <w16cid:commentId w16cid:paraId="17D8AD2A" w16cid:durableId="27E5641B"/>
  <w16cid:commentId w16cid:paraId="302C2970" w16cid:durableId="27E567E8"/>
  <w16cid:commentId w16cid:paraId="5B5D08D0" w16cid:durableId="27E568BC"/>
  <w16cid:commentId w16cid:paraId="4016E3CA" w16cid:durableId="27E5698B"/>
  <w16cid:commentId w16cid:paraId="17A4F53D" w16cid:durableId="27E56A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F90F" w14:textId="77777777" w:rsidR="00EE0476" w:rsidRDefault="00EE0476">
      <w:pPr>
        <w:spacing w:after="0" w:line="240" w:lineRule="auto"/>
      </w:pPr>
      <w:r>
        <w:separator/>
      </w:r>
    </w:p>
  </w:endnote>
  <w:endnote w:type="continuationSeparator" w:id="0">
    <w:p w14:paraId="04A628A6" w14:textId="77777777" w:rsidR="00EE0476" w:rsidRDefault="00EE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E8467" w14:textId="77777777" w:rsidR="00EE0476" w:rsidRDefault="00EE0476">
      <w:pPr>
        <w:spacing w:after="0" w:line="240" w:lineRule="auto"/>
      </w:pPr>
      <w:r>
        <w:separator/>
      </w:r>
    </w:p>
  </w:footnote>
  <w:footnote w:type="continuationSeparator" w:id="0">
    <w:p w14:paraId="18CE0D52" w14:textId="77777777" w:rsidR="00EE0476" w:rsidRDefault="00EE0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73A8" w14:textId="77777777" w:rsidR="0039056D" w:rsidRDefault="0039056D" w:rsidP="0039056D">
    <w:pPr>
      <w:pStyle w:val="Cabealho"/>
      <w:jc w:val="center"/>
    </w:pPr>
    <w:r w:rsidRPr="007B0991">
      <w:rPr>
        <w:noProof/>
        <w:lang w:eastAsia="pt-BR"/>
      </w:rPr>
      <w:drawing>
        <wp:inline distT="0" distB="0" distL="0" distR="0" wp14:anchorId="598C3CCA" wp14:editId="740505D2">
          <wp:extent cx="1521460" cy="1050925"/>
          <wp:effectExtent l="0" t="0" r="0" b="0"/>
          <wp:docPr id="2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l="15623" t="15704" r="28688" b="16130"/>
                  <a:stretch>
                    <a:fillRect/>
                  </a:stretch>
                </pic:blipFill>
                <pic:spPr bwMode="auto">
                  <a:xfrm>
                    <a:off x="0" y="0"/>
                    <a:ext cx="1521460" cy="1050925"/>
                  </a:xfrm>
                  <a:prstGeom prst="rect">
                    <a:avLst/>
                  </a:prstGeom>
                  <a:noFill/>
                  <a:ln>
                    <a:noFill/>
                  </a:ln>
                </pic:spPr>
              </pic:pic>
            </a:graphicData>
          </a:graphic>
        </wp:inline>
      </w:drawing>
    </w:r>
    <w:r>
      <w:rPr>
        <w:noProof/>
      </w:rPr>
      <w:t xml:space="preserve">                                                </w:t>
    </w:r>
    <w:r w:rsidRPr="007B0991">
      <w:rPr>
        <w:noProof/>
        <w:lang w:eastAsia="pt-BR"/>
      </w:rPr>
      <w:drawing>
        <wp:inline distT="0" distB="0" distL="0" distR="0" wp14:anchorId="7FBD2D77" wp14:editId="178628E4">
          <wp:extent cx="1965325" cy="695960"/>
          <wp:effectExtent l="0" t="0" r="0" b="0"/>
          <wp:docPr id="26"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5325" cy="6959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1" w15:restartNumberingAfterBreak="0">
    <w:nsid w:val="73537B5A"/>
    <w:multiLevelType w:val="hybridMultilevel"/>
    <w:tmpl w:val="32206E70"/>
    <w:lvl w:ilvl="0" w:tplc="A7E6A12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B4750"/>
    <w:rsid w:val="00064D37"/>
    <w:rsid w:val="000746D0"/>
    <w:rsid w:val="00081D34"/>
    <w:rsid w:val="000A300A"/>
    <w:rsid w:val="000B4976"/>
    <w:rsid w:val="000C2131"/>
    <w:rsid w:val="000E6529"/>
    <w:rsid w:val="0010096A"/>
    <w:rsid w:val="001067A2"/>
    <w:rsid w:val="00107B66"/>
    <w:rsid w:val="00124D4E"/>
    <w:rsid w:val="00141A86"/>
    <w:rsid w:val="00161755"/>
    <w:rsid w:val="00164A4B"/>
    <w:rsid w:val="00165A67"/>
    <w:rsid w:val="00191434"/>
    <w:rsid w:val="001E4A7F"/>
    <w:rsid w:val="0023402E"/>
    <w:rsid w:val="00237380"/>
    <w:rsid w:val="00296F47"/>
    <w:rsid w:val="002B03BD"/>
    <w:rsid w:val="002B0FB2"/>
    <w:rsid w:val="002B2EE5"/>
    <w:rsid w:val="00323CA7"/>
    <w:rsid w:val="00340298"/>
    <w:rsid w:val="0035681A"/>
    <w:rsid w:val="00377001"/>
    <w:rsid w:val="00386224"/>
    <w:rsid w:val="0039056D"/>
    <w:rsid w:val="003A65C0"/>
    <w:rsid w:val="003B2DD9"/>
    <w:rsid w:val="003B4741"/>
    <w:rsid w:val="003B7E6B"/>
    <w:rsid w:val="003C19C4"/>
    <w:rsid w:val="00400816"/>
    <w:rsid w:val="00406002"/>
    <w:rsid w:val="00451492"/>
    <w:rsid w:val="004625B4"/>
    <w:rsid w:val="00480136"/>
    <w:rsid w:val="004A2D77"/>
    <w:rsid w:val="004A6705"/>
    <w:rsid w:val="004A6FB7"/>
    <w:rsid w:val="004B2348"/>
    <w:rsid w:val="004C7A8C"/>
    <w:rsid w:val="004E5829"/>
    <w:rsid w:val="005002C6"/>
    <w:rsid w:val="005053C5"/>
    <w:rsid w:val="00537D7B"/>
    <w:rsid w:val="0054247D"/>
    <w:rsid w:val="00551CCB"/>
    <w:rsid w:val="00594852"/>
    <w:rsid w:val="00595D09"/>
    <w:rsid w:val="005A15F9"/>
    <w:rsid w:val="005D7FA3"/>
    <w:rsid w:val="00611EB7"/>
    <w:rsid w:val="00611F27"/>
    <w:rsid w:val="0062414A"/>
    <w:rsid w:val="00634A5B"/>
    <w:rsid w:val="006430FF"/>
    <w:rsid w:val="00661DED"/>
    <w:rsid w:val="00674C97"/>
    <w:rsid w:val="00687566"/>
    <w:rsid w:val="006955D1"/>
    <w:rsid w:val="006E7E63"/>
    <w:rsid w:val="006F7D7E"/>
    <w:rsid w:val="00705ED7"/>
    <w:rsid w:val="007209FB"/>
    <w:rsid w:val="007274A6"/>
    <w:rsid w:val="0072792D"/>
    <w:rsid w:val="00753D4D"/>
    <w:rsid w:val="007558E2"/>
    <w:rsid w:val="00756C0D"/>
    <w:rsid w:val="0076328F"/>
    <w:rsid w:val="007660BC"/>
    <w:rsid w:val="00781F32"/>
    <w:rsid w:val="007829C7"/>
    <w:rsid w:val="00785AF1"/>
    <w:rsid w:val="007D1EDC"/>
    <w:rsid w:val="00801B15"/>
    <w:rsid w:val="0085697B"/>
    <w:rsid w:val="008734C3"/>
    <w:rsid w:val="008800B1"/>
    <w:rsid w:val="00882DD4"/>
    <w:rsid w:val="008D05C4"/>
    <w:rsid w:val="008F32EB"/>
    <w:rsid w:val="00913BA5"/>
    <w:rsid w:val="00924525"/>
    <w:rsid w:val="00925693"/>
    <w:rsid w:val="0093654C"/>
    <w:rsid w:val="009522DE"/>
    <w:rsid w:val="00963F65"/>
    <w:rsid w:val="009A7529"/>
    <w:rsid w:val="009A7A3B"/>
    <w:rsid w:val="009D4F1D"/>
    <w:rsid w:val="009E0F60"/>
    <w:rsid w:val="009E664F"/>
    <w:rsid w:val="00A14878"/>
    <w:rsid w:val="00A30EDD"/>
    <w:rsid w:val="00A332DD"/>
    <w:rsid w:val="00A35258"/>
    <w:rsid w:val="00A44E23"/>
    <w:rsid w:val="00A566B9"/>
    <w:rsid w:val="00A7037B"/>
    <w:rsid w:val="00AA2426"/>
    <w:rsid w:val="00AA3F8E"/>
    <w:rsid w:val="00AA62C8"/>
    <w:rsid w:val="00AC30D1"/>
    <w:rsid w:val="00AD284B"/>
    <w:rsid w:val="00B232F1"/>
    <w:rsid w:val="00B41079"/>
    <w:rsid w:val="00B54ABE"/>
    <w:rsid w:val="00B77CB8"/>
    <w:rsid w:val="00B95F8F"/>
    <w:rsid w:val="00BB4750"/>
    <w:rsid w:val="00BB5DAB"/>
    <w:rsid w:val="00BF0BA1"/>
    <w:rsid w:val="00C022E2"/>
    <w:rsid w:val="00C20133"/>
    <w:rsid w:val="00C20BC6"/>
    <w:rsid w:val="00C23356"/>
    <w:rsid w:val="00C474A0"/>
    <w:rsid w:val="00C57C76"/>
    <w:rsid w:val="00C734E5"/>
    <w:rsid w:val="00C75250"/>
    <w:rsid w:val="00C77140"/>
    <w:rsid w:val="00CA2832"/>
    <w:rsid w:val="00CC6473"/>
    <w:rsid w:val="00CE206C"/>
    <w:rsid w:val="00CE54A2"/>
    <w:rsid w:val="00CF38AD"/>
    <w:rsid w:val="00CF7307"/>
    <w:rsid w:val="00D307A4"/>
    <w:rsid w:val="00D347EF"/>
    <w:rsid w:val="00D914AE"/>
    <w:rsid w:val="00D972B8"/>
    <w:rsid w:val="00DA3678"/>
    <w:rsid w:val="00DF30FB"/>
    <w:rsid w:val="00DF3A13"/>
    <w:rsid w:val="00E03B8E"/>
    <w:rsid w:val="00E41A10"/>
    <w:rsid w:val="00E767C8"/>
    <w:rsid w:val="00E907C6"/>
    <w:rsid w:val="00EA000F"/>
    <w:rsid w:val="00EE0476"/>
    <w:rsid w:val="00F130CA"/>
    <w:rsid w:val="00F21DC6"/>
    <w:rsid w:val="00F26467"/>
    <w:rsid w:val="00F30F9A"/>
    <w:rsid w:val="00F34F65"/>
    <w:rsid w:val="00F358D2"/>
    <w:rsid w:val="00F73397"/>
    <w:rsid w:val="00F80798"/>
    <w:rsid w:val="00F80D68"/>
    <w:rsid w:val="00F90DAB"/>
    <w:rsid w:val="00F9411B"/>
    <w:rsid w:val="00FB05C7"/>
    <w:rsid w:val="00FD67E8"/>
    <w:rsid w:val="00FE37E3"/>
    <w:rsid w:val="00FE5098"/>
    <w:rsid w:val="00FF62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B3A5"/>
  <w15:chartTrackingRefBased/>
  <w15:docId w15:val="{4AB0BFFB-5727-4005-81A2-91C856B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50"/>
    <w:pPr>
      <w:spacing w:line="300" w:lineRule="auto"/>
    </w:pPr>
    <w:rPr>
      <w:rFonts w:ascii="Calibri" w:eastAsia="Times New Roman" w:hAnsi="Calibri" w:cs="Times New Roman"/>
      <w:sz w:val="21"/>
      <w:szCs w:val="21"/>
    </w:rPr>
  </w:style>
  <w:style w:type="paragraph" w:styleId="Ttulo1">
    <w:name w:val="heading 1"/>
    <w:basedOn w:val="Normal"/>
    <w:next w:val="Normal"/>
    <w:link w:val="Ttulo1Char"/>
    <w:uiPriority w:val="9"/>
    <w:qFormat/>
    <w:rsid w:val="00BB4750"/>
    <w:pPr>
      <w:keepNext/>
      <w:keepLines/>
      <w:spacing w:before="320" w:after="80" w:line="240" w:lineRule="auto"/>
      <w:jc w:val="center"/>
      <w:outlineLvl w:val="0"/>
    </w:pPr>
    <w:rPr>
      <w:rFonts w:ascii="Calibri Light" w:hAnsi="Calibri Light"/>
      <w:color w:val="2F5496"/>
      <w:sz w:val="40"/>
      <w:szCs w:val="40"/>
    </w:rPr>
  </w:style>
  <w:style w:type="paragraph" w:styleId="Ttulo2">
    <w:name w:val="heading 2"/>
    <w:basedOn w:val="Normal"/>
    <w:next w:val="Normal"/>
    <w:link w:val="Ttulo2Char"/>
    <w:uiPriority w:val="9"/>
    <w:unhideWhenUsed/>
    <w:qFormat/>
    <w:rsid w:val="00BB4750"/>
    <w:pPr>
      <w:keepNext/>
      <w:keepLines/>
      <w:spacing w:before="160" w:after="40" w:line="240" w:lineRule="auto"/>
      <w:jc w:val="center"/>
      <w:outlineLvl w:val="1"/>
    </w:pPr>
    <w:rPr>
      <w:rFonts w:ascii="Calibri Light" w:hAnsi="Calibri Light"/>
      <w:sz w:val="32"/>
      <w:szCs w:val="32"/>
    </w:rPr>
  </w:style>
  <w:style w:type="paragraph" w:styleId="Ttulo3">
    <w:name w:val="heading 3"/>
    <w:basedOn w:val="Normal"/>
    <w:next w:val="Normal"/>
    <w:link w:val="Ttulo3Char"/>
    <w:uiPriority w:val="9"/>
    <w:semiHidden/>
    <w:unhideWhenUsed/>
    <w:qFormat/>
    <w:rsid w:val="00BB4750"/>
    <w:pPr>
      <w:keepNext/>
      <w:keepLines/>
      <w:spacing w:before="160" w:after="0" w:line="240" w:lineRule="auto"/>
      <w:outlineLvl w:val="2"/>
    </w:pPr>
    <w:rPr>
      <w:rFonts w:ascii="Calibri Light" w:hAnsi="Calibri Light"/>
      <w:sz w:val="32"/>
      <w:szCs w:val="32"/>
    </w:rPr>
  </w:style>
  <w:style w:type="paragraph" w:styleId="Ttulo4">
    <w:name w:val="heading 4"/>
    <w:basedOn w:val="Normal"/>
    <w:next w:val="Normal"/>
    <w:link w:val="Ttulo4Char"/>
    <w:uiPriority w:val="9"/>
    <w:semiHidden/>
    <w:unhideWhenUsed/>
    <w:qFormat/>
    <w:rsid w:val="00BB4750"/>
    <w:pPr>
      <w:keepNext/>
      <w:keepLines/>
      <w:spacing w:before="80" w:after="0"/>
      <w:outlineLvl w:val="3"/>
    </w:pPr>
    <w:rPr>
      <w:rFonts w:ascii="Calibri Light" w:hAnsi="Calibri Light"/>
      <w:i/>
      <w:iCs/>
      <w:sz w:val="30"/>
      <w:szCs w:val="30"/>
    </w:rPr>
  </w:style>
  <w:style w:type="paragraph" w:styleId="Ttulo5">
    <w:name w:val="heading 5"/>
    <w:basedOn w:val="Normal"/>
    <w:next w:val="Normal"/>
    <w:link w:val="Ttulo5Char"/>
    <w:uiPriority w:val="9"/>
    <w:semiHidden/>
    <w:unhideWhenUsed/>
    <w:qFormat/>
    <w:rsid w:val="00BB4750"/>
    <w:pPr>
      <w:keepNext/>
      <w:keepLines/>
      <w:spacing w:before="40" w:after="0"/>
      <w:outlineLvl w:val="4"/>
    </w:pPr>
    <w:rPr>
      <w:rFonts w:ascii="Calibri Light" w:hAnsi="Calibri Light"/>
      <w:sz w:val="28"/>
      <w:szCs w:val="28"/>
    </w:rPr>
  </w:style>
  <w:style w:type="paragraph" w:styleId="Ttulo6">
    <w:name w:val="heading 6"/>
    <w:basedOn w:val="Normal"/>
    <w:next w:val="Normal"/>
    <w:link w:val="Ttulo6Char"/>
    <w:uiPriority w:val="9"/>
    <w:semiHidden/>
    <w:unhideWhenUsed/>
    <w:qFormat/>
    <w:rsid w:val="00BB4750"/>
    <w:pPr>
      <w:keepNext/>
      <w:keepLines/>
      <w:spacing w:before="40" w:after="0"/>
      <w:outlineLvl w:val="5"/>
    </w:pPr>
    <w:rPr>
      <w:rFonts w:ascii="Calibri Light" w:hAnsi="Calibri Light"/>
      <w:i/>
      <w:iCs/>
      <w:sz w:val="26"/>
      <w:szCs w:val="26"/>
    </w:rPr>
  </w:style>
  <w:style w:type="paragraph" w:styleId="Ttulo7">
    <w:name w:val="heading 7"/>
    <w:basedOn w:val="Normal"/>
    <w:next w:val="Normal"/>
    <w:link w:val="Ttulo7Char"/>
    <w:uiPriority w:val="9"/>
    <w:semiHidden/>
    <w:unhideWhenUsed/>
    <w:qFormat/>
    <w:rsid w:val="00BB4750"/>
    <w:pPr>
      <w:keepNext/>
      <w:keepLines/>
      <w:spacing w:before="40" w:after="0"/>
      <w:outlineLvl w:val="6"/>
    </w:pPr>
    <w:rPr>
      <w:rFonts w:ascii="Calibri Light" w:hAnsi="Calibri Light"/>
      <w:sz w:val="24"/>
      <w:szCs w:val="24"/>
    </w:rPr>
  </w:style>
  <w:style w:type="paragraph" w:styleId="Ttulo8">
    <w:name w:val="heading 8"/>
    <w:basedOn w:val="Normal"/>
    <w:next w:val="Normal"/>
    <w:link w:val="Ttulo8Char"/>
    <w:uiPriority w:val="9"/>
    <w:semiHidden/>
    <w:unhideWhenUsed/>
    <w:qFormat/>
    <w:rsid w:val="00BB4750"/>
    <w:pPr>
      <w:keepNext/>
      <w:keepLines/>
      <w:spacing w:before="40" w:after="0"/>
      <w:outlineLvl w:val="7"/>
    </w:pPr>
    <w:rPr>
      <w:rFonts w:ascii="Calibri Light" w:hAnsi="Calibri Light"/>
      <w:i/>
      <w:iCs/>
      <w:sz w:val="22"/>
      <w:szCs w:val="22"/>
    </w:rPr>
  </w:style>
  <w:style w:type="paragraph" w:styleId="Ttulo9">
    <w:name w:val="heading 9"/>
    <w:basedOn w:val="Normal"/>
    <w:next w:val="Normal"/>
    <w:link w:val="Ttulo9Char"/>
    <w:uiPriority w:val="9"/>
    <w:semiHidden/>
    <w:unhideWhenUsed/>
    <w:qFormat/>
    <w:rsid w:val="00BB4750"/>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B4750"/>
    <w:rPr>
      <w:rFonts w:ascii="Calibri Light" w:eastAsia="Times New Roman" w:hAnsi="Calibri Light" w:cs="Times New Roman"/>
      <w:color w:val="2F5496"/>
      <w:sz w:val="40"/>
      <w:szCs w:val="40"/>
    </w:rPr>
  </w:style>
  <w:style w:type="character" w:customStyle="1" w:styleId="Ttulo2Char">
    <w:name w:val="Título 2 Char"/>
    <w:link w:val="Ttulo2"/>
    <w:uiPriority w:val="9"/>
    <w:rsid w:val="00BB4750"/>
    <w:rPr>
      <w:rFonts w:ascii="Calibri Light" w:eastAsia="Times New Roman" w:hAnsi="Calibri Light" w:cs="Times New Roman"/>
      <w:sz w:val="32"/>
      <w:szCs w:val="32"/>
    </w:rPr>
  </w:style>
  <w:style w:type="character" w:customStyle="1" w:styleId="Ttulo3Char">
    <w:name w:val="Título 3 Char"/>
    <w:link w:val="Ttulo3"/>
    <w:uiPriority w:val="9"/>
    <w:semiHidden/>
    <w:rsid w:val="00BB4750"/>
    <w:rPr>
      <w:rFonts w:ascii="Calibri Light" w:eastAsia="Times New Roman" w:hAnsi="Calibri Light" w:cs="Times New Roman"/>
      <w:sz w:val="32"/>
      <w:szCs w:val="32"/>
    </w:rPr>
  </w:style>
  <w:style w:type="character" w:customStyle="1" w:styleId="Ttulo4Char">
    <w:name w:val="Título 4 Char"/>
    <w:link w:val="Ttulo4"/>
    <w:uiPriority w:val="9"/>
    <w:semiHidden/>
    <w:rsid w:val="00BB4750"/>
    <w:rPr>
      <w:rFonts w:ascii="Calibri Light" w:eastAsia="Times New Roman" w:hAnsi="Calibri Light" w:cs="Times New Roman"/>
      <w:i/>
      <w:iCs/>
      <w:sz w:val="30"/>
      <w:szCs w:val="30"/>
    </w:rPr>
  </w:style>
  <w:style w:type="character" w:customStyle="1" w:styleId="Ttulo5Char">
    <w:name w:val="Título 5 Char"/>
    <w:link w:val="Ttulo5"/>
    <w:uiPriority w:val="9"/>
    <w:semiHidden/>
    <w:rsid w:val="00BB4750"/>
    <w:rPr>
      <w:rFonts w:ascii="Calibri Light" w:eastAsia="Times New Roman" w:hAnsi="Calibri Light" w:cs="Times New Roman"/>
      <w:sz w:val="28"/>
      <w:szCs w:val="28"/>
    </w:rPr>
  </w:style>
  <w:style w:type="character" w:customStyle="1" w:styleId="Ttulo6Char">
    <w:name w:val="Título 6 Char"/>
    <w:link w:val="Ttulo6"/>
    <w:uiPriority w:val="9"/>
    <w:semiHidden/>
    <w:rsid w:val="00BB4750"/>
    <w:rPr>
      <w:rFonts w:ascii="Calibri Light" w:eastAsia="Times New Roman" w:hAnsi="Calibri Light" w:cs="Times New Roman"/>
      <w:i/>
      <w:iCs/>
      <w:sz w:val="26"/>
      <w:szCs w:val="26"/>
    </w:rPr>
  </w:style>
  <w:style w:type="character" w:customStyle="1" w:styleId="Ttulo7Char">
    <w:name w:val="Título 7 Char"/>
    <w:link w:val="Ttulo7"/>
    <w:uiPriority w:val="9"/>
    <w:semiHidden/>
    <w:rsid w:val="00BB4750"/>
    <w:rPr>
      <w:rFonts w:ascii="Calibri Light" w:eastAsia="Times New Roman" w:hAnsi="Calibri Light" w:cs="Times New Roman"/>
      <w:sz w:val="24"/>
      <w:szCs w:val="24"/>
    </w:rPr>
  </w:style>
  <w:style w:type="character" w:customStyle="1" w:styleId="Ttulo8Char">
    <w:name w:val="Título 8 Char"/>
    <w:link w:val="Ttulo8"/>
    <w:uiPriority w:val="9"/>
    <w:semiHidden/>
    <w:rsid w:val="00BB4750"/>
    <w:rPr>
      <w:rFonts w:ascii="Calibri Light" w:eastAsia="Times New Roman" w:hAnsi="Calibri Light" w:cs="Times New Roman"/>
      <w:i/>
      <w:iCs/>
    </w:rPr>
  </w:style>
  <w:style w:type="character" w:customStyle="1" w:styleId="Ttulo9Char">
    <w:name w:val="Título 9 Char"/>
    <w:link w:val="Ttulo9"/>
    <w:uiPriority w:val="9"/>
    <w:semiHidden/>
    <w:rsid w:val="00BB4750"/>
    <w:rPr>
      <w:rFonts w:ascii="Calibri" w:eastAsia="Times New Roman" w:hAnsi="Calibri" w:cs="Times New Roman"/>
      <w:b/>
      <w:bCs/>
      <w:i/>
      <w:iCs/>
      <w:sz w:val="21"/>
      <w:szCs w:val="21"/>
    </w:rPr>
  </w:style>
  <w:style w:type="character" w:styleId="Refdenotaderodap">
    <w:name w:val="footnote reference"/>
    <w:semiHidden/>
    <w:rsid w:val="00BB4750"/>
    <w:rPr>
      <w:vertAlign w:val="superscript"/>
    </w:rPr>
  </w:style>
  <w:style w:type="paragraph" w:styleId="Textodenotaderodap">
    <w:name w:val="footnote text"/>
    <w:basedOn w:val="Normal"/>
    <w:next w:val="Normal"/>
    <w:link w:val="TextodenotaderodapChar"/>
    <w:semiHidden/>
    <w:rsid w:val="00BB4750"/>
    <w:pPr>
      <w:spacing w:after="0" w:line="170" w:lineRule="exact"/>
      <w:ind w:firstLine="187"/>
      <w:jc w:val="both"/>
    </w:pPr>
    <w:rPr>
      <w:rFonts w:ascii="Times" w:hAnsi="Times"/>
      <w:sz w:val="16"/>
      <w:szCs w:val="20"/>
      <w:lang w:val="en-US" w:eastAsia="pt-BR"/>
    </w:rPr>
  </w:style>
  <w:style w:type="character" w:customStyle="1" w:styleId="TextodenotaderodapChar">
    <w:name w:val="Texto de nota de rodapé Char"/>
    <w:link w:val="Textodenotaderodap"/>
    <w:semiHidden/>
    <w:rsid w:val="00BB4750"/>
    <w:rPr>
      <w:rFonts w:ascii="Times" w:eastAsia="Times New Roman" w:hAnsi="Times" w:cs="Times New Roman"/>
      <w:sz w:val="16"/>
      <w:szCs w:val="20"/>
      <w:lang w:val="en-US" w:eastAsia="pt-BR"/>
    </w:rPr>
  </w:style>
  <w:style w:type="paragraph" w:customStyle="1" w:styleId="BATitle">
    <w:name w:val="BA_Title"/>
    <w:basedOn w:val="Normal"/>
    <w:next w:val="BBAuthorName"/>
    <w:rsid w:val="00BB4750"/>
    <w:pPr>
      <w:spacing w:before="720" w:after="240" w:line="480" w:lineRule="exact"/>
      <w:ind w:right="3024"/>
    </w:pPr>
    <w:rPr>
      <w:rFonts w:ascii="Helvetica" w:hAnsi="Helvetica"/>
      <w:b/>
      <w:sz w:val="44"/>
      <w:szCs w:val="20"/>
      <w:lang w:val="en-US" w:eastAsia="pt-BR"/>
    </w:rPr>
  </w:style>
  <w:style w:type="paragraph" w:customStyle="1" w:styleId="BBAuthorName">
    <w:name w:val="BB_Author_Name"/>
    <w:basedOn w:val="Normal"/>
    <w:next w:val="BCAuthorAddress"/>
    <w:rsid w:val="00BB4750"/>
    <w:pPr>
      <w:spacing w:after="240" w:line="240" w:lineRule="exact"/>
      <w:ind w:right="3024"/>
    </w:pPr>
    <w:rPr>
      <w:rFonts w:ascii="Helvetica" w:hAnsi="Helvetica"/>
      <w:b/>
      <w:szCs w:val="20"/>
      <w:lang w:val="en-US" w:eastAsia="pt-BR"/>
    </w:rPr>
  </w:style>
  <w:style w:type="paragraph" w:customStyle="1" w:styleId="BCAuthorAddress">
    <w:name w:val="BC_Author_Address"/>
    <w:basedOn w:val="Normal"/>
    <w:next w:val="Normal"/>
    <w:rsid w:val="00BB4750"/>
    <w:pPr>
      <w:spacing w:after="120" w:line="240" w:lineRule="exact"/>
      <w:ind w:right="3024"/>
    </w:pPr>
    <w:rPr>
      <w:rFonts w:ascii="Times" w:hAnsi="Times"/>
      <w:i/>
      <w:sz w:val="20"/>
      <w:szCs w:val="20"/>
      <w:lang w:val="en-US" w:eastAsia="pt-BR"/>
    </w:rPr>
  </w:style>
  <w:style w:type="paragraph" w:customStyle="1" w:styleId="Absbox">
    <w:name w:val="Absbox"/>
    <w:basedOn w:val="BDAbstract"/>
    <w:rsid w:val="00BB4750"/>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BB4750"/>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paragraph" w:customStyle="1" w:styleId="TFReferencesSection">
    <w:name w:val="TF_References_Section"/>
    <w:basedOn w:val="Normal"/>
    <w:rsid w:val="00BB4750"/>
    <w:pPr>
      <w:spacing w:after="0" w:line="170" w:lineRule="exact"/>
      <w:ind w:firstLine="187"/>
      <w:jc w:val="both"/>
    </w:pPr>
    <w:rPr>
      <w:rFonts w:ascii="Times" w:hAnsi="Times"/>
      <w:sz w:val="16"/>
      <w:szCs w:val="20"/>
      <w:lang w:val="en-US" w:eastAsia="pt-BR"/>
    </w:rPr>
  </w:style>
  <w:style w:type="paragraph" w:customStyle="1" w:styleId="TAMainText">
    <w:name w:val="TA_Main_Text"/>
    <w:basedOn w:val="Normal"/>
    <w:link w:val="TAMainTextChar"/>
    <w:rsid w:val="00BB4750"/>
    <w:pPr>
      <w:spacing w:after="0" w:line="240" w:lineRule="exact"/>
      <w:ind w:firstLine="202"/>
      <w:jc w:val="both"/>
    </w:pPr>
    <w:rPr>
      <w:rFonts w:ascii="Times" w:hAnsi="Times"/>
      <w:sz w:val="20"/>
      <w:szCs w:val="20"/>
      <w:lang w:val="en-US" w:eastAsia="pt-BR"/>
    </w:rPr>
  </w:style>
  <w:style w:type="paragraph" w:customStyle="1" w:styleId="VDTableTitle">
    <w:name w:val="VD_Table_Title"/>
    <w:basedOn w:val="Normal"/>
    <w:next w:val="Normal"/>
    <w:rsid w:val="00BB4750"/>
    <w:pPr>
      <w:spacing w:after="240" w:line="200" w:lineRule="exact"/>
    </w:pPr>
    <w:rPr>
      <w:rFonts w:ascii="Times" w:hAnsi="Times"/>
      <w:sz w:val="18"/>
      <w:szCs w:val="20"/>
      <w:lang w:val="en-US" w:eastAsia="pt-BR"/>
    </w:rPr>
  </w:style>
  <w:style w:type="paragraph" w:customStyle="1" w:styleId="VAFigureCaption">
    <w:name w:val="VA_Figure_Caption"/>
    <w:basedOn w:val="Normal"/>
    <w:next w:val="Normal"/>
    <w:rsid w:val="00BB4750"/>
    <w:pPr>
      <w:spacing w:before="240" w:after="0" w:line="200" w:lineRule="exact"/>
      <w:jc w:val="both"/>
    </w:pPr>
    <w:rPr>
      <w:rFonts w:ascii="Times" w:hAnsi="Times"/>
      <w:sz w:val="18"/>
      <w:szCs w:val="20"/>
      <w:lang w:val="en-US" w:eastAsia="pt-BR"/>
    </w:rPr>
  </w:style>
  <w:style w:type="paragraph" w:customStyle="1" w:styleId="TCTableBody">
    <w:name w:val="TC_Table_Body"/>
    <w:basedOn w:val="VDTableTitle"/>
    <w:rsid w:val="00BB4750"/>
    <w:pPr>
      <w:jc w:val="both"/>
    </w:pPr>
  </w:style>
  <w:style w:type="paragraph" w:styleId="Cabealho">
    <w:name w:val="header"/>
    <w:basedOn w:val="Normal"/>
    <w:link w:val="CabealhoChar"/>
    <w:unhideWhenUsed/>
    <w:rsid w:val="00BB47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4750"/>
    <w:rPr>
      <w:rFonts w:ascii="Calibri" w:eastAsia="Times New Roman" w:hAnsi="Calibri" w:cs="Times New Roman"/>
      <w:sz w:val="21"/>
      <w:szCs w:val="21"/>
    </w:rPr>
  </w:style>
  <w:style w:type="paragraph" w:styleId="Rodap">
    <w:name w:val="footer"/>
    <w:basedOn w:val="Normal"/>
    <w:link w:val="RodapChar"/>
    <w:uiPriority w:val="99"/>
    <w:unhideWhenUsed/>
    <w:rsid w:val="00BB4750"/>
    <w:pPr>
      <w:tabs>
        <w:tab w:val="center" w:pos="4252"/>
        <w:tab w:val="right" w:pos="8504"/>
      </w:tabs>
      <w:spacing w:after="0" w:line="240" w:lineRule="auto"/>
    </w:pPr>
  </w:style>
  <w:style w:type="character" w:customStyle="1" w:styleId="RodapChar">
    <w:name w:val="Rodapé Char"/>
    <w:basedOn w:val="Fontepargpadro"/>
    <w:link w:val="Rodap"/>
    <w:uiPriority w:val="99"/>
    <w:rsid w:val="00BB4750"/>
    <w:rPr>
      <w:rFonts w:ascii="Calibri" w:eastAsia="Times New Roman" w:hAnsi="Calibri" w:cs="Times New Roman"/>
      <w:sz w:val="21"/>
      <w:szCs w:val="21"/>
    </w:rPr>
  </w:style>
  <w:style w:type="paragraph" w:styleId="Textodebalo">
    <w:name w:val="Balloon Text"/>
    <w:basedOn w:val="Normal"/>
    <w:link w:val="TextodebaloChar"/>
    <w:uiPriority w:val="99"/>
    <w:semiHidden/>
    <w:unhideWhenUsed/>
    <w:rsid w:val="00BB475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B4750"/>
    <w:rPr>
      <w:rFonts w:ascii="Tahoma" w:eastAsia="Times New Roman" w:hAnsi="Tahoma" w:cs="Tahoma"/>
      <w:sz w:val="16"/>
      <w:szCs w:val="16"/>
    </w:rPr>
  </w:style>
  <w:style w:type="paragraph" w:styleId="Textodenotadefim">
    <w:name w:val="endnote text"/>
    <w:basedOn w:val="Normal"/>
    <w:link w:val="TextodenotadefimChar"/>
    <w:uiPriority w:val="99"/>
    <w:semiHidden/>
    <w:unhideWhenUsed/>
    <w:rsid w:val="00BB4750"/>
    <w:pPr>
      <w:spacing w:after="0" w:line="240" w:lineRule="auto"/>
    </w:pPr>
    <w:rPr>
      <w:sz w:val="20"/>
      <w:szCs w:val="20"/>
    </w:rPr>
  </w:style>
  <w:style w:type="character" w:customStyle="1" w:styleId="TextodenotadefimChar">
    <w:name w:val="Texto de nota de fim Char"/>
    <w:link w:val="Textodenotadefim"/>
    <w:uiPriority w:val="99"/>
    <w:semiHidden/>
    <w:rsid w:val="00BB4750"/>
    <w:rPr>
      <w:rFonts w:ascii="Calibri" w:eastAsia="Times New Roman" w:hAnsi="Calibri" w:cs="Times New Roman"/>
      <w:sz w:val="20"/>
      <w:szCs w:val="20"/>
    </w:rPr>
  </w:style>
  <w:style w:type="character" w:styleId="Refdenotadefim">
    <w:name w:val="endnote reference"/>
    <w:uiPriority w:val="99"/>
    <w:semiHidden/>
    <w:unhideWhenUsed/>
    <w:rsid w:val="00BB4750"/>
    <w:rPr>
      <w:vertAlign w:val="superscript"/>
    </w:rPr>
  </w:style>
  <w:style w:type="paragraph" w:styleId="Legenda">
    <w:name w:val="caption"/>
    <w:basedOn w:val="Normal"/>
    <w:next w:val="Normal"/>
    <w:uiPriority w:val="35"/>
    <w:semiHidden/>
    <w:unhideWhenUsed/>
    <w:qFormat/>
    <w:rsid w:val="00BB4750"/>
    <w:pPr>
      <w:spacing w:line="240" w:lineRule="auto"/>
    </w:pPr>
    <w:rPr>
      <w:b/>
      <w:bCs/>
      <w:color w:val="404040"/>
      <w:sz w:val="16"/>
      <w:szCs w:val="16"/>
    </w:rPr>
  </w:style>
  <w:style w:type="paragraph" w:styleId="Ttulo">
    <w:name w:val="Title"/>
    <w:basedOn w:val="Normal"/>
    <w:next w:val="Normal"/>
    <w:link w:val="TtuloChar"/>
    <w:uiPriority w:val="10"/>
    <w:qFormat/>
    <w:rsid w:val="00BB4750"/>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tuloChar">
    <w:name w:val="Título Char"/>
    <w:link w:val="Ttulo"/>
    <w:uiPriority w:val="10"/>
    <w:rsid w:val="00BB4750"/>
    <w:rPr>
      <w:rFonts w:ascii="Calibri Light" w:eastAsia="Times New Roman" w:hAnsi="Calibri Light" w:cs="Times New Roman"/>
      <w:caps/>
      <w:color w:val="44546A"/>
      <w:spacing w:val="30"/>
      <w:sz w:val="72"/>
      <w:szCs w:val="72"/>
    </w:rPr>
  </w:style>
  <w:style w:type="paragraph" w:styleId="Subttulo">
    <w:name w:val="Subtitle"/>
    <w:basedOn w:val="Normal"/>
    <w:next w:val="Normal"/>
    <w:link w:val="SubttuloChar"/>
    <w:uiPriority w:val="11"/>
    <w:qFormat/>
    <w:rsid w:val="00BB4750"/>
    <w:pPr>
      <w:numPr>
        <w:ilvl w:val="1"/>
      </w:numPr>
      <w:jc w:val="center"/>
    </w:pPr>
    <w:rPr>
      <w:color w:val="44546A"/>
      <w:sz w:val="28"/>
      <w:szCs w:val="28"/>
    </w:rPr>
  </w:style>
  <w:style w:type="character" w:customStyle="1" w:styleId="SubttuloChar">
    <w:name w:val="Subtítulo Char"/>
    <w:link w:val="Subttulo"/>
    <w:uiPriority w:val="11"/>
    <w:rsid w:val="00BB4750"/>
    <w:rPr>
      <w:rFonts w:ascii="Calibri" w:eastAsia="Times New Roman" w:hAnsi="Calibri" w:cs="Times New Roman"/>
      <w:color w:val="44546A"/>
      <w:sz w:val="28"/>
      <w:szCs w:val="28"/>
    </w:rPr>
  </w:style>
  <w:style w:type="character" w:styleId="Forte">
    <w:name w:val="Strong"/>
    <w:uiPriority w:val="22"/>
    <w:qFormat/>
    <w:rsid w:val="00BB4750"/>
    <w:rPr>
      <w:b/>
      <w:bCs/>
    </w:rPr>
  </w:style>
  <w:style w:type="character" w:styleId="nfase">
    <w:name w:val="Emphasis"/>
    <w:uiPriority w:val="20"/>
    <w:qFormat/>
    <w:rsid w:val="00BB4750"/>
    <w:rPr>
      <w:i/>
      <w:iCs/>
      <w:color w:val="000000"/>
    </w:rPr>
  </w:style>
  <w:style w:type="paragraph" w:styleId="SemEspaamento">
    <w:name w:val="No Spacing"/>
    <w:uiPriority w:val="1"/>
    <w:qFormat/>
    <w:rsid w:val="00BB4750"/>
    <w:pPr>
      <w:spacing w:after="0" w:line="240" w:lineRule="auto"/>
    </w:pPr>
    <w:rPr>
      <w:rFonts w:ascii="Calibri" w:eastAsia="Times New Roman" w:hAnsi="Calibri" w:cs="Times New Roman"/>
      <w:sz w:val="21"/>
      <w:szCs w:val="21"/>
    </w:rPr>
  </w:style>
  <w:style w:type="paragraph" w:styleId="Citao">
    <w:name w:val="Quote"/>
    <w:basedOn w:val="Normal"/>
    <w:next w:val="Normal"/>
    <w:link w:val="CitaoChar"/>
    <w:uiPriority w:val="29"/>
    <w:qFormat/>
    <w:rsid w:val="00BB4750"/>
    <w:pPr>
      <w:spacing w:before="160"/>
      <w:ind w:left="720" w:right="720"/>
      <w:jc w:val="center"/>
    </w:pPr>
    <w:rPr>
      <w:i/>
      <w:iCs/>
      <w:color w:val="7B7B7B"/>
      <w:sz w:val="24"/>
      <w:szCs w:val="24"/>
    </w:rPr>
  </w:style>
  <w:style w:type="character" w:customStyle="1" w:styleId="CitaoChar">
    <w:name w:val="Citação Char"/>
    <w:link w:val="Citao"/>
    <w:uiPriority w:val="29"/>
    <w:rsid w:val="00BB4750"/>
    <w:rPr>
      <w:rFonts w:ascii="Calibri" w:eastAsia="Times New Roman" w:hAnsi="Calibri" w:cs="Times New Roman"/>
      <w:i/>
      <w:iCs/>
      <w:color w:val="7B7B7B"/>
      <w:sz w:val="24"/>
      <w:szCs w:val="24"/>
    </w:rPr>
  </w:style>
  <w:style w:type="paragraph" w:styleId="CitaoIntensa">
    <w:name w:val="Intense Quote"/>
    <w:basedOn w:val="Normal"/>
    <w:next w:val="Normal"/>
    <w:link w:val="CitaoIntensaChar"/>
    <w:uiPriority w:val="30"/>
    <w:qFormat/>
    <w:rsid w:val="00BB4750"/>
    <w:pPr>
      <w:spacing w:before="160" w:line="276" w:lineRule="auto"/>
      <w:ind w:left="936" w:right="936"/>
      <w:jc w:val="center"/>
    </w:pPr>
    <w:rPr>
      <w:rFonts w:ascii="Calibri Light" w:hAnsi="Calibri Light"/>
      <w:caps/>
      <w:color w:val="2F5496"/>
      <w:sz w:val="28"/>
      <w:szCs w:val="28"/>
    </w:rPr>
  </w:style>
  <w:style w:type="character" w:customStyle="1" w:styleId="CitaoIntensaChar">
    <w:name w:val="Citação Intensa Char"/>
    <w:link w:val="CitaoIntensa"/>
    <w:uiPriority w:val="30"/>
    <w:rsid w:val="00BB4750"/>
    <w:rPr>
      <w:rFonts w:ascii="Calibri Light" w:eastAsia="Times New Roman" w:hAnsi="Calibri Light" w:cs="Times New Roman"/>
      <w:caps/>
      <w:color w:val="2F5496"/>
      <w:sz w:val="28"/>
      <w:szCs w:val="28"/>
    </w:rPr>
  </w:style>
  <w:style w:type="character" w:styleId="nfaseSutil">
    <w:name w:val="Subtle Emphasis"/>
    <w:uiPriority w:val="19"/>
    <w:qFormat/>
    <w:rsid w:val="00BB4750"/>
    <w:rPr>
      <w:i/>
      <w:iCs/>
      <w:color w:val="595959"/>
    </w:rPr>
  </w:style>
  <w:style w:type="character" w:styleId="nfaseIntensa">
    <w:name w:val="Intense Emphasis"/>
    <w:uiPriority w:val="21"/>
    <w:qFormat/>
    <w:rsid w:val="00BB4750"/>
    <w:rPr>
      <w:b/>
      <w:bCs/>
      <w:i/>
      <w:iCs/>
      <w:color w:val="auto"/>
    </w:rPr>
  </w:style>
  <w:style w:type="character" w:styleId="RefernciaSutil">
    <w:name w:val="Subtle Reference"/>
    <w:uiPriority w:val="31"/>
    <w:qFormat/>
    <w:rsid w:val="00BB4750"/>
    <w:rPr>
      <w:caps w:val="0"/>
      <w:smallCaps/>
      <w:color w:val="404040"/>
      <w:spacing w:val="0"/>
      <w:u w:val="single" w:color="7F7F7F"/>
    </w:rPr>
  </w:style>
  <w:style w:type="character" w:styleId="RefernciaIntensa">
    <w:name w:val="Intense Reference"/>
    <w:uiPriority w:val="32"/>
    <w:qFormat/>
    <w:rsid w:val="00BB4750"/>
    <w:rPr>
      <w:b/>
      <w:bCs/>
      <w:caps w:val="0"/>
      <w:smallCaps/>
      <w:color w:val="auto"/>
      <w:spacing w:val="0"/>
      <w:u w:val="single"/>
    </w:rPr>
  </w:style>
  <w:style w:type="character" w:styleId="TtulodoLivro">
    <w:name w:val="Book Title"/>
    <w:uiPriority w:val="33"/>
    <w:qFormat/>
    <w:rsid w:val="00BB4750"/>
    <w:rPr>
      <w:b/>
      <w:bCs/>
      <w:caps w:val="0"/>
      <w:smallCaps/>
      <w:spacing w:val="0"/>
    </w:rPr>
  </w:style>
  <w:style w:type="paragraph" w:styleId="CabealhodoSumrio">
    <w:name w:val="TOC Heading"/>
    <w:basedOn w:val="Ttulo1"/>
    <w:next w:val="Normal"/>
    <w:uiPriority w:val="39"/>
    <w:semiHidden/>
    <w:unhideWhenUsed/>
    <w:qFormat/>
    <w:rsid w:val="00BB4750"/>
    <w:pPr>
      <w:outlineLvl w:val="9"/>
    </w:pPr>
  </w:style>
  <w:style w:type="paragraph" w:styleId="NormalWeb">
    <w:name w:val="Normal (Web)"/>
    <w:basedOn w:val="Normal"/>
    <w:uiPriority w:val="99"/>
    <w:semiHidden/>
    <w:unhideWhenUsed/>
    <w:rsid w:val="00BB4750"/>
    <w:pPr>
      <w:spacing w:before="100" w:beforeAutospacing="1" w:after="100" w:afterAutospacing="1" w:line="240" w:lineRule="auto"/>
    </w:pPr>
    <w:rPr>
      <w:rFonts w:ascii="Times New Roman" w:hAnsi="Times New Roman"/>
      <w:sz w:val="24"/>
      <w:szCs w:val="24"/>
      <w:lang w:eastAsia="pt-BR"/>
    </w:rPr>
  </w:style>
  <w:style w:type="character" w:styleId="Hyperlink">
    <w:name w:val="Hyperlink"/>
    <w:uiPriority w:val="99"/>
    <w:unhideWhenUsed/>
    <w:rsid w:val="00BB4750"/>
    <w:rPr>
      <w:color w:val="0563C1"/>
      <w:u w:val="single"/>
    </w:rPr>
  </w:style>
  <w:style w:type="character" w:customStyle="1" w:styleId="MenoPendente1">
    <w:name w:val="Menção Pendente1"/>
    <w:uiPriority w:val="99"/>
    <w:semiHidden/>
    <w:unhideWhenUsed/>
    <w:rsid w:val="00BB4750"/>
    <w:rPr>
      <w:color w:val="605E5C"/>
      <w:shd w:val="clear" w:color="auto" w:fill="E1DFDD"/>
    </w:rPr>
  </w:style>
  <w:style w:type="table" w:styleId="Tabelacomgrade">
    <w:name w:val="Table Grid"/>
    <w:basedOn w:val="Tabelanormal"/>
    <w:uiPriority w:val="39"/>
    <w:rsid w:val="00BB4750"/>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BB4750"/>
    <w:pPr>
      <w:spacing w:after="200" w:line="276" w:lineRule="auto"/>
      <w:ind w:left="720"/>
      <w:contextualSpacing/>
    </w:pPr>
    <w:rPr>
      <w:rFonts w:eastAsia="Calibri"/>
      <w:sz w:val="22"/>
      <w:szCs w:val="22"/>
    </w:rPr>
  </w:style>
  <w:style w:type="character" w:customStyle="1" w:styleId="PargrafodaListaChar">
    <w:name w:val="Parágrafo da Lista Char"/>
    <w:link w:val="PargrafodaLista"/>
    <w:uiPriority w:val="34"/>
    <w:rsid w:val="00BB4750"/>
    <w:rPr>
      <w:rFonts w:ascii="Calibri" w:eastAsia="Calibri" w:hAnsi="Calibri" w:cs="Times New Roman"/>
    </w:rPr>
  </w:style>
  <w:style w:type="paragraph" w:customStyle="1" w:styleId="EndNoteBibliographyTitle">
    <w:name w:val="EndNote Bibliography Title"/>
    <w:basedOn w:val="Normal"/>
    <w:link w:val="EndNoteBibliographyTitleChar"/>
    <w:rsid w:val="00BB4750"/>
    <w:pPr>
      <w:spacing w:after="0"/>
      <w:jc w:val="center"/>
    </w:pPr>
    <w:rPr>
      <w:noProof/>
      <w:sz w:val="20"/>
      <w:lang w:val="en-US" w:eastAsia="pt-BR"/>
    </w:rPr>
  </w:style>
  <w:style w:type="character" w:customStyle="1" w:styleId="TAMainTextChar">
    <w:name w:val="TA_Main_Text Char"/>
    <w:basedOn w:val="Fontepargpadro"/>
    <w:link w:val="TAMainText"/>
    <w:rsid w:val="00BB4750"/>
    <w:rPr>
      <w:rFonts w:ascii="Times" w:eastAsia="Times New Roman" w:hAnsi="Times" w:cs="Times New Roman"/>
      <w:sz w:val="20"/>
      <w:szCs w:val="20"/>
      <w:lang w:val="en-US" w:eastAsia="pt-BR"/>
    </w:rPr>
  </w:style>
  <w:style w:type="character" w:customStyle="1" w:styleId="EndNoteBibliographyTitleChar">
    <w:name w:val="EndNote Bibliography Title Char"/>
    <w:basedOn w:val="TAMainTextChar"/>
    <w:link w:val="EndNoteBibliographyTitle"/>
    <w:rsid w:val="00BB4750"/>
    <w:rPr>
      <w:rFonts w:ascii="Calibri" w:eastAsia="Times New Roman" w:hAnsi="Calibri" w:cs="Times New Roman"/>
      <w:noProof/>
      <w:sz w:val="20"/>
      <w:szCs w:val="21"/>
      <w:lang w:val="en-US" w:eastAsia="pt-BR"/>
    </w:rPr>
  </w:style>
  <w:style w:type="paragraph" w:customStyle="1" w:styleId="EndNoteBibliography">
    <w:name w:val="EndNote Bibliography"/>
    <w:basedOn w:val="Normal"/>
    <w:link w:val="EndNoteBibliographyChar"/>
    <w:rsid w:val="00BB4750"/>
    <w:pPr>
      <w:spacing w:line="240" w:lineRule="auto"/>
    </w:pPr>
    <w:rPr>
      <w:noProof/>
      <w:sz w:val="20"/>
      <w:lang w:val="en-US" w:eastAsia="pt-BR"/>
    </w:rPr>
  </w:style>
  <w:style w:type="character" w:customStyle="1" w:styleId="EndNoteBibliographyChar">
    <w:name w:val="EndNote Bibliography Char"/>
    <w:basedOn w:val="TAMainTextChar"/>
    <w:link w:val="EndNoteBibliography"/>
    <w:rsid w:val="00BB4750"/>
    <w:rPr>
      <w:rFonts w:ascii="Calibri" w:eastAsia="Times New Roman" w:hAnsi="Calibri" w:cs="Times New Roman"/>
      <w:noProof/>
      <w:sz w:val="20"/>
      <w:szCs w:val="21"/>
      <w:lang w:val="en-US" w:eastAsia="pt-BR"/>
    </w:rPr>
  </w:style>
  <w:style w:type="character" w:styleId="Refdecomentrio">
    <w:name w:val="annotation reference"/>
    <w:basedOn w:val="Fontepargpadro"/>
    <w:uiPriority w:val="99"/>
    <w:semiHidden/>
    <w:unhideWhenUsed/>
    <w:rsid w:val="00925693"/>
    <w:rPr>
      <w:sz w:val="16"/>
      <w:szCs w:val="16"/>
    </w:rPr>
  </w:style>
  <w:style w:type="paragraph" w:styleId="Textodecomentrio">
    <w:name w:val="annotation text"/>
    <w:basedOn w:val="Normal"/>
    <w:link w:val="TextodecomentrioChar"/>
    <w:uiPriority w:val="99"/>
    <w:unhideWhenUsed/>
    <w:rsid w:val="00925693"/>
    <w:pPr>
      <w:spacing w:line="240" w:lineRule="auto"/>
    </w:pPr>
    <w:rPr>
      <w:sz w:val="20"/>
      <w:szCs w:val="20"/>
    </w:rPr>
  </w:style>
  <w:style w:type="character" w:customStyle="1" w:styleId="TextodecomentrioChar">
    <w:name w:val="Texto de comentário Char"/>
    <w:basedOn w:val="Fontepargpadro"/>
    <w:link w:val="Textodecomentrio"/>
    <w:uiPriority w:val="99"/>
    <w:rsid w:val="00925693"/>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5693"/>
    <w:rPr>
      <w:b/>
      <w:bCs/>
    </w:rPr>
  </w:style>
  <w:style w:type="character" w:customStyle="1" w:styleId="AssuntodocomentrioChar">
    <w:name w:val="Assunto do comentário Char"/>
    <w:basedOn w:val="TextodecomentrioChar"/>
    <w:link w:val="Assuntodocomentrio"/>
    <w:uiPriority w:val="99"/>
    <w:semiHidden/>
    <w:rsid w:val="00925693"/>
    <w:rPr>
      <w:rFonts w:ascii="Calibri" w:eastAsia="Times New Roman" w:hAnsi="Calibri" w:cs="Times New Roman"/>
      <w:b/>
      <w:bCs/>
      <w:sz w:val="20"/>
      <w:szCs w:val="20"/>
    </w:rPr>
  </w:style>
  <w:style w:type="paragraph" w:styleId="Reviso">
    <w:name w:val="Revision"/>
    <w:hidden/>
    <w:uiPriority w:val="99"/>
    <w:semiHidden/>
    <w:rsid w:val="00925693"/>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3C52-8215-4571-A3A1-6EE1A398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3765</Words>
  <Characters>20334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LabCat</dc:creator>
  <cp:keywords/>
  <dc:description/>
  <cp:lastModifiedBy>LabCat</cp:lastModifiedBy>
  <cp:revision>4</cp:revision>
  <dcterms:created xsi:type="dcterms:W3CDTF">2023-06-19T22:25:00Z</dcterms:created>
  <dcterms:modified xsi:type="dcterms:W3CDTF">2023-06-20T18:30:00Z</dcterms:modified>
</cp:coreProperties>
</file>