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60B2" w14:textId="77777777" w:rsidR="00ED1A15" w:rsidRPr="00ED1A15" w:rsidRDefault="00847250" w:rsidP="00ED1A15">
      <w:pPr>
        <w:pStyle w:val="BATitle"/>
        <w:spacing w:before="0" w:after="0" w:line="240" w:lineRule="auto"/>
        <w:ind w:right="0"/>
        <w:jc w:val="both"/>
        <w:rPr>
          <w:sz w:val="32"/>
          <w:lang w:val="pt-BR"/>
        </w:rPr>
      </w:pPr>
      <w:bookmarkStart w:id="0" w:name="_Hlk1324517"/>
      <w:bookmarkStart w:id="1" w:name="_Hlk1324670"/>
      <w:r>
        <w:rPr>
          <w:noProof/>
          <w:sz w:val="32"/>
          <w:lang w:val="pt-BR"/>
        </w:rPr>
      </w:r>
      <w:r w:rsidR="00847250">
        <w:rPr>
          <w:noProof/>
          <w:sz w:val="32"/>
          <w:lang w:val="pt-BR"/>
        </w:rPr>
        <w:pict w14:anchorId="3F715FAB">
          <v:rect id="Rectangle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" fillcolor="#9a0000" stroked="f" strokeweight="1pt">
            <o:lock v:ext="edit" aspectratio="t" verticies="t" text="t" shapetype="t"/>
            <v:textbox inset=",0,,0">
              <w:txbxContent>
                <w:p w14:paraId="75A78147" w14:textId="77777777" w:rsidR="00866822" w:rsidRPr="008C1B30" w:rsidRDefault="00866822" w:rsidP="00866822">
                  <w:pPr>
                    <w:pStyle w:val="BDAbstract"/>
                    <w:spacing w:before="0" w:after="0" w:line="240" w:lineRule="auto"/>
                    <w:rPr>
                      <w:rFonts w:cs="Helvetica"/>
                      <w:bCs/>
                      <w:sz w:val="20"/>
                      <w:lang w:val="pt-BR"/>
                    </w:rPr>
                  </w:pPr>
                </w:p>
                <w:p w14:paraId="36176F63" w14:textId="77777777" w:rsidR="00866822" w:rsidRPr="008C1B30" w:rsidRDefault="00866822" w:rsidP="00866822">
                  <w:pPr>
                    <w:pStyle w:val="SemEspaamento"/>
                  </w:pPr>
                </w:p>
              </w:txbxContent>
            </v:textbox>
            <w10:wrap anchorx="margin"/>
          </v:rect>
        </w:pict>
      </w:r>
    </w:p>
    <w:p w14:paraId="6EFD6EE4" w14:textId="77777777" w:rsidR="00EA4E1B" w:rsidRDefault="001546A8" w:rsidP="00ED1A15">
      <w:pPr>
        <w:pStyle w:val="BATitle"/>
        <w:spacing w:before="0" w:after="0" w:line="240" w:lineRule="auto"/>
        <w:ind w:right="0"/>
        <w:jc w:val="both"/>
        <w:rPr>
          <w:sz w:val="32"/>
          <w:lang w:val="pt-BR"/>
        </w:rPr>
      </w:pPr>
      <w:r w:rsidRPr="001546A8">
        <w:rPr>
          <w:sz w:val="32"/>
          <w:lang w:val="pt-BR"/>
        </w:rPr>
        <w:t xml:space="preserve">Síntese de </w:t>
      </w:r>
      <w:proofErr w:type="spellStart"/>
      <w:r w:rsidRPr="001546A8">
        <w:rPr>
          <w:sz w:val="32"/>
          <w:lang w:val="pt-BR"/>
        </w:rPr>
        <w:t>biocarvão</w:t>
      </w:r>
      <w:proofErr w:type="spellEnd"/>
      <w:r w:rsidRPr="001546A8">
        <w:rPr>
          <w:sz w:val="32"/>
          <w:lang w:val="pt-BR"/>
        </w:rPr>
        <w:t xml:space="preserve"> modificado com ácido 12-tungstofosfórico para reação de oxidação do </w:t>
      </w:r>
      <w:proofErr w:type="spellStart"/>
      <w:r w:rsidRPr="001546A8">
        <w:rPr>
          <w:sz w:val="32"/>
          <w:lang w:val="pt-BR"/>
        </w:rPr>
        <w:t>isoeugenol</w:t>
      </w:r>
      <w:proofErr w:type="spellEnd"/>
      <w:r w:rsidRPr="001546A8">
        <w:rPr>
          <w:sz w:val="32"/>
          <w:lang w:val="pt-BR"/>
        </w:rPr>
        <w:t xml:space="preserve"> em vanilina</w:t>
      </w:r>
    </w:p>
    <w:p w14:paraId="0B94260E" w14:textId="77777777" w:rsidR="001546A8" w:rsidRDefault="001546A8" w:rsidP="00ED1A15">
      <w:pPr>
        <w:pStyle w:val="BBAuthorName"/>
        <w:spacing w:after="120"/>
        <w:ind w:right="0"/>
        <w:jc w:val="both"/>
        <w:rPr>
          <w:rFonts w:ascii="Times New Roman" w:hAnsi="Times New Roman"/>
          <w:sz w:val="20"/>
          <w:lang w:val="pt-BR"/>
        </w:rPr>
      </w:pPr>
    </w:p>
    <w:p w14:paraId="4D849910" w14:textId="41036A07" w:rsidR="00EA4E1B" w:rsidRPr="001F25B2" w:rsidRDefault="00ED1A15" w:rsidP="00ED1A15">
      <w:pPr>
        <w:pStyle w:val="BBAuthorName"/>
        <w:spacing w:after="120"/>
        <w:ind w:right="0"/>
        <w:jc w:val="both"/>
        <w:rPr>
          <w:rFonts w:ascii="Times New Roman" w:hAnsi="Times New Roman"/>
          <w:sz w:val="20"/>
          <w:lang w:val="pt-BR"/>
        </w:rPr>
      </w:pPr>
      <w:r>
        <w:rPr>
          <w:rFonts w:ascii="Times New Roman" w:hAnsi="Times New Roman"/>
          <w:sz w:val="20"/>
          <w:lang w:val="pt-BR"/>
        </w:rPr>
        <w:t>Ana Alice Farias da Costa</w:t>
      </w:r>
      <w:r w:rsidR="005C3409">
        <w:rPr>
          <w:rFonts w:ascii="Times New Roman" w:hAnsi="Times New Roman"/>
          <w:sz w:val="20"/>
          <w:lang w:val="pt-BR"/>
        </w:rPr>
        <w:t>*</w:t>
      </w:r>
      <w:r w:rsidRPr="00ED1A15">
        <w:rPr>
          <w:rFonts w:ascii="Times New Roman" w:hAnsi="Times New Roman"/>
          <w:sz w:val="20"/>
          <w:lang w:val="pt-BR"/>
        </w:rPr>
        <w:t xml:space="preserve">, </w:t>
      </w:r>
      <w:r>
        <w:rPr>
          <w:rFonts w:ascii="Times New Roman" w:hAnsi="Times New Roman"/>
          <w:sz w:val="20"/>
          <w:lang w:val="pt-BR"/>
        </w:rPr>
        <w:t xml:space="preserve">Alex de Oliveira de Nazaré, </w:t>
      </w:r>
      <w:proofErr w:type="spellStart"/>
      <w:r w:rsidR="00572DD2">
        <w:rPr>
          <w:rFonts w:ascii="Times New Roman" w:hAnsi="Times New Roman"/>
          <w:sz w:val="20"/>
          <w:lang w:val="pt-BR"/>
        </w:rPr>
        <w:t>Rutiléia</w:t>
      </w:r>
      <w:proofErr w:type="spellEnd"/>
      <w:r w:rsidR="00572DD2">
        <w:rPr>
          <w:rFonts w:ascii="Times New Roman" w:hAnsi="Times New Roman"/>
          <w:sz w:val="20"/>
          <w:lang w:val="pt-BR"/>
        </w:rPr>
        <w:t xml:space="preserve"> </w:t>
      </w:r>
      <w:r w:rsidR="00005CF6">
        <w:rPr>
          <w:rFonts w:ascii="Times New Roman" w:hAnsi="Times New Roman"/>
          <w:sz w:val="20"/>
          <w:lang w:val="pt-BR"/>
        </w:rPr>
        <w:t xml:space="preserve">de Jesus </w:t>
      </w:r>
      <w:r w:rsidR="00572DD2">
        <w:rPr>
          <w:rFonts w:ascii="Times New Roman" w:hAnsi="Times New Roman"/>
          <w:sz w:val="20"/>
          <w:lang w:val="pt-BR"/>
        </w:rPr>
        <w:t xml:space="preserve">Paiva, </w:t>
      </w:r>
      <w:r w:rsidR="0040670D">
        <w:rPr>
          <w:rFonts w:ascii="Times New Roman" w:hAnsi="Times New Roman"/>
          <w:sz w:val="20"/>
          <w:lang w:val="pt-BR"/>
        </w:rPr>
        <w:t xml:space="preserve">Maitê Thaís Barros Campos, </w:t>
      </w:r>
      <w:r w:rsidRPr="00ED1A15">
        <w:rPr>
          <w:rFonts w:ascii="Times New Roman" w:hAnsi="Times New Roman"/>
          <w:sz w:val="20"/>
          <w:lang w:val="pt-BR"/>
        </w:rPr>
        <w:t>Luiza Helena de Oliveira Pires</w:t>
      </w:r>
      <w:r>
        <w:rPr>
          <w:rFonts w:ascii="Times New Roman" w:hAnsi="Times New Roman"/>
          <w:sz w:val="20"/>
          <w:lang w:val="pt-BR"/>
        </w:rPr>
        <w:t xml:space="preserve">, </w:t>
      </w:r>
      <w:r w:rsidR="00146E9C">
        <w:rPr>
          <w:rFonts w:ascii="Times New Roman" w:hAnsi="Times New Roman"/>
          <w:sz w:val="20"/>
          <w:lang w:val="pt-BR"/>
        </w:rPr>
        <w:t>E</w:t>
      </w:r>
      <w:r w:rsidR="00572DD2" w:rsidRPr="00572DD2">
        <w:rPr>
          <w:rFonts w:ascii="Times New Roman" w:hAnsi="Times New Roman"/>
          <w:sz w:val="20"/>
          <w:lang w:val="pt-BR"/>
        </w:rPr>
        <w:t>lo</w:t>
      </w:r>
      <w:r w:rsidR="00146E9C">
        <w:rPr>
          <w:rFonts w:ascii="Times New Roman" w:hAnsi="Times New Roman"/>
          <w:sz w:val="20"/>
          <w:lang w:val="pt-BR"/>
        </w:rPr>
        <w:t>í</w:t>
      </w:r>
      <w:r w:rsidR="00572DD2">
        <w:rPr>
          <w:rFonts w:ascii="Times New Roman" w:hAnsi="Times New Roman"/>
          <w:sz w:val="20"/>
          <w:lang w:val="pt-BR"/>
        </w:rPr>
        <w:t>sa Helena de Aguiar Andrade</w:t>
      </w:r>
      <w:r w:rsidR="00572DD2" w:rsidRPr="00572DD2">
        <w:rPr>
          <w:rFonts w:ascii="Times New Roman" w:hAnsi="Times New Roman"/>
          <w:sz w:val="20"/>
          <w:lang w:val="pt-BR"/>
        </w:rPr>
        <w:t>,</w:t>
      </w:r>
      <w:r w:rsidR="00572DD2">
        <w:rPr>
          <w:rFonts w:ascii="Times New Roman" w:hAnsi="Times New Roman"/>
          <w:sz w:val="20"/>
          <w:lang w:val="pt-BR"/>
        </w:rPr>
        <w:t xml:space="preserve"> </w:t>
      </w:r>
      <w:proofErr w:type="spellStart"/>
      <w:r w:rsidR="00572DD2">
        <w:rPr>
          <w:rFonts w:ascii="Times New Roman" w:hAnsi="Times New Roman"/>
          <w:sz w:val="20"/>
          <w:lang w:val="pt-BR"/>
        </w:rPr>
        <w:t>Patricia</w:t>
      </w:r>
      <w:proofErr w:type="spellEnd"/>
      <w:r w:rsidR="00572DD2">
        <w:rPr>
          <w:rFonts w:ascii="Times New Roman" w:hAnsi="Times New Roman"/>
          <w:sz w:val="20"/>
          <w:lang w:val="pt-BR"/>
        </w:rPr>
        <w:t xml:space="preserve"> Tere</w:t>
      </w:r>
      <w:r w:rsidR="00146E9C">
        <w:rPr>
          <w:rFonts w:ascii="Times New Roman" w:hAnsi="Times New Roman"/>
          <w:sz w:val="20"/>
          <w:lang w:val="pt-BR"/>
        </w:rPr>
        <w:t>s</w:t>
      </w:r>
      <w:r w:rsidR="00572DD2">
        <w:rPr>
          <w:rFonts w:ascii="Times New Roman" w:hAnsi="Times New Roman"/>
          <w:sz w:val="20"/>
          <w:lang w:val="pt-BR"/>
        </w:rPr>
        <w:t>a Souza da Luz,</w:t>
      </w:r>
      <w:r w:rsidR="00847250">
        <w:rPr>
          <w:rFonts w:ascii="Times New Roman" w:hAnsi="Times New Roman"/>
          <w:sz w:val="20"/>
          <w:lang w:val="pt-BR"/>
        </w:rPr>
        <w:t xml:space="preserve"> </w:t>
      </w:r>
      <w:r w:rsidR="00146E9C">
        <w:rPr>
          <w:rFonts w:ascii="Times New Roman" w:hAnsi="Times New Roman"/>
          <w:sz w:val="20"/>
          <w:lang w:val="pt-BR"/>
        </w:rPr>
        <w:t xml:space="preserve">Carlos </w:t>
      </w:r>
      <w:proofErr w:type="spellStart"/>
      <w:r w:rsidR="00146E9C">
        <w:rPr>
          <w:rFonts w:ascii="Times New Roman" w:hAnsi="Times New Roman"/>
          <w:sz w:val="20"/>
          <w:lang w:val="pt-BR"/>
        </w:rPr>
        <w:t>Emmerson</w:t>
      </w:r>
      <w:proofErr w:type="spellEnd"/>
      <w:r w:rsidR="00146E9C">
        <w:rPr>
          <w:rFonts w:ascii="Times New Roman" w:hAnsi="Times New Roman"/>
          <w:sz w:val="20"/>
          <w:lang w:val="pt-BR"/>
        </w:rPr>
        <w:t xml:space="preserve"> Ferreira da Costa, </w:t>
      </w:r>
      <w:r>
        <w:rPr>
          <w:rFonts w:ascii="Times New Roman" w:hAnsi="Times New Roman"/>
          <w:sz w:val="20"/>
          <w:lang w:val="pt-BR"/>
        </w:rPr>
        <w:t>Geraldo Narciso da Rocha Filho</w:t>
      </w:r>
      <w:r w:rsidR="00572DD2">
        <w:rPr>
          <w:rFonts w:ascii="Times New Roman" w:hAnsi="Times New Roman"/>
          <w:sz w:val="20"/>
          <w:lang w:val="pt-BR"/>
        </w:rPr>
        <w:t xml:space="preserve">, </w:t>
      </w:r>
      <w:r w:rsidRPr="00ED1A15">
        <w:rPr>
          <w:rFonts w:ascii="Times New Roman" w:hAnsi="Times New Roman"/>
          <w:sz w:val="20"/>
          <w:lang w:val="pt-BR"/>
        </w:rPr>
        <w:t>Luís Adriano Santos do Nascimento</w:t>
      </w:r>
      <w:r w:rsidR="005C3409">
        <w:rPr>
          <w:rFonts w:ascii="Times New Roman" w:hAnsi="Times New Roman"/>
          <w:sz w:val="20"/>
          <w:vertAlign w:val="superscript"/>
          <w:lang w:val="pt-BR"/>
        </w:rPr>
        <w:t>*</w:t>
      </w:r>
    </w:p>
    <w:p w14:paraId="72F0DA91" w14:textId="77777777" w:rsidR="00572DD2" w:rsidRPr="00572DD2" w:rsidRDefault="00EA4E1B" w:rsidP="00572DD2">
      <w:pPr>
        <w:pStyle w:val="BCAuthorAddress"/>
        <w:spacing w:after="0"/>
        <w:ind w:right="0"/>
        <w:jc w:val="both"/>
        <w:rPr>
          <w:lang w:val="pt-BR"/>
        </w:rPr>
      </w:pPr>
      <w:r>
        <w:rPr>
          <w:vertAlign w:val="superscript"/>
          <w:lang w:val="pt-BR"/>
        </w:rPr>
        <w:t>1</w:t>
      </w:r>
      <w:r w:rsidR="00572DD2" w:rsidRPr="00572DD2">
        <w:rPr>
          <w:lang w:val="pt-BR"/>
        </w:rPr>
        <w:t>Laboratório de Óleos da Amazônia/</w:t>
      </w:r>
      <w:r w:rsidR="00572DD2">
        <w:rPr>
          <w:lang w:val="pt-BR"/>
        </w:rPr>
        <w:t xml:space="preserve">Programa de </w:t>
      </w:r>
      <w:proofErr w:type="spellStart"/>
      <w:r w:rsidR="00572DD2">
        <w:rPr>
          <w:lang w:val="pt-BR"/>
        </w:rPr>
        <w:t>Pos</w:t>
      </w:r>
      <w:proofErr w:type="spellEnd"/>
      <w:r w:rsidR="00572DD2">
        <w:rPr>
          <w:lang w:val="pt-BR"/>
        </w:rPr>
        <w:t xml:space="preserve"> Graduação em Química</w:t>
      </w:r>
      <w:r w:rsidR="00572DD2" w:rsidRPr="00572DD2">
        <w:rPr>
          <w:lang w:val="pt-BR"/>
        </w:rPr>
        <w:t>/</w:t>
      </w:r>
      <w:r w:rsidR="00572DD2">
        <w:rPr>
          <w:lang w:val="pt-BR"/>
        </w:rPr>
        <w:t>Universidade Federal do Pará</w:t>
      </w:r>
      <w:r w:rsidR="00572DD2" w:rsidRPr="00572DD2">
        <w:rPr>
          <w:lang w:val="pt-BR"/>
        </w:rPr>
        <w:t xml:space="preserve">, </w:t>
      </w:r>
      <w:proofErr w:type="spellStart"/>
      <w:proofErr w:type="gramStart"/>
      <w:r w:rsidR="00572DD2" w:rsidRPr="00572DD2">
        <w:rPr>
          <w:lang w:val="pt-BR"/>
        </w:rPr>
        <w:t>Belém,</w:t>
      </w:r>
      <w:r w:rsidR="00572DD2">
        <w:rPr>
          <w:lang w:val="pt-BR"/>
        </w:rPr>
        <w:t>Pará</w:t>
      </w:r>
      <w:proofErr w:type="spellEnd"/>
      <w:proofErr w:type="gramEnd"/>
    </w:p>
    <w:p w14:paraId="1CFDF220" w14:textId="77777777" w:rsidR="00EA4E1B" w:rsidRDefault="00847250" w:rsidP="00572DD2">
      <w:pPr>
        <w:pStyle w:val="BCAuthorAddress"/>
        <w:spacing w:after="0"/>
        <w:ind w:right="0"/>
        <w:jc w:val="both"/>
        <w:rPr>
          <w:lang w:val="pt-BR"/>
        </w:rPr>
      </w:pPr>
      <w:hyperlink r:id="rId8" w:history="1">
        <w:r w:rsidR="005C3409" w:rsidRPr="005C3409">
          <w:rPr>
            <w:rStyle w:val="Hyperlink"/>
            <w:lang w:val="pt-BR"/>
          </w:rPr>
          <w:t>adrlui1@yahoo.com.br</w:t>
        </w:r>
      </w:hyperlink>
      <w:r w:rsidR="005C3409" w:rsidRPr="005C3409">
        <w:rPr>
          <w:rStyle w:val="Hyperlink"/>
          <w:lang w:val="pt-BR"/>
        </w:rPr>
        <w:t>;</w:t>
      </w:r>
      <w:hyperlink r:id="rId9" w:history="1">
        <w:r w:rsidR="00572DD2" w:rsidRPr="006E356B">
          <w:rPr>
            <w:rStyle w:val="Hyperlink"/>
            <w:lang w:val="pt-BR"/>
          </w:rPr>
          <w:t>analilice@hotmail.com</w:t>
        </w:r>
      </w:hyperlink>
      <w:r w:rsidR="00572DD2">
        <w:rPr>
          <w:lang w:val="pt-BR"/>
        </w:rPr>
        <w:t xml:space="preserve">; </w:t>
      </w:r>
    </w:p>
    <w:bookmarkEnd w:id="0"/>
    <w:p w14:paraId="553E7C6E" w14:textId="77777777" w:rsidR="00AF0400" w:rsidRDefault="00847250" w:rsidP="00EA4E1B">
      <w:pPr>
        <w:pStyle w:val="BDAbstract"/>
        <w:spacing w:before="0" w:after="0" w:line="240" w:lineRule="auto"/>
        <w:rPr>
          <w:rFonts w:ascii="Times New Roman" w:hAnsi="Times New Roman"/>
          <w:b w:val="0"/>
          <w:sz w:val="20"/>
          <w:lang w:val="pt-BR"/>
        </w:rPr>
      </w:pPr>
      <w:r>
        <w:rPr>
          <w:noProof/>
          <w:sz w:val="32"/>
          <w:lang w:val="pt-BR"/>
        </w:rPr>
      </w:r>
      <w:r w:rsidR="00847250">
        <w:rPr>
          <w:noProof/>
          <w:sz w:val="32"/>
          <w:lang w:val="pt-BR"/>
        </w:rPr>
        <w:pict w14:anchorId="132870F4">
          <v:rect id="Rectangle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" fillcolor="#9a0000" stroked="f" strokeweight="1pt">
            <o:lock v:ext="edit" aspectratio="t" verticies="t" text="t" shapetype="t"/>
            <v:textbox inset=",0,,0">
              <w:txbxContent>
                <w:p w14:paraId="2722E3C9" w14:textId="77777777" w:rsidR="008C1B30" w:rsidRPr="008C1B30" w:rsidRDefault="008C1B30" w:rsidP="008C1B30">
                  <w:pPr>
                    <w:pStyle w:val="BDAbstract"/>
                    <w:spacing w:before="0" w:after="0" w:line="240" w:lineRule="auto"/>
                    <w:jc w:val="center"/>
                    <w:rPr>
                      <w:rFonts w:cs="Helvetica"/>
                      <w:bCs/>
                      <w:sz w:val="20"/>
                      <w:lang w:val="pt-BR"/>
                    </w:rPr>
                  </w:pPr>
                  <w:r w:rsidRPr="00E26F88">
                    <w:rPr>
                      <w:rFonts w:cs="Helvetica"/>
                      <w:bCs/>
                      <w:sz w:val="24"/>
                      <w:szCs w:val="24"/>
                      <w:lang w:val="pt-BR"/>
                    </w:rPr>
                    <w:t>Resumo/Abstract</w:t>
                  </w:r>
                </w:p>
                <w:p w14:paraId="008958EF" w14:textId="77777777" w:rsidR="00AF0400" w:rsidRPr="008C1B30" w:rsidRDefault="00AF0400" w:rsidP="008C1B30">
                  <w:pPr>
                    <w:pStyle w:val="SemEspaamento"/>
                  </w:pPr>
                </w:p>
              </w:txbxContent>
            </v:textbox>
            <w10:wrap anchorx="margin"/>
          </v:rect>
        </w:pict>
      </w:r>
    </w:p>
    <w:p w14:paraId="59387AC0" w14:textId="77777777" w:rsidR="00AF0400" w:rsidRDefault="00AF0400" w:rsidP="00EA4E1B">
      <w:pPr>
        <w:pStyle w:val="BDAbstract"/>
        <w:spacing w:before="0" w:after="0" w:line="240" w:lineRule="auto"/>
        <w:rPr>
          <w:rFonts w:ascii="Times New Roman" w:hAnsi="Times New Roman"/>
          <w:b w:val="0"/>
          <w:sz w:val="20"/>
          <w:lang w:val="pt-BR"/>
        </w:rPr>
      </w:pPr>
    </w:p>
    <w:p w14:paraId="66C9FC14" w14:textId="77777777" w:rsidR="00B10F5B" w:rsidRPr="00B10F5B" w:rsidRDefault="00EA4E1B" w:rsidP="00B10F5B">
      <w:pPr>
        <w:pStyle w:val="BDAbstract"/>
        <w:spacing w:after="0" w:line="240" w:lineRule="auto"/>
        <w:rPr>
          <w:rFonts w:ascii="Times New Roman" w:hAnsi="Times New Roman"/>
          <w:b w:val="0"/>
          <w:sz w:val="20"/>
          <w:lang w:val="pt-BR"/>
        </w:rPr>
      </w:pPr>
      <w:r>
        <w:rPr>
          <w:rFonts w:ascii="Times New Roman" w:hAnsi="Times New Roman"/>
          <w:b w:val="0"/>
          <w:sz w:val="20"/>
          <w:lang w:val="pt-BR"/>
        </w:rPr>
        <w:t xml:space="preserve">RESUMO - </w:t>
      </w:r>
      <w:r w:rsidR="00B10F5B" w:rsidRPr="00B10F5B">
        <w:rPr>
          <w:rFonts w:ascii="Times New Roman" w:hAnsi="Times New Roman"/>
          <w:b w:val="0"/>
          <w:sz w:val="20"/>
          <w:lang w:val="pt-BR"/>
        </w:rPr>
        <w:t xml:space="preserve">Neste trabalho, um catalisador com ácido 12-tungstofosfórico (HPW) </w:t>
      </w:r>
      <w:r w:rsidR="00BB322A">
        <w:rPr>
          <w:rFonts w:ascii="Times New Roman" w:hAnsi="Times New Roman"/>
          <w:b w:val="0"/>
          <w:sz w:val="20"/>
          <w:lang w:val="pt-BR"/>
        </w:rPr>
        <w:t>suportado</w:t>
      </w:r>
      <w:r w:rsidR="00B10F5B" w:rsidRPr="00B10F5B">
        <w:rPr>
          <w:rFonts w:ascii="Times New Roman" w:hAnsi="Times New Roman"/>
          <w:b w:val="0"/>
          <w:sz w:val="20"/>
          <w:lang w:val="pt-BR"/>
        </w:rPr>
        <w:t xml:space="preserve"> em </w:t>
      </w:r>
      <w:proofErr w:type="spellStart"/>
      <w:r w:rsidR="00B10F5B" w:rsidRPr="00B10F5B">
        <w:rPr>
          <w:rFonts w:ascii="Times New Roman" w:hAnsi="Times New Roman"/>
          <w:b w:val="0"/>
          <w:sz w:val="20"/>
          <w:lang w:val="pt-BR"/>
        </w:rPr>
        <w:t>biocarvão</w:t>
      </w:r>
      <w:proofErr w:type="spellEnd"/>
      <w:r w:rsidR="00B10F5B" w:rsidRPr="00B10F5B">
        <w:rPr>
          <w:rFonts w:ascii="Times New Roman" w:hAnsi="Times New Roman"/>
          <w:b w:val="0"/>
          <w:sz w:val="20"/>
          <w:lang w:val="pt-BR"/>
        </w:rPr>
        <w:t xml:space="preserve"> obtido da casca da castanha</w:t>
      </w:r>
      <w:r w:rsidR="007459A4">
        <w:rPr>
          <w:rFonts w:ascii="Times New Roman" w:hAnsi="Times New Roman"/>
          <w:b w:val="0"/>
          <w:sz w:val="20"/>
          <w:lang w:val="pt-BR"/>
        </w:rPr>
        <w:t>-do-pará</w:t>
      </w:r>
      <w:r w:rsidR="00B10F5B" w:rsidRPr="00B10F5B">
        <w:rPr>
          <w:rFonts w:ascii="Times New Roman" w:hAnsi="Times New Roman"/>
          <w:b w:val="0"/>
          <w:sz w:val="20"/>
          <w:lang w:val="pt-BR"/>
        </w:rPr>
        <w:t xml:space="preserve"> (</w:t>
      </w:r>
      <w:proofErr w:type="spellStart"/>
      <w:r w:rsidR="00B10F5B" w:rsidRPr="00146E9C">
        <w:rPr>
          <w:rFonts w:ascii="Times New Roman" w:hAnsi="Times New Roman"/>
          <w:b w:val="0"/>
          <w:i/>
          <w:iCs/>
          <w:sz w:val="20"/>
          <w:lang w:val="pt-BR"/>
        </w:rPr>
        <w:t>Bertholletia</w:t>
      </w:r>
      <w:proofErr w:type="spellEnd"/>
      <w:r w:rsidR="00B10F5B" w:rsidRPr="00146E9C">
        <w:rPr>
          <w:rFonts w:ascii="Times New Roman" w:hAnsi="Times New Roman"/>
          <w:b w:val="0"/>
          <w:i/>
          <w:iCs/>
          <w:sz w:val="20"/>
          <w:lang w:val="pt-BR"/>
        </w:rPr>
        <w:t xml:space="preserve"> excelsa</w:t>
      </w:r>
      <w:r w:rsidR="00B10F5B" w:rsidRPr="00B10F5B">
        <w:rPr>
          <w:rFonts w:ascii="Times New Roman" w:hAnsi="Times New Roman"/>
          <w:b w:val="0"/>
          <w:sz w:val="20"/>
          <w:lang w:val="pt-BR"/>
        </w:rPr>
        <w:t xml:space="preserve">) foi preparado e utilizado como catalisador ácido heterogêneo para produzir vanilina a partir de </w:t>
      </w:r>
      <w:proofErr w:type="spellStart"/>
      <w:r w:rsidR="00B10F5B" w:rsidRPr="00B10F5B">
        <w:rPr>
          <w:rFonts w:ascii="Times New Roman" w:hAnsi="Times New Roman"/>
          <w:b w:val="0"/>
          <w:sz w:val="20"/>
          <w:lang w:val="pt-BR"/>
        </w:rPr>
        <w:t>isoeugenol</w:t>
      </w:r>
      <w:proofErr w:type="spellEnd"/>
      <w:r w:rsidR="00B10F5B" w:rsidRPr="00B10F5B">
        <w:rPr>
          <w:rFonts w:ascii="Times New Roman" w:hAnsi="Times New Roman"/>
          <w:b w:val="0"/>
          <w:sz w:val="20"/>
          <w:lang w:val="pt-BR"/>
        </w:rPr>
        <w:t xml:space="preserve"> com peróxido de hidrogênio em solvente </w:t>
      </w:r>
      <w:proofErr w:type="spellStart"/>
      <w:r w:rsidR="00B10F5B" w:rsidRPr="00B10F5B">
        <w:rPr>
          <w:rFonts w:ascii="Times New Roman" w:hAnsi="Times New Roman"/>
          <w:b w:val="0"/>
          <w:sz w:val="20"/>
          <w:lang w:val="pt-BR"/>
        </w:rPr>
        <w:t>acetonitrila</w:t>
      </w:r>
      <w:proofErr w:type="spellEnd"/>
      <w:r w:rsidR="00B10F5B" w:rsidRPr="00B10F5B">
        <w:rPr>
          <w:rFonts w:ascii="Times New Roman" w:hAnsi="Times New Roman"/>
          <w:b w:val="0"/>
          <w:sz w:val="20"/>
          <w:lang w:val="pt-BR"/>
        </w:rPr>
        <w:t xml:space="preserve">. O catalisador, </w:t>
      </w:r>
      <w:proofErr w:type="spellStart"/>
      <w:r w:rsidR="00B10F5B" w:rsidRPr="00B10F5B">
        <w:rPr>
          <w:rFonts w:ascii="Times New Roman" w:hAnsi="Times New Roman"/>
          <w:b w:val="0"/>
          <w:sz w:val="20"/>
          <w:lang w:val="pt-BR"/>
        </w:rPr>
        <w:t>biocarvão</w:t>
      </w:r>
      <w:proofErr w:type="spellEnd"/>
      <w:r w:rsidR="00B10F5B" w:rsidRPr="00B10F5B">
        <w:rPr>
          <w:rFonts w:ascii="Times New Roman" w:hAnsi="Times New Roman"/>
          <w:b w:val="0"/>
          <w:sz w:val="20"/>
          <w:lang w:val="pt-BR"/>
        </w:rPr>
        <w:t xml:space="preserve"> funcionalizado por HPW, foi preparado por um método de </w:t>
      </w:r>
      <w:proofErr w:type="spellStart"/>
      <w:r w:rsidR="00B10F5B" w:rsidRPr="00B10F5B">
        <w:rPr>
          <w:rFonts w:ascii="Times New Roman" w:hAnsi="Times New Roman"/>
          <w:b w:val="0"/>
          <w:sz w:val="20"/>
          <w:lang w:val="pt-BR"/>
        </w:rPr>
        <w:t>sonicação</w:t>
      </w:r>
      <w:proofErr w:type="spellEnd"/>
      <w:r w:rsidR="00B10F5B" w:rsidRPr="00B10F5B">
        <w:rPr>
          <w:rFonts w:ascii="Times New Roman" w:hAnsi="Times New Roman"/>
          <w:b w:val="0"/>
          <w:sz w:val="20"/>
          <w:lang w:val="pt-BR"/>
        </w:rPr>
        <w:t xml:space="preserve"> e caracterizado por espectroscopia de infravermelho por transformada de Fourier, e espectroscopia ultravioleta-visível. 30HPW/ </w:t>
      </w:r>
      <w:proofErr w:type="gramStart"/>
      <w:r w:rsidR="00B10F5B" w:rsidRPr="00B10F5B">
        <w:rPr>
          <w:rFonts w:ascii="Times New Roman" w:hAnsi="Times New Roman"/>
          <w:b w:val="0"/>
          <w:sz w:val="20"/>
          <w:lang w:val="pt-BR"/>
        </w:rPr>
        <w:t>CC( 200</w:t>
      </w:r>
      <w:proofErr w:type="gramEnd"/>
      <w:r w:rsidR="00B10F5B" w:rsidRPr="00B10F5B">
        <w:rPr>
          <w:rFonts w:ascii="Times New Roman" w:hAnsi="Times New Roman"/>
          <w:b w:val="0"/>
          <w:sz w:val="20"/>
          <w:lang w:val="pt-BR"/>
        </w:rPr>
        <w:t xml:space="preserve">-2), mostrou uma boa seletividade à vanilina (55%) em alta conversão (69%). </w:t>
      </w:r>
    </w:p>
    <w:p w14:paraId="6DD86D6B" w14:textId="77777777" w:rsidR="00B10F5B" w:rsidRPr="00B10F5B" w:rsidRDefault="00B10F5B" w:rsidP="00B10F5B">
      <w:pPr>
        <w:pStyle w:val="BDAbstract"/>
        <w:spacing w:before="0" w:after="0" w:line="240" w:lineRule="auto"/>
        <w:rPr>
          <w:rFonts w:ascii="Times New Roman" w:hAnsi="Times New Roman"/>
          <w:b w:val="0"/>
          <w:i/>
          <w:sz w:val="20"/>
          <w:lang w:val="pt-BR"/>
        </w:rPr>
      </w:pPr>
      <w:r w:rsidRPr="00B10F5B">
        <w:rPr>
          <w:rFonts w:ascii="Times New Roman" w:hAnsi="Times New Roman"/>
          <w:b w:val="0"/>
          <w:i/>
          <w:sz w:val="20"/>
          <w:lang w:val="pt-BR"/>
        </w:rPr>
        <w:t>Palavras-</w:t>
      </w:r>
      <w:r>
        <w:rPr>
          <w:rFonts w:ascii="Times New Roman" w:hAnsi="Times New Roman"/>
          <w:b w:val="0"/>
          <w:i/>
          <w:sz w:val="20"/>
          <w:lang w:val="pt-BR"/>
        </w:rPr>
        <w:t>chave: valorização de resíduos,</w:t>
      </w:r>
      <w:r w:rsidRPr="00B10F5B">
        <w:rPr>
          <w:rFonts w:ascii="Times New Roman" w:hAnsi="Times New Roman"/>
          <w:b w:val="0"/>
          <w:i/>
          <w:sz w:val="20"/>
          <w:lang w:val="pt-BR"/>
        </w:rPr>
        <w:t xml:space="preserve"> </w:t>
      </w:r>
      <w:proofErr w:type="spellStart"/>
      <w:r w:rsidRPr="00B10F5B">
        <w:rPr>
          <w:rFonts w:ascii="Times New Roman" w:hAnsi="Times New Roman"/>
          <w:b w:val="0"/>
          <w:i/>
          <w:sz w:val="20"/>
          <w:lang w:val="pt-BR"/>
        </w:rPr>
        <w:t>biocarvão</w:t>
      </w:r>
      <w:proofErr w:type="spellEnd"/>
      <w:r>
        <w:rPr>
          <w:rFonts w:ascii="Times New Roman" w:hAnsi="Times New Roman"/>
          <w:b w:val="0"/>
          <w:i/>
          <w:sz w:val="20"/>
          <w:lang w:val="pt-BR"/>
        </w:rPr>
        <w:t xml:space="preserve">, </w:t>
      </w:r>
      <w:r w:rsidRPr="00B10F5B">
        <w:rPr>
          <w:rFonts w:ascii="Times New Roman" w:hAnsi="Times New Roman"/>
          <w:b w:val="0"/>
          <w:i/>
          <w:sz w:val="20"/>
          <w:lang w:val="pt-BR"/>
        </w:rPr>
        <w:t>catálise heterogênea</w:t>
      </w:r>
      <w:r>
        <w:rPr>
          <w:rFonts w:ascii="Times New Roman" w:hAnsi="Times New Roman"/>
          <w:b w:val="0"/>
          <w:i/>
          <w:sz w:val="20"/>
          <w:lang w:val="pt-BR"/>
        </w:rPr>
        <w:t>,</w:t>
      </w:r>
      <w:r w:rsidR="0077448E">
        <w:rPr>
          <w:rFonts w:ascii="Times New Roman" w:hAnsi="Times New Roman"/>
          <w:b w:val="0"/>
          <w:i/>
          <w:sz w:val="20"/>
          <w:lang w:val="pt-BR"/>
        </w:rPr>
        <w:t xml:space="preserve"> </w:t>
      </w:r>
      <w:r>
        <w:rPr>
          <w:rFonts w:ascii="Times New Roman" w:hAnsi="Times New Roman"/>
          <w:b w:val="0"/>
          <w:i/>
          <w:sz w:val="20"/>
          <w:lang w:val="pt-BR"/>
        </w:rPr>
        <w:t xml:space="preserve">oxidação de </w:t>
      </w:r>
      <w:proofErr w:type="spellStart"/>
      <w:r>
        <w:rPr>
          <w:rFonts w:ascii="Times New Roman" w:hAnsi="Times New Roman"/>
          <w:b w:val="0"/>
          <w:i/>
          <w:sz w:val="20"/>
          <w:lang w:val="pt-BR"/>
        </w:rPr>
        <w:t>isoeugenol</w:t>
      </w:r>
      <w:proofErr w:type="spellEnd"/>
      <w:r>
        <w:rPr>
          <w:rFonts w:ascii="Times New Roman" w:hAnsi="Times New Roman"/>
          <w:b w:val="0"/>
          <w:i/>
          <w:sz w:val="20"/>
          <w:lang w:val="pt-BR"/>
        </w:rPr>
        <w:t xml:space="preserve">, </w:t>
      </w:r>
      <w:r w:rsidRPr="00B10F5B">
        <w:rPr>
          <w:rFonts w:ascii="Times New Roman" w:hAnsi="Times New Roman"/>
          <w:b w:val="0"/>
          <w:i/>
          <w:sz w:val="20"/>
          <w:lang w:val="pt-BR"/>
        </w:rPr>
        <w:t>vanilina</w:t>
      </w:r>
      <w:r w:rsidR="0077448E">
        <w:rPr>
          <w:rFonts w:ascii="Times New Roman" w:hAnsi="Times New Roman"/>
          <w:b w:val="0"/>
          <w:i/>
          <w:sz w:val="20"/>
          <w:lang w:val="pt-BR"/>
        </w:rPr>
        <w:t>, Amaz</w:t>
      </w:r>
      <w:r w:rsidR="00E26F88">
        <w:rPr>
          <w:rFonts w:ascii="Times New Roman" w:hAnsi="Times New Roman"/>
          <w:b w:val="0"/>
          <w:i/>
          <w:sz w:val="20"/>
          <w:lang w:val="pt-BR"/>
        </w:rPr>
        <w:t>ô</w:t>
      </w:r>
      <w:r w:rsidR="00893BB4">
        <w:rPr>
          <w:rFonts w:ascii="Times New Roman" w:hAnsi="Times New Roman"/>
          <w:b w:val="0"/>
          <w:i/>
          <w:sz w:val="20"/>
          <w:lang w:val="pt-BR"/>
        </w:rPr>
        <w:t>n</w:t>
      </w:r>
      <w:r w:rsidR="0077448E">
        <w:rPr>
          <w:rFonts w:ascii="Times New Roman" w:hAnsi="Times New Roman"/>
          <w:b w:val="0"/>
          <w:i/>
          <w:sz w:val="20"/>
          <w:lang w:val="pt-BR"/>
        </w:rPr>
        <w:t>ia</w:t>
      </w:r>
      <w:r>
        <w:rPr>
          <w:rFonts w:ascii="Times New Roman" w:hAnsi="Times New Roman"/>
          <w:b w:val="0"/>
          <w:i/>
          <w:sz w:val="20"/>
          <w:lang w:val="pt-BR"/>
        </w:rPr>
        <w:t>.</w:t>
      </w:r>
    </w:p>
    <w:p w14:paraId="22EAA021" w14:textId="77777777" w:rsidR="005C3409" w:rsidRPr="00DA4DFC" w:rsidRDefault="005C3409" w:rsidP="00EA4E1B">
      <w:pPr>
        <w:pStyle w:val="BDAbstract"/>
        <w:spacing w:before="0" w:after="0" w:line="240" w:lineRule="auto"/>
        <w:rPr>
          <w:rFonts w:ascii="Times New Roman" w:hAnsi="Times New Roman"/>
          <w:b w:val="0"/>
          <w:sz w:val="20"/>
          <w:lang w:val="pt-BR"/>
        </w:rPr>
      </w:pPr>
    </w:p>
    <w:p w14:paraId="1E0DC804" w14:textId="77777777" w:rsidR="001546A8" w:rsidRPr="001546A8" w:rsidRDefault="00EA4E1B" w:rsidP="001546A8">
      <w:pPr>
        <w:pStyle w:val="BDAbstract"/>
        <w:spacing w:after="0" w:line="240" w:lineRule="auto"/>
        <w:rPr>
          <w:rFonts w:ascii="Times New Roman" w:hAnsi="Times New Roman"/>
          <w:b w:val="0"/>
          <w:sz w:val="20"/>
        </w:rPr>
      </w:pPr>
      <w:r w:rsidRPr="005C3409">
        <w:rPr>
          <w:rFonts w:ascii="Times New Roman" w:hAnsi="Times New Roman"/>
          <w:b w:val="0"/>
          <w:sz w:val="20"/>
        </w:rPr>
        <w:t xml:space="preserve">ABSTRACT - </w:t>
      </w:r>
      <w:r w:rsidR="0040670D" w:rsidRPr="00D54DD9">
        <w:rPr>
          <w:rFonts w:ascii="Times New Roman" w:hAnsi="Times New Roman"/>
          <w:b w:val="0"/>
          <w:sz w:val="20"/>
        </w:rPr>
        <w:t xml:space="preserve">In this study, a catalyst with 12-tungstophosphoric acid (HPW) supported on biochar derived from Brazil </w:t>
      </w:r>
      <w:proofErr w:type="gramStart"/>
      <w:r w:rsidR="0040670D" w:rsidRPr="00D54DD9">
        <w:rPr>
          <w:rFonts w:ascii="Times New Roman" w:hAnsi="Times New Roman"/>
          <w:b w:val="0"/>
          <w:sz w:val="20"/>
        </w:rPr>
        <w:t>nut shell</w:t>
      </w:r>
      <w:proofErr w:type="gramEnd"/>
      <w:r w:rsidR="0040670D" w:rsidRPr="00D54DD9">
        <w:rPr>
          <w:rFonts w:ascii="Times New Roman" w:hAnsi="Times New Roman"/>
          <w:b w:val="0"/>
          <w:sz w:val="20"/>
        </w:rPr>
        <w:t xml:space="preserve"> (</w:t>
      </w:r>
      <w:proofErr w:type="spellStart"/>
      <w:r w:rsidR="0040670D" w:rsidRPr="00D54DD9">
        <w:rPr>
          <w:rFonts w:ascii="Times New Roman" w:hAnsi="Times New Roman"/>
          <w:b w:val="0"/>
          <w:sz w:val="20"/>
        </w:rPr>
        <w:t>Bertholletia</w:t>
      </w:r>
      <w:proofErr w:type="spellEnd"/>
      <w:r w:rsidR="0040670D" w:rsidRPr="00D54DD9">
        <w:rPr>
          <w:rFonts w:ascii="Times New Roman" w:hAnsi="Times New Roman"/>
          <w:b w:val="0"/>
          <w:sz w:val="20"/>
        </w:rPr>
        <w:t xml:space="preserve"> </w:t>
      </w:r>
      <w:proofErr w:type="spellStart"/>
      <w:r w:rsidR="0040670D" w:rsidRPr="00D54DD9">
        <w:rPr>
          <w:rFonts w:ascii="Times New Roman" w:hAnsi="Times New Roman"/>
          <w:b w:val="0"/>
          <w:sz w:val="20"/>
        </w:rPr>
        <w:t>excelsa</w:t>
      </w:r>
      <w:proofErr w:type="spellEnd"/>
      <w:r w:rsidR="0040670D" w:rsidRPr="00D54DD9">
        <w:rPr>
          <w:rFonts w:ascii="Times New Roman" w:hAnsi="Times New Roman"/>
          <w:b w:val="0"/>
          <w:sz w:val="20"/>
        </w:rPr>
        <w:t>) was prepared and used as a heterogeneous acid catalyst for the production of vanillin from isoeugenol using hydrogen peroxide in acetonitrile solve</w:t>
      </w:r>
      <w:r w:rsidR="00E26F88">
        <w:rPr>
          <w:rFonts w:ascii="Times New Roman" w:hAnsi="Times New Roman"/>
          <w:b w:val="0"/>
          <w:sz w:val="20"/>
        </w:rPr>
        <w:t>nt. The HPW-functionalized biochar</w:t>
      </w:r>
      <w:r w:rsidR="0040670D" w:rsidRPr="00D54DD9">
        <w:rPr>
          <w:rFonts w:ascii="Times New Roman" w:hAnsi="Times New Roman"/>
          <w:b w:val="0"/>
          <w:sz w:val="20"/>
        </w:rPr>
        <w:t xml:space="preserve"> catalyst was prepared via a sonication method and characterized by Fourier transform infrared spectroscopy and ultraviolet-visible spectroscopy. The catalyst, 30HPW/</w:t>
      </w:r>
      <w:proofErr w:type="gramStart"/>
      <w:r w:rsidR="0040670D" w:rsidRPr="00D54DD9">
        <w:rPr>
          <w:rFonts w:ascii="Times New Roman" w:hAnsi="Times New Roman"/>
          <w:b w:val="0"/>
          <w:sz w:val="20"/>
        </w:rPr>
        <w:t>CC(</w:t>
      </w:r>
      <w:proofErr w:type="gramEnd"/>
      <w:r w:rsidR="0040670D" w:rsidRPr="00D54DD9">
        <w:rPr>
          <w:rFonts w:ascii="Times New Roman" w:hAnsi="Times New Roman"/>
          <w:b w:val="0"/>
          <w:sz w:val="20"/>
        </w:rPr>
        <w:t>200-2), exhibited good selectivity towards vanillin (55%) at high conversion (69%).</w:t>
      </w:r>
    </w:p>
    <w:p w14:paraId="11BEF382" w14:textId="77777777" w:rsidR="00B10F5B" w:rsidRPr="00B10F5B" w:rsidRDefault="00B10F5B" w:rsidP="00B10F5B">
      <w:pPr>
        <w:pStyle w:val="BDAbstract"/>
        <w:spacing w:before="0" w:after="0" w:line="240" w:lineRule="auto"/>
        <w:rPr>
          <w:rFonts w:ascii="Times New Roman" w:hAnsi="Times New Roman"/>
          <w:b w:val="0"/>
          <w:i/>
          <w:sz w:val="20"/>
        </w:rPr>
      </w:pPr>
      <w:r>
        <w:rPr>
          <w:rFonts w:ascii="Times New Roman" w:hAnsi="Times New Roman"/>
          <w:b w:val="0"/>
          <w:i/>
          <w:sz w:val="20"/>
        </w:rPr>
        <w:t>Keywords: waste valorization,</w:t>
      </w:r>
      <w:r w:rsidR="001546A8" w:rsidRPr="00B10F5B">
        <w:rPr>
          <w:rFonts w:ascii="Times New Roman" w:hAnsi="Times New Roman"/>
          <w:b w:val="0"/>
          <w:i/>
          <w:sz w:val="20"/>
        </w:rPr>
        <w:t xml:space="preserve"> biochar</w:t>
      </w:r>
      <w:r>
        <w:rPr>
          <w:rFonts w:ascii="Times New Roman" w:hAnsi="Times New Roman"/>
          <w:b w:val="0"/>
          <w:i/>
          <w:sz w:val="20"/>
        </w:rPr>
        <w:t xml:space="preserve">, </w:t>
      </w:r>
      <w:r w:rsidR="001546A8" w:rsidRPr="00B10F5B">
        <w:rPr>
          <w:rFonts w:ascii="Times New Roman" w:hAnsi="Times New Roman"/>
          <w:b w:val="0"/>
          <w:i/>
          <w:sz w:val="20"/>
        </w:rPr>
        <w:t>heterogeneous catalysis</w:t>
      </w:r>
      <w:r>
        <w:rPr>
          <w:rFonts w:ascii="Times New Roman" w:hAnsi="Times New Roman"/>
          <w:b w:val="0"/>
          <w:i/>
          <w:sz w:val="20"/>
        </w:rPr>
        <w:t>,</w:t>
      </w:r>
      <w:r w:rsidR="001546A8" w:rsidRPr="00B10F5B">
        <w:rPr>
          <w:rFonts w:ascii="Times New Roman" w:hAnsi="Times New Roman"/>
          <w:b w:val="0"/>
          <w:i/>
          <w:sz w:val="20"/>
        </w:rPr>
        <w:t xml:space="preserve"> isoeugenol oxidation</w:t>
      </w:r>
      <w:r>
        <w:rPr>
          <w:rFonts w:ascii="Times New Roman" w:hAnsi="Times New Roman"/>
          <w:b w:val="0"/>
          <w:i/>
          <w:sz w:val="20"/>
        </w:rPr>
        <w:t>,</w:t>
      </w:r>
      <w:r w:rsidR="001546A8" w:rsidRPr="00B10F5B">
        <w:rPr>
          <w:rFonts w:ascii="Times New Roman" w:hAnsi="Times New Roman"/>
          <w:b w:val="0"/>
          <w:i/>
          <w:sz w:val="20"/>
        </w:rPr>
        <w:t xml:space="preserve"> vanillin</w:t>
      </w:r>
      <w:r w:rsidR="00893BB4">
        <w:rPr>
          <w:rFonts w:ascii="Times New Roman" w:hAnsi="Times New Roman"/>
          <w:b w:val="0"/>
          <w:i/>
          <w:sz w:val="20"/>
        </w:rPr>
        <w:t>, Amazon</w:t>
      </w:r>
      <w:r>
        <w:rPr>
          <w:rFonts w:ascii="Times New Roman" w:hAnsi="Times New Roman"/>
          <w:b w:val="0"/>
          <w:i/>
          <w:sz w:val="20"/>
        </w:rPr>
        <w:t>.</w:t>
      </w:r>
    </w:p>
    <w:bookmarkEnd w:id="1"/>
    <w:p w14:paraId="65908297" w14:textId="77777777" w:rsidR="00EA4E1B" w:rsidRPr="005C3409" w:rsidRDefault="00EA4E1B" w:rsidP="00EA4E1B">
      <w:pPr>
        <w:rPr>
          <w:lang w:val="en-US"/>
        </w:rPr>
        <w:sectPr w:rsidR="00EA4E1B" w:rsidRPr="005C3409" w:rsidSect="00EA4E1B">
          <w:headerReference w:type="default" r:id="rId10"/>
          <w:endnotePr>
            <w:numFmt w:val="decimal"/>
          </w:endnotePr>
          <w:pgSz w:w="11906" w:h="16838"/>
          <w:pgMar w:top="1418" w:right="1094" w:bottom="1418" w:left="567" w:header="709" w:footer="709" w:gutter="0"/>
          <w:cols w:space="708"/>
          <w:docGrid w:linePitch="360"/>
        </w:sectPr>
      </w:pPr>
    </w:p>
    <w:p w14:paraId="73EEB5D1"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7C20066" w14:textId="77777777" w:rsidR="00B10F5B" w:rsidRPr="00DB04E5" w:rsidRDefault="00B10F5B" w:rsidP="00B10F5B">
      <w:pPr>
        <w:pStyle w:val="TAMainText"/>
        <w:rPr>
          <w:rFonts w:ascii="Times New Roman" w:hAnsi="Times New Roman"/>
          <w:lang w:val="pt-BR"/>
        </w:rPr>
      </w:pPr>
      <w:r w:rsidRPr="00B10F5B">
        <w:rPr>
          <w:rFonts w:ascii="Times New Roman" w:hAnsi="Times New Roman"/>
          <w:lang w:val="pt-BR"/>
        </w:rPr>
        <w:t xml:space="preserve">A vanilina é </w:t>
      </w:r>
      <w:r w:rsidR="007459A4" w:rsidRPr="00B10F5B">
        <w:rPr>
          <w:rFonts w:ascii="Times New Roman" w:hAnsi="Times New Roman"/>
          <w:lang w:val="pt-BR"/>
        </w:rPr>
        <w:t xml:space="preserve">um composto </w:t>
      </w:r>
      <w:r w:rsidR="007459A4" w:rsidRPr="002A7758">
        <w:rPr>
          <w:rFonts w:ascii="Times New Roman" w:hAnsi="Times New Roman"/>
          <w:lang w:val="pt-BR"/>
        </w:rPr>
        <w:t>amplamente empregado na indústria de alimentos, perfumes e produtos de uso diário</w:t>
      </w:r>
      <w:r w:rsidR="00FB3337" w:rsidRPr="002A7758">
        <w:rPr>
          <w:rFonts w:ascii="Times New Roman" w:hAnsi="Times New Roman"/>
          <w:lang w:val="pt-BR"/>
        </w:rPr>
        <w:t>.</w:t>
      </w:r>
      <w:r w:rsidRPr="00B10F5B">
        <w:rPr>
          <w:rFonts w:ascii="Times New Roman" w:hAnsi="Times New Roman"/>
          <w:lang w:val="pt-BR"/>
        </w:rPr>
        <w:t xml:space="preserve"> </w:t>
      </w:r>
      <w:r w:rsidR="00FB3337">
        <w:rPr>
          <w:rFonts w:ascii="Times New Roman" w:hAnsi="Times New Roman"/>
          <w:lang w:val="pt-BR"/>
        </w:rPr>
        <w:t xml:space="preserve">Pode ser obtida </w:t>
      </w:r>
      <w:r w:rsidR="006B1E04">
        <w:rPr>
          <w:rFonts w:ascii="Times New Roman" w:hAnsi="Times New Roman"/>
          <w:lang w:val="pt-BR"/>
        </w:rPr>
        <w:t>por algumas substâncias, dentre elas o</w:t>
      </w:r>
      <w:r w:rsidRPr="00B10F5B">
        <w:rPr>
          <w:rFonts w:ascii="Times New Roman" w:hAnsi="Times New Roman"/>
          <w:lang w:val="pt-BR"/>
        </w:rPr>
        <w:t xml:space="preserve"> eugenol (4-alil-2-metoxifenol) </w:t>
      </w:r>
      <w:r w:rsidR="006B1E04">
        <w:rPr>
          <w:rFonts w:ascii="Times New Roman" w:hAnsi="Times New Roman"/>
          <w:lang w:val="pt-BR"/>
        </w:rPr>
        <w:t>e</w:t>
      </w:r>
      <w:r w:rsidRPr="00B10F5B">
        <w:rPr>
          <w:rFonts w:ascii="Times New Roman" w:hAnsi="Times New Roman"/>
          <w:lang w:val="pt-BR"/>
        </w:rPr>
        <w:t xml:space="preserve"> </w:t>
      </w:r>
      <w:proofErr w:type="spellStart"/>
      <w:r w:rsidRPr="00B10F5B">
        <w:rPr>
          <w:rFonts w:ascii="Times New Roman" w:hAnsi="Times New Roman"/>
          <w:lang w:val="pt-BR"/>
        </w:rPr>
        <w:t>isoeugenol</w:t>
      </w:r>
      <w:proofErr w:type="spellEnd"/>
      <w:r w:rsidRPr="00B10F5B">
        <w:rPr>
          <w:rFonts w:ascii="Times New Roman" w:hAnsi="Times New Roman"/>
          <w:lang w:val="pt-BR"/>
        </w:rPr>
        <w:t xml:space="preserve"> [2-metoxi-4-(prop-1-en-1-</w:t>
      </w:r>
      <w:proofErr w:type="gramStart"/>
      <w:r w:rsidRPr="00B10F5B">
        <w:rPr>
          <w:rFonts w:ascii="Times New Roman" w:hAnsi="Times New Roman"/>
          <w:lang w:val="pt-BR"/>
        </w:rPr>
        <w:t>il)fenol</w:t>
      </w:r>
      <w:proofErr w:type="gramEnd"/>
      <w:r w:rsidRPr="00DB04E5">
        <w:rPr>
          <w:rFonts w:ascii="Times New Roman" w:hAnsi="Times New Roman"/>
          <w:lang w:val="pt-BR"/>
        </w:rPr>
        <w:t xml:space="preserve">]. </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{"citationItems":[{"id":"ITEM-1","itemData":{"DOI":"10.1016/j.molcata.2012.05.005","ISSN":"13811169","abstract":"Three types of Co-porphyrin complexes differing in their porphyrin-ring substituents and nonionic or cationic structure were intercalated into lithium taeniolite (LiTN) using a simple cation exchange method. All the intercalated catalysts displayed expanded clearance spaces (in the range of 0.30-0.51 nm) compared with that of the parent LiTN (0.24 nm). The catalysts were applied for the oxidative cleavage of isoeugenol to vanillin with molecular oxygen as the sole oxidant, and the reaction proceeded effectively under mild reaction conditions. The highest vanillin selectivity of 72% was obtained with CoTPyP/TN, which had the widest clearance space among the three Co-porphyrin catalysts. These intercalated catalysts showed high stability during oxidation, enabling their recycling for at least three runs. © 2012 Elsevier B.V. All rights reserved.","author":[{"dropping-particle":"","family":"Adilina","given":"Indri Badria","non-dropping-particle":"","parse-names":false,"suffix":""},{"dropping-particle":"","family":"Hara","given":"Takayoshi","non-dropping-particle":"","parse-names":false,"suffix":""},{"dropping-particle":"","family":"Ichikuni","given":"Nobuyuki","non-dropping-particle":"","parse-names":false,"suffix":""},{"dropping-particle":"","family":"Shimazu","given":"Shogo","non-dropping-particle":"","parse-names":false,"suffix":""}],"container-title":"Journal of Molecular Catalysis A: Chemical","id":"ITEM-1","issued":{"date-parts":[["2012"]]},"page":"72-79","publisher":"Elsevier B.V.","title":"Oxidative cleavage of isoeugenol to vanillin under molecular oxygen catalysed by cobalt porphyrin intercalated into lithium taeniolite clay","type":"article-journal","volume":"361-362"},"uris":["http://www.mendeley.com/documents/?uuid=62f43729-6b60-4dc4-9ab6-ef6746351936"]}],"mendeley":{"formattedCitation":"(ADILINA et al., 2012)","plainTextFormattedCitation":"(ADILINA et al., 2012)","previouslyFormattedCitation":"(ADILINA et al., 2012)"},"properties":{"noteIndex":0},"schema":"https://github.com/citation-style-language/schema/raw/master/csl-citation.json"}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1</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00E85848" w:rsidRPr="00E85848">
        <w:rPr>
          <w:lang w:val="pt-BR"/>
        </w:rPr>
        <w:t xml:space="preserve"> </w:t>
      </w:r>
      <w:r w:rsidR="006B1E04">
        <w:rPr>
          <w:lang w:val="pt-BR"/>
        </w:rPr>
        <w:t xml:space="preserve">A </w:t>
      </w:r>
      <w:r w:rsidR="007459A4">
        <w:rPr>
          <w:lang w:val="pt-BR"/>
        </w:rPr>
        <w:t>exploração de vá</w:t>
      </w:r>
      <w:r w:rsidR="006B1E04">
        <w:rPr>
          <w:lang w:val="pt-BR"/>
        </w:rPr>
        <w:t xml:space="preserve">rios sistemas </w:t>
      </w:r>
      <w:r w:rsidR="007459A4">
        <w:rPr>
          <w:lang w:val="pt-BR"/>
        </w:rPr>
        <w:t>catalíticos</w:t>
      </w:r>
      <w:r w:rsidR="006B1E04">
        <w:rPr>
          <w:lang w:val="pt-BR"/>
        </w:rPr>
        <w:t xml:space="preserve"> para transformação do </w:t>
      </w:r>
      <w:proofErr w:type="spellStart"/>
      <w:r w:rsidR="006B1E04">
        <w:rPr>
          <w:lang w:val="pt-BR"/>
        </w:rPr>
        <w:t>isoeugenol</w:t>
      </w:r>
      <w:proofErr w:type="spellEnd"/>
      <w:r w:rsidR="006B1E04">
        <w:rPr>
          <w:lang w:val="pt-BR"/>
        </w:rPr>
        <w:t xml:space="preserve"> em vanilina tem sido </w:t>
      </w:r>
      <w:r w:rsidR="007459A4">
        <w:rPr>
          <w:lang w:val="pt-BR"/>
        </w:rPr>
        <w:t>estudada</w:t>
      </w:r>
      <w:r w:rsidR="00E85848" w:rsidRPr="00E85848">
        <w:rPr>
          <w:rFonts w:ascii="Times New Roman" w:hAnsi="Times New Roman"/>
          <w:lang w:val="pt-BR"/>
        </w:rPr>
        <w:t>.</w:t>
      </w:r>
      <w:r w:rsidR="007459A4">
        <w:rPr>
          <w:rFonts w:ascii="Times New Roman" w:hAnsi="Times New Roman"/>
          <w:lang w:val="pt-BR"/>
        </w:rPr>
        <w:t xml:space="preserve"> </w:t>
      </w:r>
      <w:r w:rsidR="00E85848" w:rsidRPr="00E85848">
        <w:rPr>
          <w:rFonts w:ascii="Times New Roman" w:hAnsi="Times New Roman"/>
          <w:lang w:val="pt-BR"/>
        </w:rPr>
        <w:t>Apesar do progresso feito, ainda é altamente desejável desenvolver novos catalisadores com sítios ativos bem definidos para síntese altamente eficiente de vanilina</w:t>
      </w:r>
      <w:r w:rsidR="009D3809">
        <w:rPr>
          <w:rFonts w:ascii="Times New Roman" w:hAnsi="Times New Roman"/>
          <w:lang w:val="pt-BR"/>
        </w:rPr>
        <w:t xml:space="preserve"> de forma segura e economicamente viável</w:t>
      </w:r>
      <w:r w:rsidR="00E85848" w:rsidRPr="00E85848">
        <w:rPr>
          <w:rFonts w:ascii="Times New Roman" w:hAnsi="Times New Roman"/>
          <w:lang w:val="pt-BR"/>
        </w:rPr>
        <w:t xml:space="preserve"> e </w:t>
      </w:r>
      <w:r w:rsidR="009D3809">
        <w:rPr>
          <w:rFonts w:ascii="Times New Roman" w:hAnsi="Times New Roman"/>
          <w:lang w:val="pt-BR"/>
        </w:rPr>
        <w:t xml:space="preserve">a </w:t>
      </w:r>
      <w:r w:rsidR="00E85848" w:rsidRPr="00E85848">
        <w:rPr>
          <w:rFonts w:ascii="Times New Roman" w:hAnsi="Times New Roman"/>
          <w:lang w:val="pt-BR"/>
        </w:rPr>
        <w:t>compreensão do mecanismo de reação em nível atômico.</w:t>
      </w:r>
      <w:r w:rsidR="00D54DD9">
        <w:rPr>
          <w:rFonts w:ascii="Times New Roman" w:hAnsi="Times New Roman"/>
          <w:lang w:val="pt-BR"/>
        </w:rPr>
        <w:t xml:space="preserve"> (2</w:t>
      </w:r>
      <w:proofErr w:type="gramStart"/>
      <w:r w:rsidR="00D54DD9">
        <w:rPr>
          <w:rFonts w:ascii="Times New Roman" w:hAnsi="Times New Roman"/>
          <w:lang w:val="pt-BR"/>
        </w:rPr>
        <w:t>),</w:t>
      </w:r>
      <w:r w:rsidRPr="00DB04E5">
        <w:rPr>
          <w:rFonts w:ascii="Times New Roman" w:hAnsi="Times New Roman"/>
          <w:lang w:val="pt-BR"/>
        </w:rPr>
        <w:t>portanto</w:t>
      </w:r>
      <w:proofErr w:type="gramEnd"/>
      <w:r w:rsidRPr="00DB04E5">
        <w:rPr>
          <w:rFonts w:ascii="Times New Roman" w:hAnsi="Times New Roman"/>
          <w:lang w:val="pt-BR"/>
        </w:rPr>
        <w:t>, são necessários catalisadores alternativos.</w:t>
      </w:r>
    </w:p>
    <w:p w14:paraId="58960B11" w14:textId="77777777" w:rsidR="00DB04E5" w:rsidRDefault="00B10F5B" w:rsidP="00B10F5B">
      <w:pPr>
        <w:pStyle w:val="TAMainText"/>
        <w:rPr>
          <w:rFonts w:ascii="Times New Roman" w:hAnsi="Times New Roman"/>
          <w:lang w:val="pt-BR"/>
        </w:rPr>
      </w:pPr>
      <w:r w:rsidRPr="00DB04E5">
        <w:rPr>
          <w:rFonts w:ascii="Times New Roman" w:hAnsi="Times New Roman"/>
          <w:lang w:val="pt-BR"/>
        </w:rPr>
        <w:t>Na busca pela produção de uma ampla gama de produtos químicos finos, os óxidos de molibdênio e tungstênio são considerados catalisadores promissores devido às suas propriedades ácidas</w:t>
      </w:r>
      <w:r w:rsidR="00C64260" w:rsidRPr="00DB04E5">
        <w:rPr>
          <w:rFonts w:ascii="Times New Roman" w:hAnsi="Times New Roman"/>
          <w:lang w:val="pt-BR"/>
        </w:rPr>
        <w:t xml:space="preserve"> conforme descrito na literatura </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{"citationItems":[{"id":"ITEM-1","itemData":{"DOI":"10.1007/s12274-010-0025-5","ISSN":"19980000","abstract":"Since Haruta et al. discovered that small gold nanoparticles finely dispersed on certain metal oxide supports can exhibit surprisingly high activity in CO oxidation below room temperature, heterogeneous catalysis by supported gold nanoparticles has attracted tremendous attention. The majority of publications deal with the preparation and characterization of conventional gold catalysts (e. g., Au/TiO2), the use of gold catalysts in various catalytic reactions, as well as elucidation of the nature of the active sites and reaction mechanisms. In this overview, we highlight the development of novel supported gold catalysts from a materials perspective. Examples, mostly from those reported by our group, are given concerning the development of simple gold catalysts with single metal-support interfaces and heterostructured gold catalysts with complicated interfacial structures. Catalysts in the first category include active Au/SiO2 and Au/metal phosphate catalysts, and those in the second category include catalysts prepared by pre-modification of supports before loading gold, by post-modification of supported gold catalysts, or by simultaneous dispersion of gold and an inorganic component onto a support. CO oxidation has generally been employed as a probe reaction to screen the activities of these catalysts. These novel gold catalysts not only provide possibilities for applied catalysis, but also furnish grounds for fundamental research. © 2011 Tsinghua University Press and Springer-Verlag Berlin Heidelberg.","author":[{"dropping-particle":"","family":"Ma","given":"Zhen","non-dropping-particle":"","parse-names":false,"suffix":""},{"dropping-particle":"","family":"Dai","given":"Sheng","non-dropping-particle":"","parse-names":false,"suffix":""}],"container-title":"Nano Research","id":"ITEM-1","issue":"1","issued":{"date-parts":[["2011","10","12"]]},"page":"3-32","publisher":"Tsinghua University Press","title":"Development of novel supported gold catalysts: A materials perspective","type":"article-journal","volume":"4"},"uris":["http://www.mendeley.com/documents/?uuid=5b7a232f-48d5-32a7-861e-06130b39bbfd","http://www.mendeley.com/documents/?uuid=325cfca4-63d4-467b-80d2-132bd19002dd"]}],"mendeley":{"formattedCitation":"(MA; DAI, 2011)","plainTextFormattedCitation":"(MA; DAI, 2011)","previouslyFormattedCitation":"(MA; DAI, 2011)"},"properties":{"noteIndex":0},"schema":"https://github.com/citation-style-language/schema/raw/master/csl-citation.json"}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3</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Pr="00B10F5B">
        <w:rPr>
          <w:rFonts w:ascii="Times New Roman" w:hAnsi="Times New Roman"/>
          <w:lang w:val="pt-BR"/>
        </w:rPr>
        <w:t xml:space="preserve"> Em alguns casos, carvões ativados são usados como suporte para essas espécies catalíticas</w:t>
      </w:r>
      <w:r w:rsidR="00DB04E5">
        <w:rPr>
          <w:rFonts w:ascii="Times New Roman" w:hAnsi="Times New Roman"/>
          <w:lang w:val="pt-BR"/>
        </w:rPr>
        <w:t>.</w:t>
      </w:r>
    </w:p>
    <w:p w14:paraId="0F3365FE" w14:textId="77777777" w:rsidR="00317DC7" w:rsidRPr="0077610A" w:rsidRDefault="00B10F5B" w:rsidP="00317DC7">
      <w:pPr>
        <w:pStyle w:val="P1"/>
        <w:adjustRightInd w:val="0"/>
        <w:snapToGrid w:val="0"/>
        <w:spacing w:line="240" w:lineRule="exact"/>
        <w:ind w:firstLine="204"/>
        <w:rPr>
          <w:rFonts w:ascii="Times New Roman" w:hAnsi="Times New Roman"/>
          <w:sz w:val="20"/>
          <w:szCs w:val="20"/>
          <w:lang w:eastAsia="pt-BR"/>
        </w:rPr>
      </w:pPr>
      <w:r w:rsidRPr="0040670D">
        <w:rPr>
          <w:rFonts w:ascii="Times New Roman" w:hAnsi="Times New Roman"/>
          <w:sz w:val="20"/>
          <w:szCs w:val="20"/>
        </w:rPr>
        <w:t xml:space="preserve">Nos últimos anos, o uso de catalisadores à base de biomassa em processos de transformação química tem se expandido consideravelmente tendo em vista as vantagens relacionadas ao consumo de energia, simplicidade operacional, economia e respeito ao meio ambiente, </w:t>
      </w:r>
      <w:r w:rsidR="00146E2D" w:rsidRPr="0040670D">
        <w:rPr>
          <w:rFonts w:ascii="Times New Roman" w:hAnsi="Times New Roman"/>
          <w:sz w:val="20"/>
          <w:szCs w:val="20"/>
        </w:rPr>
        <w:t xml:space="preserve">conforme descrito na literatura </w:t>
      </w:r>
      <w:r w:rsidR="00317DC7" w:rsidRPr="0040670D">
        <w:rPr>
          <w:rFonts w:ascii="Times New Roman" w:hAnsi="Times New Roman"/>
          <w:sz w:val="20"/>
          <w:szCs w:val="20"/>
          <w:lang w:eastAsia="pt-BR"/>
        </w:rPr>
        <w:t>(</w:t>
      </w:r>
      <w:r w:rsidR="004C1005" w:rsidRPr="0040670D">
        <w:rPr>
          <w:rFonts w:ascii="Times New Roman" w:hAnsi="Times New Roman"/>
          <w:sz w:val="20"/>
          <w:szCs w:val="20"/>
          <w:lang w:eastAsia="pt-BR"/>
        </w:rPr>
        <w:t xml:space="preserve">4) </w:t>
      </w:r>
      <w:r w:rsidRPr="0040670D">
        <w:rPr>
          <w:rFonts w:ascii="Times New Roman" w:hAnsi="Times New Roman"/>
          <w:sz w:val="20"/>
          <w:szCs w:val="20"/>
        </w:rPr>
        <w:t>fazendo com que grande parte da biomassa residual liberada para decomposição natural seja utilizada na produção de catalisado</w:t>
      </w:r>
      <w:r w:rsidR="00317DC7" w:rsidRPr="0040670D">
        <w:rPr>
          <w:rFonts w:ascii="Times New Roman" w:hAnsi="Times New Roman"/>
          <w:sz w:val="20"/>
          <w:szCs w:val="20"/>
        </w:rPr>
        <w:t>res sustentáveis alternativos</w:t>
      </w:r>
      <w:r w:rsidR="007459A4">
        <w:rPr>
          <w:rFonts w:ascii="Times New Roman" w:hAnsi="Times New Roman"/>
          <w:sz w:val="20"/>
          <w:szCs w:val="20"/>
        </w:rPr>
        <w:t xml:space="preserve"> </w:t>
      </w:r>
      <w:r w:rsidR="00E85848" w:rsidRPr="0077610A">
        <w:rPr>
          <w:rFonts w:ascii="Times New Roman" w:hAnsi="Times New Roman"/>
          <w:sz w:val="20"/>
          <w:szCs w:val="20"/>
          <w:lang w:eastAsia="pt-BR"/>
        </w:rPr>
        <w:fldChar w:fldCharType="begin" w:fldLock="1"/>
      </w:r>
      <w:r w:rsidR="00317DC7" w:rsidRPr="0077610A">
        <w:rPr>
          <w:rFonts w:ascii="Times New Roman" w:hAnsi="Times New Roman"/>
          <w:sz w:val="20"/>
          <w:szCs w:val="20"/>
          <w:lang w:eastAsia="pt-BR"/>
        </w:rPr>
        <w:instrText>ADDIN CSL_CITATION {"citationItems":[{"id":"ITEM-1","itemData":{"DOI":"10.1039/d0ra03217d","ISSN":"20462069","abstract":"In the present study, heterogeneous acid catalysts for fatty acid esterification reactions were synthesized using agro-industrial waste from murumuru kernel shells. The waste was carbonized and functionalized with concentrated sulfuric acid under different sulfonation conditions, obtaining the sulfonated biochar. The results indicate that the best sulfonation conditions were obtained with a contact time of 4 h, the temperature of 200 °C, and a solid-acid ratio of 1 : 10 (w/v). The best catalyst was characterized by acid-base titration for the determination of total acid density, X-ray diffraction, scanning electron microscopy, X-ray energy dispersion spectroscopy, Fourier transform infrared spectroscopy and thermal analysis. Reaction conditions of oleic acid with methanol and the viability of catalyst reuse were also investigated. A conversion of 97.2% was achieved under optimum esterification reaction conditions, employing 5% catalyst, 10 : 1 molar ratio of methanol to oleic acid, during 1.5 h at a temperature of 90 °C. After 4 reaction cycles, the catalyst preserved its efficiency at 66.3% conversion. The catalyst activity was evaluated in reactions using palmitic acid, soybean fatty acid distillate, palm fatty acid distillate, and coconut fatty acid distillate. The results demonstrate that the catalyst is applicable and efficient in esterification reactions of raw materials, containing different fatty acid compositions since different carbonized materials have varying abilities to combine acid groups. This work reveals the promising feasibility of using biomass generated in large quantities by the agroindustry for the development of a new heterogeneous acid catalyst for biodiesel production.","author":[{"dropping-particle":"","family":"Corrêa","given":"Ana Paula da Luz","non-dropping-particle":"","parse-names":false,"suffix":""},{"dropping-particle":"","family":"Bastos","given":"Rafael Roberto Cardoso","non-dropping-particle":"","parse-names":false,"suffix":""},{"dropping-particle":"da","family":"Rocha Filho","given":"Geraldo Narciso","non-dropping-particle":"","parse-names":false,"suffix":""},{"dropping-particle":"","family":"Zamian","given":"José Roberto","non-dropping-particle":"","parse-names":false,"suffix":""},{"dropping-particle":"da","family":"Conceição","given":"Leyvison Rafael Vieira","non-dropping-particle":"","parse-names":false,"suffix":""}],"container-title":"RSC Advances","id":"ITEM-1","issue":"34","issued":{"date-parts":[["2020"]]},"page":"20245-20256","title":"Preparation of sulfonated carbon-based catalysts from murumuru kernel shell and their performance in the esterification reaction","type":"article-journal","volume":"10"},"uris":["http://www.mendeley.com/documents/?uuid=f2d511d7-07fd-4199-b77e-c96ad1fee535"]},{"id":"ITEM-2","itemData":{"DOI":"10.1016/j.mcat.2021.112052","author":[{"dropping-particle":"","family":"Costa","given":"Ana","non-dropping-particle":"","parse-names":false,"suffix":""},{"dropping-particle":"","family":"Pires","given":"Luiza","non-dropping-particle":"","parse-names":false,"suffix":""},{"dropping-particle":"","family":"Padrón Rodríguez","given":"Balu","non-dropping-particle":"","parse-names":false,"suffix":""},{"dropping-particle":"","family":"M.","given":"Alina","non-dropping-particle":"","parse-names":false,"suffix":""},{"dropping-particle":"","family":"Rocha Filho","given":"Geraldo","non-dropping-particle":"","parse-names":false,"suffix":""},{"dropping-particle":"","family":"Luque","given":"Rafael","non-dropping-particle":"","parse-names":false,"suffix":""},{"dropping-particle":"","family":"Nascimento","given":"Luís","non-dropping-particle":"","parse-names":false,"suffix":""}],"id":"ITEM-2","issued":{"date-parts":[["2022"]]},"title":"Recent advances on catalytic deoxygenation of residues for bio-oil production : An overview","type":"article-journal","volume":"518"},"uris":["http://www.mendeley.com/documents/?uuid=c0e90df9-6613-47c7-8f5e-2c00e342628d"]},{"id":"ITEM-3","itemData":{"DOI":"10.1016/j.enconman.2019.06.059","ISSN":"01968904","abstract":"Heterogeneous acid catalysts derived from acai stone (Euterpe oleracea Mart.), a large-scale residue biomass, were synthesized by partial carbonization followed by sulfonation within a short preparation time under controllable conditions. Their catalytic activity was tested in the esterification reaction of oleic acid with alcohols, with varying chain-lengths, and with a modified edible oil with high fatty acid content. The sulfonated carbon materials were characterized by X-ray diffraction (XRD), scanning electron microscopy coupled with an EDS system for elemental mapping (SEM-EDS), thermogravimetry (TG), infrared spectroscopy (FT-IR), low-temperature N2 sorption, and X-ray photoelectron spectroscopy (XPS). The reaction conditions and catalyst preparation were systematically investigated with respect to carbonization and sulfonation temperatures, reaction temperature and time, reactants’ molar ratio, catalyst loading, alcohol type, and recyclability. A low carbonization temperature created carbon materials with surface features that favored the anchoring of sulfonic groups, in turn providing desirable sulfonation under mild temperatures. After optimization of the reaction conditions, a yield of 93% was obtained when 5% catalyst loading was used to convert a 1:12 oleic acid to methanol molar ratio at 100 °C for 1 h. Comparatively, the uncatalyzed reaction yielded only 11% conversion. The sulfonated carbon catalyst was tested in the esterification of soybean oil that was modified with 20% oleic acid to reduce the quality of feedstock and simulate harsh conditions; the catalyzed reaction showed yields up to 80%. Moreover, the synthesized catalyst was stable for up to three reaction cycles, displaying a decrease in efficiency of only 8%. This study shows promising results for obtaining sulfonated carbon catalysts from acai stone biomass, thereby potentially solving one of the major environmental problems in the Amazon region and providing a sustainable alternative for fuel production.","author":[{"dropping-particle":"","family":"Araujo","given":"Rayanne O.","non-dropping-particle":"","parse-names":false,"suffix":""},{"dropping-particle":"","family":"Chaar","given":"Jamal da Silva","non-dropping-particle":"","parse-names":false,"suffix":""},{"dropping-particle":"","family":"Queiroz","given":"Leandro Santos","non-dropping-particle":"","parse-names":false,"suffix":""},{"dropping-particle":"","family":"Rocha Filho","given":"Geraldo Narciso","non-dropping-particle":"da","parse-names":false,"suffix":""},{"dropping-particle":"","family":"Costa","given":"Carlos Emmerson Ferreira","non-dropping-particle":"da","parse-names":false,"suffix":""},{"dropping-particle":"","family":"Silva","given":"Graziela C.T.","non-dropping-particle":"da","parse-names":false,"suffix":""},{"dropping-particle":"","family":"Landers","given":"Richard","non-dropping-particle":"","parse-names":false,"suffix":""},{"dropping-particle":"","family":"Costa","given":"Maria J.F.","non-dropping-particle":"","parse-names":false,"suffix":""},{"dropping-particle":"","family":"Gonçalves","given":"Alexandre A.S.","non-dropping-particle":"","parse-names":false,"suffix":""},{"dropping-particle":"","family":"Souza","given":"Luiz K.C.","non-dropping-particle":"de","parse-names":false,"suffix":""}],"container-title":"Energy Conversion and Management","id":"ITEM-3","issue":"April","issued":{"date-parts":[["2019"]]},"page":"821-830","publisher":"Elsevier","title":"Low temperature sulfonation of acai stone biomass derived carbons as acid catalysts for esterification reactions","type":"article-journal","volume":"196"},"uris":["http://www.mendeley.com/documents/?uuid=494c9ac9-d672-4551-987f-113485d7abbf"]},{"id":"ITEM-4","itemData":{"DOI":"10.1016/j.enconman.2019.112457","ISSN":"01968904","abstract":"Murumuru kernel shell, an agro-industrial waste, was used as the precursor biomass in the synthesis of an acid biochar that was employed as a catalyst in the production of biodiesel originated from jupati oil. The response-surface methodology was based on a 23 central composite design and it was used to obtain the best reaction conditions. The catalyst was synthesized from the carbonization of murumuru kernel shell, followed by sulfonation in concentrated sulfuric acid. It was characterized by an acid-base titration in order to determine total acid density, X-ray diffraction (XRD), scanning electron microscopy (SEM), energy-dispersive X-ray spectroscopy (EDS), fourier transform infrared (FT-IR) spectroscopy, and thermogravimetric analysis (TG). The best reaction conditions obtained in the optimization of temperature, catalyst concentration, and methanol/oil molar ratio in jupati biodiesel production were 135 °C, 6% and 30:1, respectively. It also reached an ester content of 91.8%. The chlorophyll present in jupati oil negatively influenced catalyst reuse because this bioactive deactivated the catalyst studied. This issue was solved by using an adsorbent from murumuru kernel shell to remove the chlorophyll, achieving a removal rate of 92.5%. Thus, proposing the acid solid from the murumuru kernel shell as a bifunctional material in the removal of chlorophyll from vegetable oils and acid catalysis for biodiesel production. Reusing the catalyst with purified jupati oil maintained the catalytic activity around 80% of ester content until the fourth reaction cycle. The progressive loss was little in the catalytic activity due to the leaching of acid sites. The reusing and ester content results found in this study showed the viability of using the agro-industrial waste of murumuru kernel shell as a precursor for the sustainable production of an efficient sulfonated-carbon catalyst for biodiesel production.","author":[{"dropping-particle":"","family":"Bastos","given":"Rafael Roberto Cardoso","non-dropping-particle":"","parse-names":false,"suffix":""},{"dropping-particle":"","family":"Luz Corrêa","given":"Ana Paula","non-dropping-particle":"da","parse-names":false,"suffix":""},{"dropping-particle":"","family":"Luz","given":"Patrícia Teresa Souza","non-dropping-particle":"da","parse-names":false,"suffix":""},{"dropping-particle":"","family":"Rocha Filho","given":"Geraldo Narciso","non-dropping-particle":"da","parse-names":false,"suffix":""},{"dropping-particle":"","family":"Zamian","given":"José Roberto","non-dropping-particle":"","parse-names":false,"suffix":""},{"dropping-particle":"","family":"Conceição","given":"Leyvison Rafael Vieira","non-dropping-particle":"da","parse-names":false,"suffix":""}],"container-title":"Energy Conversion and Management","id":"ITEM-4","issue":"October 2019","issued":{"date-parts":[["2020"]]},"page":"112457","publisher":"Elsevier","title":"Optimization of biodiesel production using sulfonated carbon-based catalyst from an amazon agro-industrial waste","type":"article-journal","volume":"205"},"uris":["http://www.mendeley.com/documents/?uuid=00a56157-5cf7-4ada-ab48-216f89fea963"]},{"id":"ITEM-5","itemData":{"DOI":"10.1016/j.fuel.2021.120887","ISSN":"00162361","abstract":"In the present study, the catalytic activity of acai seed ash (ASA) was investigated for the synthesis of biodiesel from the methyl transesterification of soybean oil. Acai seeds were calcined at different temperatures (500–900 °C) and times (2–5 h) to determine the best catalyst synthesis conditions. The catalyst obtained by calcination at 800 °C for 4 h was characterized by thermogravimetric analysis (TG-DTG), X-ray diffraction (XRD), Fourier-transform infrared spectroscopy (FT-IR), scanning electron microscopy (SEM), energy dispersion X-ray spectroscopy (EDS), and alkalinity. Subsequently, response surface methodology based on a face-centered composite design (FCCD 24) was applied to examine the best conditions to conduct the transesterification reaction. The optimal conditions were: temperature of 100 °C, molar ratio alcohol:oil of 18:1, catalyst concentration of 12.0% (w/w), and reaction time of 1 h, yielding biodiesel with an ester content of 98.5 ± 0.21%. The catalyst characterization showed that its catalytic activity is due to the high metal oxide content and carbonates with basic surface sites, making them highly efficient towards biodiesel production. The reuse of the catalyst showed that its catalytic activity resulted in an ester content above 92.5% in the first two reaction cycles. After the regeneration process, the catalyst yielded biodiesel with an ester content above 80.0% during four more reaction cycles. The production of a catalyst from acai seeds has several advantages, namely being obtained from widely available biomass waste, being low cost, and being easily synthesized, making it a sustainable and efficient catalyst for biodiesel production.","author":[{"dropping-particle":"","family":"Mares","given":"Erica Karine Lourenço","non-dropping-particle":"","parse-names":false,"suffix":""},{"dropping-particle":"","family":"Gonçalves","given":"Matheus Arrais","non-dropping-particle":"","parse-names":false,"suffix":""},{"dropping-particle":"","family":"Luz","given":"Patrícia Teresa Souza","non-dropping-particle":"da","parse-names":false,"suffix":""},{"dropping-particle":"","family":"Rocha Filho","given":"Geraldo Narciso","non-dropping-particle":"da","parse-names":false,"suffix":""},{"dropping-particle":"","family":"Zamian","given":"José Roberto","non-dropping-particle":"","parse-names":false,"suffix":""},{"dropping-particle":"","family":"Conceição","given":"Leyvison Rafael Vieira","non-dropping-particle":"da","parse-names":false,"suffix":""}],"container-title":"Fuel","id":"ITEM-5","issue":"December 2020","issued":{"date-parts":[["2021"]]},"title":"Acai seed ash as a novel basic heterogeneous catalyst for biodiesel synthesis: Optimization of the biodiesel production process","type":"article-journal","volume":"299"},"uris":["http://www.mendeley.com/documents/?uuid=5184fb22-73dc-4608-b26f-22fd1851f6de"]}],"mendeley":{"formattedCitation":"(ARAUJO et al., 2019; BASTOS et al., 2020; CORRÊA et al., 2020; COSTA et al., 2022a; MARES et al., 2021)","plainTextFormattedCitation":"(ARAUJO et al., 2019; BASTOS et al., 2020; CORRÊA et al., 2020; COSTA et al., 2022a; MARES et al., 2021)","previouslyFormattedCitation":"(ARAUJO et al., 2019; BASTOS et al., 2020; CORRÊA et al., 2020; COSTA et al., 2022a; MARES et al., 2021)"},"properties":{"noteIndex":0},"schema":"https://github.com/citation-style-language/schema/raw/master/csl-citation.json"}</w:instrText>
      </w:r>
      <w:r w:rsidR="00E85848" w:rsidRPr="0077610A">
        <w:rPr>
          <w:rFonts w:ascii="Times New Roman" w:hAnsi="Times New Roman"/>
          <w:sz w:val="20"/>
          <w:szCs w:val="20"/>
          <w:lang w:eastAsia="pt-BR"/>
        </w:rPr>
        <w:fldChar w:fldCharType="separate"/>
      </w:r>
      <w:r w:rsidR="00317DC7" w:rsidRPr="0077610A">
        <w:rPr>
          <w:rFonts w:ascii="Times New Roman" w:hAnsi="Times New Roman"/>
          <w:noProof/>
          <w:sz w:val="20"/>
          <w:szCs w:val="20"/>
          <w:lang w:eastAsia="pt-BR"/>
        </w:rPr>
        <w:t>(</w:t>
      </w:r>
      <w:r w:rsidR="004C1005">
        <w:rPr>
          <w:rFonts w:ascii="Times New Roman" w:hAnsi="Times New Roman"/>
          <w:noProof/>
          <w:sz w:val="20"/>
          <w:szCs w:val="20"/>
          <w:lang w:eastAsia="pt-BR"/>
        </w:rPr>
        <w:t>5-9</w:t>
      </w:r>
      <w:r w:rsidR="00317DC7" w:rsidRPr="0077610A">
        <w:rPr>
          <w:rFonts w:ascii="Times New Roman" w:hAnsi="Times New Roman"/>
          <w:noProof/>
          <w:sz w:val="20"/>
          <w:szCs w:val="20"/>
          <w:lang w:eastAsia="pt-BR"/>
        </w:rPr>
        <w:t>)</w:t>
      </w:r>
      <w:r w:rsidR="00E85848" w:rsidRPr="0077610A">
        <w:rPr>
          <w:rFonts w:ascii="Times New Roman" w:hAnsi="Times New Roman"/>
          <w:sz w:val="20"/>
          <w:szCs w:val="20"/>
          <w:lang w:eastAsia="pt-BR"/>
        </w:rPr>
        <w:fldChar w:fldCharType="end"/>
      </w:r>
      <w:r w:rsidR="007459A4">
        <w:rPr>
          <w:rFonts w:ascii="Times New Roman" w:hAnsi="Times New Roman"/>
          <w:sz w:val="20"/>
          <w:szCs w:val="20"/>
          <w:lang w:eastAsia="pt-BR"/>
        </w:rPr>
        <w:t>.</w:t>
      </w:r>
    </w:p>
    <w:p w14:paraId="41DC7A72" w14:textId="77777777" w:rsidR="00B10F5B" w:rsidRDefault="00B10F5B" w:rsidP="00D54DD9">
      <w:pPr>
        <w:pStyle w:val="TAMainText"/>
        <w:rPr>
          <w:rFonts w:ascii="Times New Roman" w:hAnsi="Times New Roman"/>
          <w:lang w:val="pt-BR"/>
        </w:rPr>
      </w:pPr>
      <w:r w:rsidRPr="00B10F5B">
        <w:rPr>
          <w:rFonts w:ascii="Times New Roman" w:hAnsi="Times New Roman"/>
          <w:lang w:val="pt-BR"/>
        </w:rPr>
        <w:t>A exploração da castanha-do-</w:t>
      </w:r>
      <w:r w:rsidR="007459A4">
        <w:rPr>
          <w:rFonts w:ascii="Times New Roman" w:hAnsi="Times New Roman"/>
          <w:lang w:val="pt-BR"/>
        </w:rPr>
        <w:t>pará</w:t>
      </w:r>
      <w:r w:rsidRPr="00B10F5B">
        <w:rPr>
          <w:rFonts w:ascii="Times New Roman" w:hAnsi="Times New Roman"/>
          <w:lang w:val="pt-BR"/>
        </w:rPr>
        <w:t xml:space="preserve"> é uma das principais atividades econômicas da região amazônica. Essa atividade sustenta milhares de extrativistas e toda uma oligarquia pelo seu valor. </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10.1186/s13065-015-0114-3","ISSN":"1752-153X","author":[{"dropping-particle":"","family":"Melo","given":"Santos","non-dropping-particle":"","parse-names":false,"suffix":""},{"dropping-particle":"","family":"Estevão","given":"Joel","non-dropping-particle":"","parse-names":false,"suffix":""},{"dropping-particle":"","family":"Diniz","given":"De Melo","non-dropping-particle":"","parse-names":false,"suffix":""},{"dropping-particle":"","family":"Guimarães","given":"Jonilson Heslei","non-dropping-particle":"","parse-names":false,"suffix":""},{"dropping-particle":"","family":"Costa","given":"Silva","non-dropping-particle":"","parse-names":false,"suffix":""},{"dropping-particle":"","family":"Barros","given":"Socorro","non-dropping-particle":"","parse-names":false,"suffix":""},{"dropping-particle":"","family":"Simone","given":"Sílvia","non-dropping-particle":"","parse-names":false,"suffix":""},{"dropping-particle":"","family":"Brito","given":"Daímio Chaves","non-dropping-particle":"","parse-names":false,"suffix":""}],"container-title":"Chemistry Central Journal","id":"ITEM-1","issued":{"date-parts":[["2015"]]},"page":"1-9","publisher":"Chemistry Central Journal","title":"Production and characterization of absorbent heat from the bark of residual Brazil nut bark ( Bertholletia Excelsa l . )","type":"article-journal"},"uris":["http://www.mendeley.com/documents/?uuid=46e7620e-db79-4d5a-8f98-a6033c1e53fe","http://www.mendeley.com/documents/?uuid=4598227f-8ddd-4c07-a8a3-13bdde22b79e"]}],"mendeley":{"formattedCitation":"(MELO et al., 2015)","plainTextFormattedCitation":"(MELO et al., 2015)","previouslyFormattedCitation":"(MELO et al., 2015)"},"properties":{"noteIndex":0},"schema":"https://github.com/citation-style-language/schema/raw/master/csl-citation.json"}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(1</w:t>
      </w:r>
      <w:r w:rsidR="004C1005">
        <w:rPr>
          <w:rFonts w:ascii="Times New Roman" w:hAnsi="Times New Roman"/>
          <w:noProof/>
          <w:lang w:val="pt-BR"/>
        </w:rPr>
        <w:t>0</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Pr="00DB04E5">
        <w:rPr>
          <w:rFonts w:ascii="Times New Roman" w:hAnsi="Times New Roman"/>
          <w:lang w:val="pt-BR"/>
        </w:rPr>
        <w:t>Portanto, o aproveitamento dos resíduos da castanha-do-</w:t>
      </w:r>
      <w:r w:rsidR="007459A4">
        <w:rPr>
          <w:rFonts w:ascii="Times New Roman" w:hAnsi="Times New Roman"/>
          <w:lang w:val="pt-BR"/>
        </w:rPr>
        <w:t>pará</w:t>
      </w:r>
      <w:r w:rsidRPr="00DB04E5">
        <w:rPr>
          <w:rFonts w:ascii="Times New Roman" w:hAnsi="Times New Roman"/>
          <w:lang w:val="pt-BR"/>
        </w:rPr>
        <w:t xml:space="preserve"> para a produção de </w:t>
      </w:r>
      <w:proofErr w:type="spellStart"/>
      <w:r w:rsidRPr="00DB04E5">
        <w:rPr>
          <w:rFonts w:ascii="Times New Roman" w:hAnsi="Times New Roman"/>
          <w:lang w:val="pt-BR"/>
        </w:rPr>
        <w:t>biocarvão</w:t>
      </w:r>
      <w:proofErr w:type="spellEnd"/>
      <w:r w:rsidRPr="00DB04E5">
        <w:rPr>
          <w:rFonts w:ascii="Times New Roman" w:hAnsi="Times New Roman"/>
          <w:lang w:val="pt-BR"/>
        </w:rPr>
        <w:t xml:space="preserve"> pode agregar valor </w:t>
      </w:r>
      <w:r w:rsidR="001D37FC">
        <w:rPr>
          <w:rFonts w:ascii="Times New Roman" w:hAnsi="Times New Roman"/>
          <w:lang w:val="pt-BR"/>
        </w:rPr>
        <w:t xml:space="preserve">ao </w:t>
      </w:r>
      <w:r w:rsidRPr="00DB04E5">
        <w:rPr>
          <w:rFonts w:ascii="Times New Roman" w:hAnsi="Times New Roman"/>
          <w:lang w:val="pt-BR"/>
        </w:rPr>
        <w:t xml:space="preserve">material descartado de forma inadequada no meio ambiente. </w:t>
      </w:r>
    </w:p>
    <w:p w14:paraId="42523198"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6456750" w14:textId="77777777" w:rsidR="00B10F5B" w:rsidRPr="00B10F5B" w:rsidRDefault="00B10F5B" w:rsidP="00B10F5B">
      <w:pPr>
        <w:pStyle w:val="TAMainText"/>
        <w:rPr>
          <w:rFonts w:ascii="Times New Roman" w:hAnsi="Times New Roman"/>
          <w:lang w:val="pt-BR"/>
        </w:rPr>
      </w:pPr>
      <w:r w:rsidRPr="00B10F5B">
        <w:rPr>
          <w:rFonts w:ascii="Times New Roman" w:hAnsi="Times New Roman"/>
          <w:lang w:val="pt-BR"/>
        </w:rPr>
        <w:t xml:space="preserve">As cascas da castanha-do-pará foram lavadas em água corrente e secas em estufa a 80°C por 8 horas. Em seguida, foram moídos em moinho de facas, passados por peneiras de 1 mm e calcinados em forno tubular nas seguintes condições: 600°C por 30 min a uma </w:t>
      </w:r>
      <w:r w:rsidR="001D37FC">
        <w:rPr>
          <w:rFonts w:ascii="Times New Roman" w:hAnsi="Times New Roman"/>
          <w:lang w:val="pt-BR"/>
        </w:rPr>
        <w:t xml:space="preserve">taxa de aquecimento de 10°C min </w:t>
      </w:r>
      <w:r w:rsidR="001D37FC" w:rsidRPr="001D37FC">
        <w:rPr>
          <w:rFonts w:ascii="Times New Roman" w:hAnsi="Times New Roman"/>
          <w:vertAlign w:val="superscript"/>
          <w:lang w:val="pt-BR"/>
        </w:rPr>
        <w:t>-</w:t>
      </w:r>
      <w:r w:rsidRPr="001D37FC">
        <w:rPr>
          <w:rFonts w:ascii="Times New Roman" w:hAnsi="Times New Roman"/>
          <w:vertAlign w:val="superscript"/>
          <w:lang w:val="pt-BR"/>
        </w:rPr>
        <w:t>1</w:t>
      </w:r>
      <w:r w:rsidRPr="00B10F5B">
        <w:rPr>
          <w:rFonts w:ascii="Times New Roman" w:hAnsi="Times New Roman"/>
          <w:lang w:val="pt-BR"/>
        </w:rPr>
        <w:t xml:space="preserve"> e 50 </w:t>
      </w:r>
      <w:proofErr w:type="spellStart"/>
      <w:r w:rsidRPr="00B10F5B">
        <w:rPr>
          <w:rFonts w:ascii="Times New Roman" w:hAnsi="Times New Roman"/>
          <w:lang w:val="pt-BR"/>
        </w:rPr>
        <w:t>mL</w:t>
      </w:r>
      <w:proofErr w:type="spellEnd"/>
      <w:r w:rsidRPr="00B10F5B">
        <w:rPr>
          <w:rFonts w:ascii="Times New Roman" w:hAnsi="Times New Roman"/>
          <w:lang w:val="pt-BR"/>
        </w:rPr>
        <w:t xml:space="preserve"> min </w:t>
      </w:r>
      <w:r w:rsidRPr="001D37FC">
        <w:rPr>
          <w:rFonts w:ascii="Times New Roman" w:hAnsi="Times New Roman"/>
          <w:vertAlign w:val="superscript"/>
          <w:lang w:val="pt-BR"/>
        </w:rPr>
        <w:t>- 1</w:t>
      </w:r>
      <w:r w:rsidRPr="00B10F5B">
        <w:rPr>
          <w:rFonts w:ascii="Times New Roman" w:hAnsi="Times New Roman"/>
          <w:lang w:val="pt-BR"/>
        </w:rPr>
        <w:t xml:space="preserve"> de Fluxo de N</w:t>
      </w:r>
      <w:r w:rsidR="0040670D" w:rsidRPr="001D37FC">
        <w:rPr>
          <w:rFonts w:ascii="Times New Roman" w:hAnsi="Times New Roman"/>
          <w:vertAlign w:val="subscript"/>
          <w:lang w:val="pt-BR"/>
        </w:rPr>
        <w:t>2</w:t>
      </w:r>
      <w:r w:rsidR="0040670D">
        <w:rPr>
          <w:rFonts w:ascii="Times New Roman" w:hAnsi="Times New Roman"/>
          <w:lang w:val="pt-BR"/>
        </w:rPr>
        <w:t>,</w:t>
      </w:r>
      <w:r w:rsidR="00DD2083">
        <w:rPr>
          <w:rFonts w:ascii="Times New Roman" w:hAnsi="Times New Roman"/>
          <w:lang w:val="pt-BR"/>
        </w:rPr>
        <w:t xml:space="preserve"> </w:t>
      </w:r>
      <w:r w:rsidR="00146E2D" w:rsidRPr="001D37FC">
        <w:rPr>
          <w:rFonts w:ascii="Times New Roman" w:hAnsi="Times New Roman"/>
          <w:lang w:val="pt-BR"/>
        </w:rPr>
        <w:t>conform</w:t>
      </w:r>
      <w:r w:rsidR="001D37FC">
        <w:rPr>
          <w:rFonts w:ascii="Times New Roman" w:hAnsi="Times New Roman"/>
          <w:lang w:val="pt-BR"/>
        </w:rPr>
        <w:t xml:space="preserve">e descrito na </w:t>
      </w:r>
      <w:proofErr w:type="gramStart"/>
      <w:r w:rsidR="001D37FC">
        <w:rPr>
          <w:rFonts w:ascii="Times New Roman" w:hAnsi="Times New Roman"/>
          <w:lang w:val="pt-BR"/>
        </w:rPr>
        <w:t>literatura</w:t>
      </w:r>
      <w:r w:rsidR="00317DC7" w:rsidRPr="0077610A">
        <w:rPr>
          <w:rFonts w:ascii="Times New Roman" w:hAnsi="Times New Roman"/>
          <w:noProof/>
          <w:lang w:val="pt-BR"/>
        </w:rPr>
        <w:t>(</w:t>
      </w:r>
      <w:proofErr w:type="gramEnd"/>
      <w:r w:rsidR="004C1005">
        <w:rPr>
          <w:rFonts w:ascii="Times New Roman" w:hAnsi="Times New Roman"/>
          <w:noProof/>
          <w:lang w:val="pt-BR"/>
        </w:rPr>
        <w:t>11</w:t>
      </w:r>
      <w:r w:rsidR="00317DC7" w:rsidRPr="0077610A">
        <w:rPr>
          <w:rFonts w:ascii="Times New Roman" w:hAnsi="Times New Roman"/>
          <w:noProof/>
          <w:lang w:val="pt-BR"/>
        </w:rPr>
        <w:t>)</w:t>
      </w:r>
      <w:r w:rsidR="0040670D">
        <w:rPr>
          <w:rFonts w:ascii="Times New Roman" w:hAnsi="Times New Roman"/>
          <w:noProof/>
          <w:lang w:val="pt-BR"/>
        </w:rPr>
        <w:t>.</w:t>
      </w:r>
      <w:r w:rsidR="00DD2083">
        <w:rPr>
          <w:rFonts w:ascii="Times New Roman" w:hAnsi="Times New Roman"/>
          <w:noProof/>
          <w:lang w:val="pt-BR"/>
        </w:rPr>
        <w:t xml:space="preserve"> </w:t>
      </w:r>
      <w:r w:rsidRPr="00B10F5B">
        <w:rPr>
          <w:rFonts w:ascii="Times New Roman" w:hAnsi="Times New Roman"/>
          <w:lang w:val="pt-BR"/>
        </w:rPr>
        <w:t xml:space="preserve">Primeiramente, 1 g de </w:t>
      </w:r>
      <w:proofErr w:type="spellStart"/>
      <w:r w:rsidR="00E26F88">
        <w:rPr>
          <w:rFonts w:ascii="Times New Roman" w:hAnsi="Times New Roman"/>
          <w:lang w:val="pt-BR"/>
        </w:rPr>
        <w:t>biocarvão</w:t>
      </w:r>
      <w:proofErr w:type="spellEnd"/>
      <w:r w:rsidRPr="00B10F5B">
        <w:rPr>
          <w:rFonts w:ascii="Times New Roman" w:hAnsi="Times New Roman"/>
          <w:lang w:val="pt-BR"/>
        </w:rPr>
        <w:t xml:space="preserve"> (suporte) foi adicionado a um béquer, seguido da adição de 50 </w:t>
      </w:r>
      <w:proofErr w:type="spellStart"/>
      <w:r w:rsidRPr="00B10F5B">
        <w:rPr>
          <w:rFonts w:ascii="Times New Roman" w:hAnsi="Times New Roman"/>
          <w:lang w:val="pt-BR"/>
        </w:rPr>
        <w:t>mL</w:t>
      </w:r>
      <w:proofErr w:type="spellEnd"/>
      <w:r w:rsidRPr="00B10F5B">
        <w:rPr>
          <w:rFonts w:ascii="Times New Roman" w:hAnsi="Times New Roman"/>
          <w:lang w:val="pt-BR"/>
        </w:rPr>
        <w:t xml:space="preserve"> de água destilada. O béquer foi colocado em banho ultrassônico por 2 h. Ao final desse tempo, foi adicionado 0,56 g de ácido 12-fosfotungstico, equivalente a 30% em </w:t>
      </w:r>
      <w:r w:rsidRPr="00B10F5B">
        <w:rPr>
          <w:rFonts w:ascii="Times New Roman" w:hAnsi="Times New Roman"/>
          <w:lang w:val="pt-BR"/>
        </w:rPr>
        <w:lastRenderedPageBreak/>
        <w:t>massa de tungstênio</w:t>
      </w:r>
      <w:r w:rsidR="00146E2D" w:rsidRPr="001D37FC">
        <w:rPr>
          <w:rFonts w:ascii="Times New Roman" w:hAnsi="Times New Roman"/>
          <w:lang w:val="pt-BR"/>
        </w:rPr>
        <w:t xml:space="preserve"> </w:t>
      </w:r>
      <w:r w:rsidR="00317DC7" w:rsidRPr="0077610A">
        <w:rPr>
          <w:rFonts w:ascii="Times New Roman" w:hAnsi="Times New Roman"/>
          <w:noProof/>
          <w:lang w:val="pt-BR"/>
        </w:rPr>
        <w:t>(</w:t>
      </w:r>
      <w:r w:rsidR="004C1005">
        <w:rPr>
          <w:rFonts w:ascii="Times New Roman" w:hAnsi="Times New Roman"/>
          <w:noProof/>
          <w:lang w:val="pt-BR"/>
        </w:rPr>
        <w:t>12</w:t>
      </w:r>
      <w:r w:rsidR="00317DC7" w:rsidRPr="0077610A">
        <w:rPr>
          <w:rFonts w:ascii="Times New Roman" w:hAnsi="Times New Roman"/>
          <w:noProof/>
          <w:lang w:val="pt-BR"/>
        </w:rPr>
        <w:t>)</w:t>
      </w:r>
      <w:r w:rsidR="009D3809">
        <w:rPr>
          <w:rFonts w:ascii="Times New Roman" w:hAnsi="Times New Roman"/>
          <w:noProof/>
          <w:lang w:val="pt-BR"/>
        </w:rPr>
        <w:t xml:space="preserve"> </w:t>
      </w:r>
      <w:r w:rsidRPr="00B10F5B">
        <w:rPr>
          <w:rFonts w:ascii="Times New Roman" w:hAnsi="Times New Roman"/>
          <w:lang w:val="pt-BR"/>
        </w:rPr>
        <w:t>e o conteúdo foi agitado por 1 h. A solução foi seca em estufa a 110°C por 12</w:t>
      </w:r>
      <w:r w:rsidR="009D3809">
        <w:rPr>
          <w:rFonts w:ascii="Times New Roman" w:hAnsi="Times New Roman"/>
          <w:lang w:val="pt-BR"/>
        </w:rPr>
        <w:t xml:space="preserve"> </w:t>
      </w:r>
      <w:r w:rsidRPr="00B10F5B">
        <w:rPr>
          <w:rFonts w:ascii="Times New Roman" w:hAnsi="Times New Roman"/>
          <w:lang w:val="pt-BR"/>
        </w:rPr>
        <w:t>h e calcinada em mufla a 200</w:t>
      </w:r>
      <w:r w:rsidR="009D3809">
        <w:rPr>
          <w:rFonts w:ascii="Times New Roman" w:hAnsi="Times New Roman"/>
          <w:lang w:val="pt-BR"/>
        </w:rPr>
        <w:t xml:space="preserve"> </w:t>
      </w:r>
      <w:r w:rsidRPr="00B10F5B">
        <w:rPr>
          <w:rFonts w:ascii="Times New Roman" w:hAnsi="Times New Roman"/>
          <w:lang w:val="pt-BR"/>
        </w:rPr>
        <w:t xml:space="preserve">°C por 2h. A amostra obtida foi designada como 30HPW/ </w:t>
      </w:r>
      <w:proofErr w:type="gramStart"/>
      <w:r w:rsidRPr="00B10F5B">
        <w:rPr>
          <w:rFonts w:ascii="Times New Roman" w:hAnsi="Times New Roman"/>
          <w:lang w:val="pt-BR"/>
        </w:rPr>
        <w:t>CC( 200</w:t>
      </w:r>
      <w:proofErr w:type="gramEnd"/>
      <w:r w:rsidRPr="00B10F5B">
        <w:rPr>
          <w:rFonts w:ascii="Times New Roman" w:hAnsi="Times New Roman"/>
          <w:lang w:val="pt-BR"/>
        </w:rPr>
        <w:t>-2).</w:t>
      </w:r>
    </w:p>
    <w:p w14:paraId="0F9952C3" w14:textId="77777777" w:rsidR="00B10F5B" w:rsidRDefault="00B10F5B" w:rsidP="00B10F5B">
      <w:pPr>
        <w:pStyle w:val="TAMainText"/>
        <w:rPr>
          <w:rFonts w:ascii="Times New Roman" w:hAnsi="Times New Roman"/>
          <w:lang w:val="pt-BR"/>
        </w:rPr>
      </w:pPr>
      <w:proofErr w:type="spellStart"/>
      <w:r w:rsidRPr="00B10F5B">
        <w:rPr>
          <w:rFonts w:ascii="Times New Roman" w:hAnsi="Times New Roman"/>
          <w:lang w:val="pt-BR"/>
        </w:rPr>
        <w:t>Isoeugenol</w:t>
      </w:r>
      <w:proofErr w:type="spellEnd"/>
      <w:r w:rsidRPr="00B10F5B">
        <w:rPr>
          <w:rFonts w:ascii="Times New Roman" w:hAnsi="Times New Roman"/>
          <w:lang w:val="pt-BR"/>
        </w:rPr>
        <w:t xml:space="preserve"> (0,8 </w:t>
      </w:r>
      <w:proofErr w:type="spellStart"/>
      <w:r w:rsidRPr="00B10F5B">
        <w:rPr>
          <w:rFonts w:ascii="Times New Roman" w:hAnsi="Times New Roman"/>
          <w:lang w:val="pt-BR"/>
        </w:rPr>
        <w:t>mL</w:t>
      </w:r>
      <w:proofErr w:type="spellEnd"/>
      <w:r w:rsidRPr="00B10F5B">
        <w:rPr>
          <w:rFonts w:ascii="Times New Roman" w:hAnsi="Times New Roman"/>
          <w:lang w:val="pt-BR"/>
        </w:rPr>
        <w:t>), H</w:t>
      </w:r>
      <w:r w:rsidRPr="001D37FC">
        <w:rPr>
          <w:rFonts w:ascii="Times New Roman" w:hAnsi="Times New Roman"/>
          <w:vertAlign w:val="subscript"/>
          <w:lang w:val="pt-BR"/>
        </w:rPr>
        <w:t>2</w:t>
      </w:r>
      <w:r w:rsidRPr="00B10F5B">
        <w:rPr>
          <w:rFonts w:ascii="Times New Roman" w:hAnsi="Times New Roman"/>
          <w:lang w:val="pt-BR"/>
        </w:rPr>
        <w:t>O</w:t>
      </w:r>
      <w:r w:rsidRPr="001D37FC">
        <w:rPr>
          <w:rFonts w:ascii="Times New Roman" w:hAnsi="Times New Roman"/>
          <w:vertAlign w:val="subscript"/>
          <w:lang w:val="pt-BR"/>
        </w:rPr>
        <w:t>2</w:t>
      </w:r>
      <w:r w:rsidRPr="00B10F5B">
        <w:rPr>
          <w:rFonts w:ascii="Times New Roman" w:hAnsi="Times New Roman"/>
          <w:lang w:val="pt-BR"/>
        </w:rPr>
        <w:t xml:space="preserve"> (proporção 1:10), </w:t>
      </w:r>
      <w:proofErr w:type="spellStart"/>
      <w:r w:rsidRPr="00B10F5B">
        <w:rPr>
          <w:rFonts w:ascii="Times New Roman" w:hAnsi="Times New Roman"/>
          <w:lang w:val="pt-BR"/>
        </w:rPr>
        <w:t>acetonitrila</w:t>
      </w:r>
      <w:proofErr w:type="spellEnd"/>
      <w:r w:rsidRPr="00B10F5B">
        <w:rPr>
          <w:rFonts w:ascii="Times New Roman" w:hAnsi="Times New Roman"/>
          <w:lang w:val="pt-BR"/>
        </w:rPr>
        <w:t xml:space="preserve"> (proporção 1:32) e 6</w:t>
      </w:r>
      <w:r w:rsidR="009D3809">
        <w:rPr>
          <w:rFonts w:ascii="Times New Roman" w:hAnsi="Times New Roman"/>
          <w:lang w:val="pt-BR"/>
        </w:rPr>
        <w:t xml:space="preserve"> </w:t>
      </w:r>
      <w:r w:rsidRPr="00B10F5B">
        <w:rPr>
          <w:rFonts w:ascii="Times New Roman" w:hAnsi="Times New Roman"/>
          <w:lang w:val="pt-BR"/>
        </w:rPr>
        <w:t>% de catalisador foram adicionados a um balão de fundo redondo. O sistema foi aquecido a 80</w:t>
      </w:r>
      <w:r w:rsidR="009D3809">
        <w:rPr>
          <w:rFonts w:ascii="Times New Roman" w:hAnsi="Times New Roman"/>
          <w:lang w:val="pt-BR"/>
        </w:rPr>
        <w:t xml:space="preserve"> </w:t>
      </w:r>
      <w:r w:rsidRPr="00B10F5B">
        <w:rPr>
          <w:rFonts w:ascii="Times New Roman" w:hAnsi="Times New Roman"/>
          <w:lang w:val="pt-BR"/>
        </w:rPr>
        <w:t xml:space="preserve">°C sob agitação contínua por 60 min. O catalisador foi recuperado por centrifugação e lavado três vezes com </w:t>
      </w:r>
      <w:proofErr w:type="spellStart"/>
      <w:r w:rsidRPr="00B10F5B">
        <w:rPr>
          <w:rFonts w:ascii="Times New Roman" w:hAnsi="Times New Roman"/>
          <w:lang w:val="pt-BR"/>
        </w:rPr>
        <w:t>acetonitrila</w:t>
      </w:r>
      <w:proofErr w:type="spellEnd"/>
      <w:r w:rsidRPr="00B10F5B">
        <w:rPr>
          <w:rFonts w:ascii="Times New Roman" w:hAnsi="Times New Roman"/>
          <w:lang w:val="pt-BR"/>
        </w:rPr>
        <w:t xml:space="preserve"> para remover os resíduos</w:t>
      </w:r>
      <w:r w:rsidR="00D54DD9">
        <w:rPr>
          <w:rFonts w:ascii="Times New Roman" w:hAnsi="Times New Roman"/>
          <w:lang w:val="pt-BR"/>
        </w:rPr>
        <w:t xml:space="preserve">, </w:t>
      </w:r>
      <w:r w:rsidR="00146E2D" w:rsidRPr="001D37FC">
        <w:rPr>
          <w:rFonts w:ascii="Times New Roman" w:hAnsi="Times New Roman"/>
          <w:lang w:val="pt-BR"/>
        </w:rPr>
        <w:t>conform</w:t>
      </w:r>
      <w:r w:rsidR="001D37FC">
        <w:rPr>
          <w:rFonts w:ascii="Times New Roman" w:hAnsi="Times New Roman"/>
          <w:lang w:val="pt-BR"/>
        </w:rPr>
        <w:t>e descrito na literatura</w:t>
      </w:r>
      <w:r w:rsidR="00E85848" w:rsidRPr="0077610A">
        <w:rPr>
          <w:rFonts w:ascii="Times New Roman" w:hAnsi="Times New Roman"/>
        </w:rPr>
        <w:fldChar w:fldCharType="begin" w:fldLock="1"/>
      </w:r>
      <w:r w:rsidR="00317DC7" w:rsidRPr="0077610A">
        <w:rPr>
          <w:rFonts w:ascii="Times New Roman" w:hAnsi="Times New Roman"/>
          <w:lang w:val="pt-BR"/>
        </w:rPr>
        <w:instrText>ADDIN CSL_CITATION {"citationItems":[{"id":"ITEM-1","itemData":{"DOI":"10.1002/slct.201701273","ISSN":"23656549","abstract":"Selective and efficient production of vanillin from lignin-derived feedstocks has attracted attention to replace its current manufacturing process. Transition metal-based catalysts supported on mesoporous aluminosilicate were synthesized using a mechanochemical approach and subsequently investigated in vanillin production via the selective oxidation of isougenol. The mechanochemically synthesized catalysts exhibited a high isoeugenol conversion under mild conditions using H2O2 as oxidizing agent. Nb-based catalysts were found to provide the optimum conversion/selectivity under the investigated conditions (69% conversion, 66% vanillin selectivity, 2 h reaction). The synergistic effect between Fe/Nb and Al accounts as important key factor for optimum activity of catalytic systems.","author":[{"dropping-particle":"","family":"Franco","given":"Ana","non-dropping-particle":"","parse-names":false,"suffix":""},{"dropping-particle":"","family":"De","given":"Sudipta","non-dropping-particle":"","parse-names":false,"suffix":""},{"dropping-particle":"","family":"Balu","given":"Alina M.","non-dropping-particle":"","parse-names":false,"suffix":""},{"dropping-particle":"","family":"Romero","given":"Antonio A.","non-dropping-particle":"","parse-names":false,"suffix":""},{"dropping-particle":"","family":"Luque","given":"Rafael","non-dropping-particle":"","parse-names":false,"suffix":""}],"container-title":"ChemistrySelect","id":"ITEM-1","issue":"29","issued":{"date-parts":[["2017"]]},"page":"9546-9551","title":"Selective Oxidation of Isoeugenol to Vanillin over Mechanochemically Synthesized Aluminosilicate Supported Transition Metal Catalysts","type":"article-journal","volume":"2"},"uris":["http://www.mendeley.com/documents/?uuid=cab29e19-525c-408a-8fa9-93e13a71c6c4"]}],"mendeley":{"formattedCitation":"(FRANCO et al., 2017a)","plainTextFormattedCitation":"(FRANCO et al., 2017a)","previouslyFormattedCitation":"(FRANCO et al., 2017a)"},"properties":{"noteIndex":0},"schema":"https://github.com/citation-style-language/schema/raw/master/csl-citation.json"}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13</w:t>
      </w:r>
      <w:r w:rsidR="00317DC7" w:rsidRPr="00317DC7">
        <w:rPr>
          <w:rFonts w:ascii="Times New Roman" w:hAnsi="Times New Roman"/>
          <w:noProof/>
          <w:lang w:val="pt-BR"/>
        </w:rPr>
        <w:t>)</w:t>
      </w:r>
      <w:r w:rsidR="00E85848" w:rsidRPr="0077610A">
        <w:rPr>
          <w:rFonts w:ascii="Times New Roman" w:hAnsi="Times New Roman"/>
        </w:rPr>
        <w:fldChar w:fldCharType="end"/>
      </w:r>
    </w:p>
    <w:p w14:paraId="0808CF7F" w14:textId="77777777" w:rsidR="00EA4E1B"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50CE7A5" w14:textId="77777777" w:rsidR="000C3A0C" w:rsidRPr="000C3A0C" w:rsidRDefault="000C3A0C" w:rsidP="000C3A0C">
      <w:pPr>
        <w:pStyle w:val="TAMainText"/>
        <w:ind w:firstLine="187"/>
        <w:rPr>
          <w:rFonts w:ascii="Times New Roman" w:hAnsi="Times New Roman"/>
          <w:lang w:val="pt-BR"/>
        </w:rPr>
      </w:pPr>
    </w:p>
    <w:p w14:paraId="6B1F7ABB" w14:textId="77777777" w:rsidR="000C3A0C" w:rsidRPr="000C3A0C" w:rsidRDefault="00A41178" w:rsidP="000C3A0C">
      <w:pPr>
        <w:pStyle w:val="TAMainText"/>
        <w:ind w:firstLine="187"/>
        <w:rPr>
          <w:rFonts w:ascii="Times New Roman" w:hAnsi="Times New Roman"/>
          <w:lang w:val="pt-BR"/>
        </w:rPr>
      </w:pPr>
      <w:r>
        <w:rPr>
          <w:rFonts w:ascii="Times New Roman" w:hAnsi="Times New Roman"/>
          <w:lang w:val="pt-BR"/>
        </w:rPr>
        <w:t>O</w:t>
      </w:r>
      <w:r w:rsidR="009D3809">
        <w:rPr>
          <w:rFonts w:ascii="Times New Roman" w:hAnsi="Times New Roman"/>
          <w:lang w:val="pt-BR"/>
        </w:rPr>
        <w:t xml:space="preserve"> </w:t>
      </w:r>
      <w:r>
        <w:rPr>
          <w:rFonts w:ascii="Times New Roman" w:hAnsi="Times New Roman"/>
          <w:lang w:val="pt-BR"/>
        </w:rPr>
        <w:t>catalisador</w:t>
      </w:r>
      <w:r w:rsidRPr="00A41178">
        <w:rPr>
          <w:rFonts w:ascii="Times New Roman" w:hAnsi="Times New Roman"/>
          <w:lang w:val="pt-BR"/>
        </w:rPr>
        <w:t xml:space="preserve"> fo</w:t>
      </w:r>
      <w:r>
        <w:rPr>
          <w:rFonts w:ascii="Times New Roman" w:hAnsi="Times New Roman"/>
          <w:lang w:val="pt-BR"/>
        </w:rPr>
        <w:t>i</w:t>
      </w:r>
      <w:r w:rsidRPr="00A41178">
        <w:rPr>
          <w:rFonts w:ascii="Times New Roman" w:hAnsi="Times New Roman"/>
          <w:lang w:val="pt-BR"/>
        </w:rPr>
        <w:t xml:space="preserve"> caracterizad</w:t>
      </w:r>
      <w:r>
        <w:rPr>
          <w:rFonts w:ascii="Times New Roman" w:hAnsi="Times New Roman"/>
          <w:lang w:val="pt-BR"/>
        </w:rPr>
        <w:t>o</w:t>
      </w:r>
      <w:r w:rsidRPr="00A41178">
        <w:rPr>
          <w:rFonts w:ascii="Times New Roman" w:hAnsi="Times New Roman"/>
          <w:lang w:val="pt-BR"/>
        </w:rPr>
        <w:t xml:space="preserve"> empregando </w:t>
      </w:r>
      <w:r w:rsidR="0040670D" w:rsidRPr="00A41178">
        <w:rPr>
          <w:rFonts w:ascii="Times New Roman" w:hAnsi="Times New Roman"/>
          <w:lang w:val="pt-BR"/>
        </w:rPr>
        <w:t>uma análise</w:t>
      </w:r>
      <w:r w:rsidRPr="00A41178">
        <w:rPr>
          <w:rFonts w:ascii="Times New Roman" w:hAnsi="Times New Roman"/>
          <w:lang w:val="pt-BR"/>
        </w:rPr>
        <w:t xml:space="preserve"> multitécnica, incluindo </w:t>
      </w:r>
      <w:r>
        <w:rPr>
          <w:rFonts w:ascii="Times New Roman" w:hAnsi="Times New Roman"/>
          <w:lang w:val="pt-BR"/>
        </w:rPr>
        <w:t>DRX</w:t>
      </w:r>
      <w:r w:rsidRPr="00A41178">
        <w:rPr>
          <w:rFonts w:ascii="Times New Roman" w:hAnsi="Times New Roman"/>
          <w:lang w:val="pt-BR"/>
        </w:rPr>
        <w:t xml:space="preserve">, </w:t>
      </w:r>
      <w:r>
        <w:rPr>
          <w:rFonts w:ascii="Times New Roman" w:hAnsi="Times New Roman"/>
          <w:lang w:val="pt-BR"/>
        </w:rPr>
        <w:t>MEV,</w:t>
      </w:r>
      <w:r w:rsidR="009D3809">
        <w:rPr>
          <w:rFonts w:ascii="Times New Roman" w:hAnsi="Times New Roman"/>
          <w:lang w:val="pt-BR"/>
        </w:rPr>
        <w:t xml:space="preserve"> </w:t>
      </w:r>
      <w:r>
        <w:rPr>
          <w:rFonts w:ascii="Times New Roman" w:hAnsi="Times New Roman"/>
          <w:lang w:val="pt-BR"/>
        </w:rPr>
        <w:t>FTIR</w:t>
      </w:r>
      <w:r w:rsidRPr="00A41178">
        <w:rPr>
          <w:rFonts w:ascii="Times New Roman" w:hAnsi="Times New Roman"/>
          <w:lang w:val="pt-BR"/>
        </w:rPr>
        <w:t xml:space="preserve">. </w:t>
      </w:r>
      <w:r>
        <w:rPr>
          <w:rFonts w:ascii="Times New Roman" w:hAnsi="Times New Roman"/>
          <w:lang w:val="pt-BR"/>
        </w:rPr>
        <w:t xml:space="preserve">A </w:t>
      </w:r>
      <w:r w:rsidR="0040670D">
        <w:rPr>
          <w:rFonts w:ascii="Times New Roman" w:hAnsi="Times New Roman"/>
          <w:lang w:val="pt-BR"/>
        </w:rPr>
        <w:t>análise</w:t>
      </w:r>
      <w:r>
        <w:rPr>
          <w:rFonts w:ascii="Times New Roman" w:hAnsi="Times New Roman"/>
          <w:lang w:val="pt-BR"/>
        </w:rPr>
        <w:t xml:space="preserve"> DRX</w:t>
      </w:r>
      <w:r w:rsidR="009D3809">
        <w:rPr>
          <w:rFonts w:ascii="Times New Roman" w:hAnsi="Times New Roman"/>
          <w:lang w:val="pt-BR"/>
        </w:rPr>
        <w:t xml:space="preserve"> </w:t>
      </w:r>
      <w:r w:rsidR="0040670D">
        <w:rPr>
          <w:rFonts w:ascii="Times New Roman" w:hAnsi="Times New Roman"/>
          <w:lang w:val="pt-BR"/>
        </w:rPr>
        <w:t>revelou</w:t>
      </w:r>
      <w:r w:rsidR="009D3809">
        <w:rPr>
          <w:rFonts w:ascii="Times New Roman" w:hAnsi="Times New Roman"/>
          <w:lang w:val="pt-BR"/>
        </w:rPr>
        <w:t xml:space="preserve"> </w:t>
      </w:r>
      <w:r w:rsidR="0040670D" w:rsidRPr="00A41178">
        <w:rPr>
          <w:rFonts w:ascii="Times New Roman" w:hAnsi="Times New Roman"/>
          <w:lang w:val="pt-BR"/>
        </w:rPr>
        <w:t>a presença</w:t>
      </w:r>
      <w:r w:rsidRPr="00A41178">
        <w:rPr>
          <w:rFonts w:ascii="Times New Roman" w:hAnsi="Times New Roman"/>
          <w:lang w:val="pt-BR"/>
        </w:rPr>
        <w:t xml:space="preserve"> de amorfo </w:t>
      </w:r>
      <w:r>
        <w:rPr>
          <w:rFonts w:ascii="Times New Roman" w:hAnsi="Times New Roman"/>
          <w:lang w:val="pt-BR"/>
        </w:rPr>
        <w:t xml:space="preserve">para o </w:t>
      </w:r>
      <w:proofErr w:type="spellStart"/>
      <w:r>
        <w:rPr>
          <w:rFonts w:ascii="Times New Roman" w:hAnsi="Times New Roman"/>
          <w:lang w:val="pt-BR"/>
        </w:rPr>
        <w:t>biocarvão</w:t>
      </w:r>
      <w:proofErr w:type="spellEnd"/>
      <w:r>
        <w:rPr>
          <w:rFonts w:ascii="Times New Roman" w:hAnsi="Times New Roman"/>
          <w:lang w:val="pt-BR"/>
        </w:rPr>
        <w:t xml:space="preserve"> e a presença do </w:t>
      </w:r>
      <w:proofErr w:type="spellStart"/>
      <w:r>
        <w:rPr>
          <w:rFonts w:ascii="Times New Roman" w:hAnsi="Times New Roman"/>
          <w:lang w:val="pt-BR"/>
        </w:rPr>
        <w:t>heteropoliácido</w:t>
      </w:r>
      <w:proofErr w:type="spellEnd"/>
      <w:r>
        <w:rPr>
          <w:rFonts w:ascii="Times New Roman" w:hAnsi="Times New Roman"/>
          <w:lang w:val="pt-BR"/>
        </w:rPr>
        <w:t xml:space="preserve"> após o processo de impregnação.</w:t>
      </w:r>
      <w:r w:rsidR="009D3809">
        <w:rPr>
          <w:rFonts w:ascii="Times New Roman" w:hAnsi="Times New Roman"/>
          <w:lang w:val="pt-BR"/>
        </w:rPr>
        <w:t xml:space="preserve"> </w:t>
      </w:r>
      <w:r w:rsidR="001D37FC" w:rsidRPr="00A41178">
        <w:rPr>
          <w:rFonts w:ascii="Times New Roman" w:hAnsi="Times New Roman"/>
          <w:lang w:val="pt-BR"/>
        </w:rPr>
        <w:t>Tais resultados</w:t>
      </w:r>
      <w:r w:rsidRPr="00A41178">
        <w:rPr>
          <w:rFonts w:ascii="Times New Roman" w:hAnsi="Times New Roman"/>
          <w:lang w:val="pt-BR"/>
        </w:rPr>
        <w:t xml:space="preserve"> </w:t>
      </w:r>
      <w:r w:rsidR="009D3809">
        <w:rPr>
          <w:rFonts w:ascii="Times New Roman" w:hAnsi="Times New Roman"/>
          <w:lang w:val="pt-BR"/>
        </w:rPr>
        <w:t xml:space="preserve">de DRX foram </w:t>
      </w:r>
      <w:r w:rsidR="001D37FC" w:rsidRPr="00A41178">
        <w:rPr>
          <w:rFonts w:ascii="Times New Roman" w:hAnsi="Times New Roman"/>
          <w:lang w:val="pt-BR"/>
        </w:rPr>
        <w:t>confirmados</w:t>
      </w:r>
      <w:r w:rsidRPr="00A41178">
        <w:rPr>
          <w:rFonts w:ascii="Times New Roman" w:hAnsi="Times New Roman"/>
          <w:lang w:val="pt-BR"/>
        </w:rPr>
        <w:t xml:space="preserve"> por </w:t>
      </w:r>
      <w:r>
        <w:rPr>
          <w:rFonts w:ascii="Times New Roman" w:hAnsi="Times New Roman"/>
          <w:lang w:val="pt-BR"/>
        </w:rPr>
        <w:t>FTIR</w:t>
      </w:r>
      <w:r w:rsidRPr="00A41178">
        <w:rPr>
          <w:rFonts w:ascii="Times New Roman" w:hAnsi="Times New Roman"/>
          <w:lang w:val="pt-BR"/>
        </w:rPr>
        <w:t>.</w:t>
      </w:r>
    </w:p>
    <w:p w14:paraId="31B45750"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A </w:t>
      </w:r>
      <w:r w:rsidR="009D3809">
        <w:rPr>
          <w:rFonts w:ascii="Times New Roman" w:hAnsi="Times New Roman"/>
          <w:lang w:val="pt-BR"/>
        </w:rPr>
        <w:t xml:space="preserve">análise FTIR </w:t>
      </w:r>
      <w:r w:rsidRPr="000C3A0C">
        <w:rPr>
          <w:rFonts w:ascii="Times New Roman" w:hAnsi="Times New Roman"/>
          <w:lang w:val="pt-BR"/>
        </w:rPr>
        <w:t xml:space="preserve">presença do ânion </w:t>
      </w:r>
      <w:proofErr w:type="spellStart"/>
      <w:r w:rsidRPr="000C3A0C">
        <w:rPr>
          <w:rFonts w:ascii="Times New Roman" w:hAnsi="Times New Roman"/>
          <w:lang w:val="pt-BR"/>
        </w:rPr>
        <w:t>Kegg</w:t>
      </w:r>
      <w:r w:rsidR="00542301">
        <w:rPr>
          <w:rFonts w:ascii="Times New Roman" w:hAnsi="Times New Roman"/>
          <w:lang w:val="pt-BR"/>
        </w:rPr>
        <w:t>in</w:t>
      </w:r>
      <w:proofErr w:type="spellEnd"/>
      <w:r w:rsidR="00542301">
        <w:rPr>
          <w:rFonts w:ascii="Times New Roman" w:hAnsi="Times New Roman"/>
          <w:lang w:val="pt-BR"/>
        </w:rPr>
        <w:t>, PW</w:t>
      </w:r>
      <w:r w:rsidR="00542301" w:rsidRPr="00542301">
        <w:rPr>
          <w:rFonts w:ascii="Times New Roman" w:hAnsi="Times New Roman"/>
          <w:vertAlign w:val="subscript"/>
          <w:lang w:val="pt-BR"/>
        </w:rPr>
        <w:t>1</w:t>
      </w:r>
      <w:r w:rsidRPr="00542301">
        <w:rPr>
          <w:rFonts w:ascii="Times New Roman" w:hAnsi="Times New Roman"/>
          <w:vertAlign w:val="subscript"/>
          <w:lang w:val="pt-BR"/>
        </w:rPr>
        <w:t>2</w:t>
      </w:r>
      <w:r w:rsidRPr="000C3A0C">
        <w:rPr>
          <w:rFonts w:ascii="Times New Roman" w:hAnsi="Times New Roman"/>
          <w:lang w:val="pt-BR"/>
        </w:rPr>
        <w:t>O</w:t>
      </w:r>
      <w:r w:rsidRPr="00542301">
        <w:rPr>
          <w:rFonts w:ascii="Times New Roman" w:hAnsi="Times New Roman"/>
          <w:vertAlign w:val="subscript"/>
          <w:lang w:val="pt-BR"/>
        </w:rPr>
        <w:t>40</w:t>
      </w:r>
      <w:r w:rsidRPr="00542301">
        <w:rPr>
          <w:rFonts w:ascii="Times New Roman" w:hAnsi="Times New Roman"/>
          <w:vertAlign w:val="superscript"/>
          <w:lang w:val="pt-BR"/>
        </w:rPr>
        <w:t>3−</w:t>
      </w:r>
      <w:r w:rsidRPr="000C3A0C">
        <w:rPr>
          <w:rFonts w:ascii="Times New Roman" w:hAnsi="Times New Roman"/>
          <w:lang w:val="pt-BR"/>
        </w:rPr>
        <w:t xml:space="preserve">, na superfície do carvão serve como modelo para esta classe de </w:t>
      </w:r>
      <w:proofErr w:type="spellStart"/>
      <w:r w:rsidRPr="000C3A0C">
        <w:rPr>
          <w:rFonts w:ascii="Times New Roman" w:hAnsi="Times New Roman"/>
          <w:lang w:val="pt-BR"/>
        </w:rPr>
        <w:t>heteropoliácido</w:t>
      </w:r>
      <w:proofErr w:type="spellEnd"/>
      <w:r w:rsidRPr="000C3A0C">
        <w:rPr>
          <w:rFonts w:ascii="Times New Roman" w:hAnsi="Times New Roman"/>
          <w:lang w:val="pt-BR"/>
        </w:rPr>
        <w:t>; este ânion consiste em um tetraedro PO</w:t>
      </w:r>
      <w:r w:rsidRPr="00542301">
        <w:rPr>
          <w:rFonts w:ascii="Times New Roman" w:hAnsi="Times New Roman"/>
          <w:vertAlign w:val="subscript"/>
          <w:lang w:val="pt-BR"/>
        </w:rPr>
        <w:t>4</w:t>
      </w:r>
      <w:r w:rsidRPr="000C3A0C">
        <w:rPr>
          <w:rFonts w:ascii="Times New Roman" w:hAnsi="Times New Roman"/>
          <w:lang w:val="pt-BR"/>
        </w:rPr>
        <w:t xml:space="preserve"> circundado por quatro grupos W</w:t>
      </w:r>
      <w:r w:rsidRPr="00542301">
        <w:rPr>
          <w:rFonts w:ascii="Times New Roman" w:hAnsi="Times New Roman"/>
          <w:vertAlign w:val="subscript"/>
          <w:lang w:val="pt-BR"/>
        </w:rPr>
        <w:t>3</w:t>
      </w:r>
      <w:r w:rsidRPr="000C3A0C">
        <w:rPr>
          <w:rFonts w:ascii="Times New Roman" w:hAnsi="Times New Roman"/>
          <w:lang w:val="pt-BR"/>
        </w:rPr>
        <w:t>O</w:t>
      </w:r>
      <w:r w:rsidRPr="00542301">
        <w:rPr>
          <w:rFonts w:ascii="Times New Roman" w:hAnsi="Times New Roman"/>
          <w:vertAlign w:val="subscript"/>
          <w:lang w:val="pt-BR"/>
        </w:rPr>
        <w:t>13</w:t>
      </w:r>
      <w:r w:rsidRPr="000C3A0C">
        <w:rPr>
          <w:rFonts w:ascii="Times New Roman" w:hAnsi="Times New Roman"/>
          <w:lang w:val="pt-BR"/>
        </w:rPr>
        <w:t xml:space="preserve"> formados por octaedros</w:t>
      </w:r>
      <w:r w:rsidR="00DD2083">
        <w:rPr>
          <w:rFonts w:ascii="Times New Roman" w:hAnsi="Times New Roman"/>
          <w:lang w:val="pt-BR"/>
        </w:rPr>
        <w:t xml:space="preserve"> (14-15)</w:t>
      </w:r>
      <w:r w:rsidR="00D54DD9">
        <w:rPr>
          <w:rFonts w:ascii="Times New Roman" w:hAnsi="Times New Roman"/>
          <w:lang w:val="pt-BR"/>
        </w:rPr>
        <w:t>.</w:t>
      </w:r>
      <w:r w:rsidR="00DD2083" w:rsidRPr="000C3A0C">
        <w:rPr>
          <w:rFonts w:ascii="Times New Roman" w:hAnsi="Times New Roman"/>
          <w:lang w:val="pt-BR"/>
        </w:rPr>
        <w:t xml:space="preserve"> </w:t>
      </w:r>
      <w:r w:rsidRPr="000C3A0C">
        <w:rPr>
          <w:rFonts w:ascii="Times New Roman" w:hAnsi="Times New Roman"/>
          <w:lang w:val="pt-BR"/>
        </w:rPr>
        <w:t xml:space="preserve">Portanto, a análise FTIR do catalisador (Figura </w:t>
      </w:r>
      <w:r w:rsidR="00542301">
        <w:rPr>
          <w:rFonts w:ascii="Times New Roman" w:hAnsi="Times New Roman"/>
          <w:lang w:val="pt-BR"/>
        </w:rPr>
        <w:t>2</w:t>
      </w:r>
      <w:r w:rsidRPr="000C3A0C">
        <w:rPr>
          <w:rFonts w:ascii="Times New Roman" w:hAnsi="Times New Roman"/>
          <w:lang w:val="pt-BR"/>
        </w:rPr>
        <w:t xml:space="preserve">), realizada para confirmar a presença de tungstênio na superfície do </w:t>
      </w:r>
      <w:proofErr w:type="spellStart"/>
      <w:r w:rsidRPr="000C3A0C">
        <w:rPr>
          <w:rFonts w:ascii="Times New Roman" w:hAnsi="Times New Roman"/>
          <w:lang w:val="pt-BR"/>
        </w:rPr>
        <w:t>biocarvão</w:t>
      </w:r>
      <w:proofErr w:type="spellEnd"/>
      <w:r w:rsidRPr="000C3A0C">
        <w:rPr>
          <w:rFonts w:ascii="Times New Roman" w:hAnsi="Times New Roman"/>
          <w:lang w:val="pt-BR"/>
        </w:rPr>
        <w:t xml:space="preserve">, mostra quatro bandas de oxigênio para esse </w:t>
      </w:r>
      <w:r w:rsidR="0040670D" w:rsidRPr="000C3A0C">
        <w:rPr>
          <w:rFonts w:ascii="Times New Roman" w:hAnsi="Times New Roman"/>
          <w:lang w:val="pt-BR"/>
        </w:rPr>
        <w:t>composto,</w:t>
      </w:r>
      <w:r w:rsidRPr="000C3A0C">
        <w:rPr>
          <w:rFonts w:ascii="Times New Roman" w:hAnsi="Times New Roman"/>
          <w:lang w:val="pt-BR"/>
        </w:rPr>
        <w:t xml:space="preserve"> entre 700 e 1200 cm</w:t>
      </w:r>
      <w:r w:rsidR="00542301" w:rsidRPr="00542301">
        <w:rPr>
          <w:rFonts w:ascii="Times New Roman" w:hAnsi="Times New Roman"/>
          <w:vertAlign w:val="superscript"/>
          <w:lang w:val="pt-BR"/>
        </w:rPr>
        <w:t>−</w:t>
      </w:r>
      <w:r w:rsidR="0040670D" w:rsidRPr="00542301">
        <w:rPr>
          <w:rFonts w:ascii="Times New Roman" w:hAnsi="Times New Roman"/>
          <w:vertAlign w:val="superscript"/>
          <w:lang w:val="pt-BR"/>
        </w:rPr>
        <w:t>1</w:t>
      </w:r>
      <w:r w:rsidR="0040670D" w:rsidRPr="000C3A0C">
        <w:rPr>
          <w:rFonts w:ascii="Times New Roman" w:hAnsi="Times New Roman"/>
          <w:lang w:val="pt-BR"/>
        </w:rPr>
        <w:t>.</w:t>
      </w:r>
      <w:r w:rsidRPr="000C3A0C">
        <w:rPr>
          <w:rFonts w:ascii="Times New Roman" w:hAnsi="Times New Roman"/>
          <w:lang w:val="pt-BR"/>
        </w:rPr>
        <w:t xml:space="preserve"> Bandas típicas para PO (1080 cm</w:t>
      </w:r>
      <w:r w:rsidRPr="00542301">
        <w:rPr>
          <w:rFonts w:ascii="Times New Roman" w:hAnsi="Times New Roman"/>
          <w:vertAlign w:val="superscript"/>
          <w:lang w:val="pt-BR"/>
        </w:rPr>
        <w:t>−</w:t>
      </w:r>
      <w:r w:rsidR="0040670D" w:rsidRPr="00542301">
        <w:rPr>
          <w:rFonts w:ascii="Times New Roman" w:hAnsi="Times New Roman"/>
          <w:vertAlign w:val="superscript"/>
          <w:lang w:val="pt-BR"/>
        </w:rPr>
        <w:t>1</w:t>
      </w:r>
      <w:r w:rsidR="0040670D" w:rsidRPr="000C3A0C">
        <w:rPr>
          <w:rFonts w:ascii="Times New Roman" w:hAnsi="Times New Roman"/>
          <w:lang w:val="pt-BR"/>
        </w:rPr>
        <w:t>)</w:t>
      </w:r>
      <w:r w:rsidRPr="000C3A0C">
        <w:rPr>
          <w:rFonts w:ascii="Times New Roman" w:hAnsi="Times New Roman"/>
          <w:lang w:val="pt-BR"/>
        </w:rPr>
        <w:t>, W=O (983 cm</w:t>
      </w:r>
      <w:r w:rsidR="00542301" w:rsidRPr="00542301">
        <w:rPr>
          <w:rFonts w:ascii="Times New Roman" w:hAnsi="Times New Roman"/>
          <w:vertAlign w:val="superscript"/>
          <w:lang w:val="pt-BR"/>
        </w:rPr>
        <w:t>−1</w:t>
      </w:r>
      <w:r w:rsidRPr="000C3A0C">
        <w:rPr>
          <w:rFonts w:ascii="Times New Roman" w:hAnsi="Times New Roman"/>
          <w:lang w:val="pt-BR"/>
        </w:rPr>
        <w:t>), W–O e C–W (898 cm</w:t>
      </w:r>
      <w:r w:rsidR="00542301" w:rsidRPr="00542301">
        <w:rPr>
          <w:rFonts w:ascii="Times New Roman" w:hAnsi="Times New Roman"/>
          <w:vertAlign w:val="superscript"/>
          <w:lang w:val="pt-BR"/>
        </w:rPr>
        <w:t>−1</w:t>
      </w:r>
      <w:r w:rsidRPr="000C3A0C">
        <w:rPr>
          <w:rFonts w:ascii="Times New Roman" w:hAnsi="Times New Roman"/>
          <w:lang w:val="pt-BR"/>
        </w:rPr>
        <w:t>) e W–O–W (797 cm</w:t>
      </w:r>
      <w:r w:rsidR="00542301" w:rsidRPr="00542301">
        <w:rPr>
          <w:rFonts w:ascii="Times New Roman" w:hAnsi="Times New Roman"/>
          <w:vertAlign w:val="superscript"/>
          <w:lang w:val="pt-BR"/>
        </w:rPr>
        <w:t>−1</w:t>
      </w:r>
      <w:r w:rsidRPr="000C3A0C">
        <w:rPr>
          <w:rFonts w:ascii="Times New Roman" w:hAnsi="Times New Roman"/>
          <w:lang w:val="pt-BR"/>
        </w:rPr>
        <w:t xml:space="preserve">) são observadas em o espectro, confirmando a presença de tungstênio na superfície do </w:t>
      </w:r>
      <w:proofErr w:type="spellStart"/>
      <w:proofErr w:type="gramStart"/>
      <w:r w:rsidR="00E26F88">
        <w:rPr>
          <w:rFonts w:ascii="Times New Roman" w:hAnsi="Times New Roman"/>
          <w:lang w:val="pt-BR"/>
        </w:rPr>
        <w:t>biocarvão</w:t>
      </w:r>
      <w:proofErr w:type="spellEnd"/>
      <w:r w:rsidRPr="000C3A0C">
        <w:rPr>
          <w:rFonts w:ascii="Times New Roman" w:hAnsi="Times New Roman"/>
          <w:lang w:val="pt-BR"/>
        </w:rPr>
        <w:t>.</w:t>
      </w:r>
      <w:r w:rsidR="00317DC7" w:rsidRPr="00317DC7">
        <w:rPr>
          <w:rFonts w:ascii="Times New Roman" w:hAnsi="Times New Roman"/>
          <w:noProof/>
          <w:lang w:val="pt-BR"/>
        </w:rPr>
        <w:t>(</w:t>
      </w:r>
      <w:proofErr w:type="gramEnd"/>
      <w:r w:rsidR="004C1005">
        <w:rPr>
          <w:rFonts w:ascii="Times New Roman" w:hAnsi="Times New Roman"/>
          <w:noProof/>
          <w:lang w:val="pt-BR"/>
        </w:rPr>
        <w:t>14</w:t>
      </w:r>
      <w:r w:rsidR="00317DC7" w:rsidRPr="00317DC7">
        <w:rPr>
          <w:rFonts w:ascii="Times New Roman" w:hAnsi="Times New Roman"/>
          <w:noProof/>
          <w:lang w:val="pt-BR"/>
        </w:rPr>
        <w:t>)</w:t>
      </w:r>
    </w:p>
    <w:p w14:paraId="6E8669CF" w14:textId="77777777" w:rsidR="000C3A0C" w:rsidRPr="001D37FC" w:rsidRDefault="00B57361" w:rsidP="001D37FC">
      <w:pPr>
        <w:adjustRightInd w:val="0"/>
        <w:snapToGrid w:val="0"/>
        <w:spacing w:line="360" w:lineRule="auto"/>
        <w:jc w:val="center"/>
        <w:rPr>
          <w:rFonts w:ascii="Times New Roman" w:eastAsia="Times New Roman" w:hAnsi="Times New Roman" w:cs="Times New Roman"/>
          <w:sz w:val="20"/>
          <w:szCs w:val="20"/>
          <w:lang w:eastAsia="pt-BR"/>
        </w:rPr>
      </w:pPr>
      <w:r w:rsidRPr="00B57361">
        <w:rPr>
          <w:noProof/>
          <w:lang w:eastAsia="pt-BR"/>
        </w:rPr>
        <w:drawing>
          <wp:inline distT="0" distB="0" distL="0" distR="0" wp14:anchorId="25D4B9E2" wp14:editId="6CEBD27D">
            <wp:extent cx="3027680" cy="2307935"/>
            <wp:effectExtent l="19050" t="0" r="1270" b="0"/>
            <wp:docPr id="2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027680" cy="2307935"/>
                    </a:xfrm>
                    <a:prstGeom prst="rect">
                      <a:avLst/>
                    </a:prstGeom>
                    <a:noFill/>
                    <a:ln w="9525">
                      <a:noFill/>
                      <a:miter lim="800000"/>
                      <a:headEnd/>
                      <a:tailEnd/>
                    </a:ln>
                  </pic:spPr>
                </pic:pic>
              </a:graphicData>
            </a:graphic>
          </wp:inline>
        </w:drawing>
      </w:r>
      <w:r w:rsidR="00542301" w:rsidRPr="001D37FC">
        <w:rPr>
          <w:rFonts w:ascii="Times New Roman" w:eastAsia="Times New Roman" w:hAnsi="Times New Roman" w:cs="Times New Roman"/>
          <w:sz w:val="20"/>
          <w:szCs w:val="20"/>
          <w:lang w:eastAsia="pt-BR"/>
        </w:rPr>
        <w:t xml:space="preserve">Figura 1. Espectros </w:t>
      </w:r>
      <w:r w:rsidR="00542301">
        <w:rPr>
          <w:rFonts w:ascii="Times New Roman" w:eastAsia="Times New Roman" w:hAnsi="Times New Roman" w:cs="Times New Roman"/>
          <w:sz w:val="20"/>
          <w:szCs w:val="20"/>
          <w:lang w:eastAsia="pt-BR"/>
        </w:rPr>
        <w:t xml:space="preserve">DRX do </w:t>
      </w:r>
      <w:proofErr w:type="spellStart"/>
      <w:r w:rsidR="00E26F88">
        <w:rPr>
          <w:rFonts w:ascii="Times New Roman" w:eastAsia="Times New Roman" w:hAnsi="Times New Roman" w:cs="Times New Roman"/>
          <w:sz w:val="20"/>
          <w:szCs w:val="20"/>
          <w:lang w:eastAsia="pt-BR"/>
        </w:rPr>
        <w:t>biocarvão</w:t>
      </w:r>
      <w:proofErr w:type="spellEnd"/>
      <w:r w:rsidR="00542301">
        <w:rPr>
          <w:rFonts w:ascii="Times New Roman" w:eastAsia="Times New Roman" w:hAnsi="Times New Roman" w:cs="Times New Roman"/>
          <w:sz w:val="20"/>
          <w:szCs w:val="20"/>
          <w:lang w:eastAsia="pt-BR"/>
        </w:rPr>
        <w:t xml:space="preserve"> </w:t>
      </w:r>
      <w:r w:rsidR="00542301" w:rsidRPr="001D37FC">
        <w:rPr>
          <w:rFonts w:ascii="Times New Roman" w:eastAsia="Times New Roman" w:hAnsi="Times New Roman" w:cs="Times New Roman"/>
          <w:sz w:val="20"/>
          <w:szCs w:val="20"/>
          <w:lang w:eastAsia="pt-BR"/>
        </w:rPr>
        <w:t>e catalisador.</w:t>
      </w:r>
      <w:r w:rsidRPr="00B57361">
        <w:rPr>
          <w:noProof/>
          <w:lang w:eastAsia="pt-BR"/>
        </w:rPr>
        <w:drawing>
          <wp:inline distT="0" distB="0" distL="0" distR="0" wp14:anchorId="2DF6F8E0" wp14:editId="76B67FC4">
            <wp:extent cx="3027680" cy="4325318"/>
            <wp:effectExtent l="19050" t="0" r="1270" b="0"/>
            <wp:docPr id="2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027680" cy="4325318"/>
                    </a:xfrm>
                    <a:prstGeom prst="rect">
                      <a:avLst/>
                    </a:prstGeom>
                    <a:noFill/>
                    <a:ln w="9525">
                      <a:noFill/>
                      <a:miter lim="800000"/>
                      <a:headEnd/>
                      <a:tailEnd/>
                    </a:ln>
                  </pic:spPr>
                </pic:pic>
              </a:graphicData>
            </a:graphic>
          </wp:inline>
        </w:drawing>
      </w:r>
      <w:r w:rsidR="000C3A0C" w:rsidRPr="001D37FC">
        <w:rPr>
          <w:rFonts w:ascii="Times New Roman" w:eastAsia="Times New Roman" w:hAnsi="Times New Roman" w:cs="Times New Roman"/>
          <w:sz w:val="20"/>
          <w:szCs w:val="20"/>
          <w:lang w:eastAsia="pt-BR"/>
        </w:rPr>
        <w:t xml:space="preserve">Figura </w:t>
      </w:r>
      <w:r w:rsidR="00542301">
        <w:rPr>
          <w:rFonts w:ascii="Times New Roman" w:eastAsia="Times New Roman" w:hAnsi="Times New Roman" w:cs="Times New Roman"/>
          <w:sz w:val="20"/>
          <w:szCs w:val="20"/>
          <w:lang w:eastAsia="pt-BR"/>
        </w:rPr>
        <w:t>2</w:t>
      </w:r>
      <w:r w:rsidR="000C3A0C" w:rsidRPr="001D37FC">
        <w:rPr>
          <w:rFonts w:ascii="Times New Roman" w:eastAsia="Times New Roman" w:hAnsi="Times New Roman" w:cs="Times New Roman"/>
          <w:sz w:val="20"/>
          <w:szCs w:val="20"/>
          <w:lang w:eastAsia="pt-BR"/>
        </w:rPr>
        <w:t xml:space="preserve">. Espectros FTIR do </w:t>
      </w:r>
      <w:proofErr w:type="spellStart"/>
      <w:r w:rsidR="00E26F88">
        <w:rPr>
          <w:rFonts w:ascii="Times New Roman" w:eastAsia="Times New Roman" w:hAnsi="Times New Roman" w:cs="Times New Roman"/>
          <w:sz w:val="20"/>
          <w:szCs w:val="20"/>
          <w:lang w:eastAsia="pt-BR"/>
        </w:rPr>
        <w:t>biocarvão</w:t>
      </w:r>
      <w:proofErr w:type="spellEnd"/>
      <w:r w:rsidR="000C3A0C" w:rsidRPr="001D37FC">
        <w:rPr>
          <w:rFonts w:ascii="Times New Roman" w:eastAsia="Times New Roman" w:hAnsi="Times New Roman" w:cs="Times New Roman"/>
          <w:sz w:val="20"/>
          <w:szCs w:val="20"/>
          <w:lang w:eastAsia="pt-BR"/>
        </w:rPr>
        <w:t>, HPW e catalisador.</w:t>
      </w:r>
    </w:p>
    <w:p w14:paraId="35960A8F" w14:textId="77777777" w:rsidR="000C3A0C" w:rsidRPr="00BB322A" w:rsidRDefault="000C3A0C" w:rsidP="000C3A0C">
      <w:pPr>
        <w:pStyle w:val="TAMainText"/>
        <w:ind w:firstLine="187"/>
        <w:rPr>
          <w:rFonts w:ascii="Times New Roman" w:hAnsi="Times New Roman"/>
          <w:i/>
          <w:lang w:val="pt-BR"/>
        </w:rPr>
      </w:pPr>
      <w:r w:rsidRPr="00BB322A">
        <w:rPr>
          <w:rFonts w:ascii="Times New Roman" w:hAnsi="Times New Roman"/>
          <w:i/>
          <w:lang w:val="pt-BR"/>
        </w:rPr>
        <w:t xml:space="preserve">Testes catalíticos de oxidação de </w:t>
      </w:r>
      <w:proofErr w:type="spellStart"/>
      <w:r w:rsidRPr="00BB322A">
        <w:rPr>
          <w:rFonts w:ascii="Times New Roman" w:hAnsi="Times New Roman"/>
          <w:i/>
          <w:lang w:val="pt-BR"/>
        </w:rPr>
        <w:t>isoeugenol</w:t>
      </w:r>
      <w:proofErr w:type="spellEnd"/>
    </w:p>
    <w:p w14:paraId="581FDA34" w14:textId="77777777" w:rsidR="000C3A0C" w:rsidRPr="000C3A0C" w:rsidRDefault="000C3A0C" w:rsidP="000C3A0C">
      <w:pPr>
        <w:pStyle w:val="TAMainText"/>
        <w:ind w:firstLine="187"/>
        <w:rPr>
          <w:rFonts w:ascii="Times New Roman" w:hAnsi="Times New Roman"/>
          <w:lang w:val="pt-BR"/>
        </w:rPr>
      </w:pPr>
    </w:p>
    <w:p w14:paraId="5902D6F4"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Para a oxidação seletiva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a vanilina usando peróxido de hidrogênio como agente oxidante, monitoramos e analisamos a reação por cromatografia gasosa (GC) para quantificar e identificar a vanilina e outros compostos obtidos durante as reações. As condições oxidativas do peróxido investigadas no presente trabalho podem favorecer reações colaterais que levam à formação de produtos indesejáveis.</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{"citationItems":[{"id":"ITEM-1","itemData":{"DOI":"10.1016/j.mcat.2021.111537","ISSN":"24688231","abstract":"Supported metal nanoparticles (Cu, W, Mo among others) have been stabilized on a silica matrix following an efficient and sustainable one-pot microwave-assisted protocol. The materials synthesized were characterized, mainly, by nitrogen adsorption desorption measurements, X-ray diffraction (XRD), scanning electron microscopy/energy dispersive X-ray analysis (SEM/EDS). The materials exhibited large surface area and pore size in the mesopore range. The incorporation of metal particles in the silica matrix was also confirmed with particle size in a wide range between 2 and 52 nm. The catalytic activity of the resulting materials was evaluated in the catalytic wet oxidation of isoeugenol into vanillin using hydrogen peroxide as oxidant. The catalysts shown moderate conversions, up to 50–60 % for Cu-MINT with acceptable selectivity towards vanillin production (22–45 %), obtaining dimers as main side products. The stability of the catalysts was investigated as well, obtaining an imperceptible decrease after the fourth use.","author":[{"dropping-particle":"","family":"García-Albar","given":"Paloma","non-dropping-particle":"","parse-names":false,"suffix":""},{"dropping-particle":"","family":"Lázaro","given":"Noelia","non-dropping-particle":"","parse-names":false,"suffix":""},{"dropping-particle":"","family":"ALOthman","given":"Zeid A.","non-dropping-particle":"","parse-names":false,"suffix":""},{"dropping-particle":"","family":"Romero","given":"Antonio A.","non-dropping-particle":"","parse-names":false,"suffix":""},{"dropping-particle":"","family":"Luque","given":"Rafael","non-dropping-particle":"","parse-names":false,"suffix":""},{"dropping-particle":"","family":"Pineda","given":"Antonio","non-dropping-particle":"","parse-names":false,"suffix":""}],"container-title":"Molecular Catalysis","id":"ITEM-1","issue":"March","issued":{"date-parts":[["2021"]]},"title":"Catalytic wet hydrogen peroxide oxidation of isoeugenol to vanillin using microwave-assisted synthesized metal loaded catalysts","type":"article-journal","volume":"506"},"uris":["http://www.mendeley.com/documents/?uuid=66e5070f-b795-4a79-bed2-7be2754ce271"]}],"mendeley":{"formattedCitation":"(GARCÍA-ALBAR et al., 2021)","plainTextFormattedCitation":"(GARCÍA-ALBAR et al., 2021)","previouslyFormattedCitation":"(GARCÍA-ALBAR et al., 2021)"},"properties":{"noteIndex":0},"schema":"https://github.com/citation-style-language/schema/raw/master/csl-citation.json"}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16</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Pr="000C3A0C">
        <w:rPr>
          <w:rFonts w:ascii="Times New Roman" w:hAnsi="Times New Roman"/>
          <w:lang w:val="pt-BR"/>
        </w:rPr>
        <w:t xml:space="preserve"> Análises GC de misturas de produtos mostraram a presença de quatro produtos principais: (a) vanilina, (b) </w:t>
      </w:r>
      <w:proofErr w:type="spellStart"/>
      <w:r w:rsidRPr="000C3A0C">
        <w:rPr>
          <w:rFonts w:ascii="Times New Roman" w:hAnsi="Times New Roman"/>
          <w:lang w:val="pt-BR"/>
        </w:rPr>
        <w:t>vanilil</w:t>
      </w:r>
      <w:proofErr w:type="spellEnd"/>
      <w:r w:rsidRPr="000C3A0C">
        <w:rPr>
          <w:rFonts w:ascii="Times New Roman" w:hAnsi="Times New Roman"/>
          <w:lang w:val="pt-BR"/>
        </w:rPr>
        <w:t xml:space="preserve"> metil cetona (c) eugenol e (d) metil 3-hidroxi-4- </w:t>
      </w:r>
      <w:proofErr w:type="spellStart"/>
      <w:r w:rsidRPr="000C3A0C">
        <w:rPr>
          <w:rFonts w:ascii="Times New Roman" w:hAnsi="Times New Roman"/>
          <w:lang w:val="pt-BR"/>
        </w:rPr>
        <w:t>metoxifenilacetato</w:t>
      </w:r>
      <w:proofErr w:type="spellEnd"/>
      <w:r w:rsidRPr="000C3A0C">
        <w:rPr>
          <w:rFonts w:ascii="Times New Roman" w:hAnsi="Times New Roman"/>
          <w:lang w:val="pt-BR"/>
        </w:rPr>
        <w:t xml:space="preserve"> (Figura </w:t>
      </w:r>
      <w:r w:rsidR="00542301">
        <w:rPr>
          <w:rFonts w:ascii="Times New Roman" w:hAnsi="Times New Roman"/>
          <w:lang w:val="pt-BR"/>
        </w:rPr>
        <w:t>3</w:t>
      </w:r>
      <w:r w:rsidRPr="000C3A0C">
        <w:rPr>
          <w:rFonts w:ascii="Times New Roman" w:hAnsi="Times New Roman"/>
          <w:lang w:val="pt-BR"/>
        </w:rPr>
        <w:t xml:space="preserve">). </w:t>
      </w:r>
    </w:p>
    <w:p w14:paraId="5CFD3537" w14:textId="77777777" w:rsidR="005220B7" w:rsidRPr="006C39E9" w:rsidRDefault="00B57361" w:rsidP="005220B7">
      <w:pPr>
        <w:adjustRightInd w:val="0"/>
        <w:snapToGrid w:val="0"/>
        <w:spacing w:line="360" w:lineRule="auto"/>
        <w:jc w:val="both"/>
        <w:rPr>
          <w:rFonts w:ascii="Arial" w:hAnsi="Arial" w:cs="Arial"/>
          <w:b/>
        </w:rPr>
      </w:pPr>
      <w:r w:rsidRPr="00B57361">
        <w:rPr>
          <w:noProof/>
          <w:lang w:eastAsia="pt-BR"/>
        </w:rPr>
        <w:lastRenderedPageBreak/>
        <w:drawing>
          <wp:inline distT="0" distB="0" distL="0" distR="0" wp14:anchorId="52506C9A" wp14:editId="72632716">
            <wp:extent cx="3027680" cy="1690134"/>
            <wp:effectExtent l="19050" t="0" r="0" b="0"/>
            <wp:docPr id="2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027680" cy="1690134"/>
                    </a:xfrm>
                    <a:prstGeom prst="rect">
                      <a:avLst/>
                    </a:prstGeom>
                    <a:noFill/>
                    <a:ln w="9525">
                      <a:noFill/>
                      <a:miter lim="800000"/>
                      <a:headEnd/>
                      <a:tailEnd/>
                    </a:ln>
                  </pic:spPr>
                </pic:pic>
              </a:graphicData>
            </a:graphic>
          </wp:inline>
        </w:drawing>
      </w:r>
    </w:p>
    <w:p w14:paraId="78EF725E"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Figura </w:t>
      </w:r>
      <w:r w:rsidR="00542301">
        <w:rPr>
          <w:rFonts w:ascii="Times New Roman" w:hAnsi="Times New Roman"/>
          <w:lang w:val="pt-BR"/>
        </w:rPr>
        <w:t>3</w:t>
      </w:r>
      <w:r w:rsidRPr="000C3A0C">
        <w:rPr>
          <w:rFonts w:ascii="Times New Roman" w:hAnsi="Times New Roman"/>
          <w:lang w:val="pt-BR"/>
        </w:rPr>
        <w:t xml:space="preserve">. Principais produtos de oxidação do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(A) vanilina, (B) </w:t>
      </w:r>
      <w:proofErr w:type="spellStart"/>
      <w:r w:rsidRPr="000C3A0C">
        <w:rPr>
          <w:rFonts w:ascii="Times New Roman" w:hAnsi="Times New Roman"/>
          <w:lang w:val="pt-BR"/>
        </w:rPr>
        <w:t>vanilil</w:t>
      </w:r>
      <w:proofErr w:type="spellEnd"/>
      <w:r w:rsidR="009D3809">
        <w:rPr>
          <w:rFonts w:ascii="Times New Roman" w:hAnsi="Times New Roman"/>
          <w:lang w:val="pt-BR"/>
        </w:rPr>
        <w:t xml:space="preserve"> </w:t>
      </w:r>
      <w:r w:rsidRPr="000C3A0C">
        <w:rPr>
          <w:rFonts w:ascii="Times New Roman" w:hAnsi="Times New Roman"/>
          <w:lang w:val="pt-BR"/>
        </w:rPr>
        <w:t>metil</w:t>
      </w:r>
      <w:r w:rsidR="009D3809">
        <w:rPr>
          <w:rFonts w:ascii="Times New Roman" w:hAnsi="Times New Roman"/>
          <w:lang w:val="pt-BR"/>
        </w:rPr>
        <w:t xml:space="preserve"> </w:t>
      </w:r>
      <w:r w:rsidRPr="000C3A0C">
        <w:rPr>
          <w:rFonts w:ascii="Times New Roman" w:hAnsi="Times New Roman"/>
          <w:lang w:val="pt-BR"/>
        </w:rPr>
        <w:t>cetona, (C) eugenol e (D) metil(3-hidroxi-4-metoxifenil).</w:t>
      </w:r>
    </w:p>
    <w:p w14:paraId="150375DD" w14:textId="77777777" w:rsidR="000C3A0C" w:rsidRPr="000C3A0C" w:rsidRDefault="000C3A0C" w:rsidP="000C3A0C">
      <w:pPr>
        <w:pStyle w:val="TAMainText"/>
        <w:ind w:firstLine="187"/>
        <w:rPr>
          <w:rFonts w:ascii="Times New Roman" w:hAnsi="Times New Roman"/>
          <w:lang w:val="pt-BR"/>
        </w:rPr>
      </w:pPr>
    </w:p>
    <w:p w14:paraId="40CD608C"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As corridas em branco (na ausência de um catalisador) </w:t>
      </w:r>
      <w:r w:rsidR="00D54DD9">
        <w:rPr>
          <w:rFonts w:ascii="Times New Roman" w:hAnsi="Times New Roman"/>
          <w:lang w:val="pt-BR"/>
        </w:rPr>
        <w:t>mostraram</w:t>
      </w:r>
      <w:r w:rsidR="009D3809">
        <w:rPr>
          <w:rFonts w:ascii="Times New Roman" w:hAnsi="Times New Roman"/>
          <w:lang w:val="pt-BR"/>
        </w:rPr>
        <w:t xml:space="preserve"> </w:t>
      </w:r>
      <w:r w:rsidRPr="000C3A0C">
        <w:rPr>
          <w:rFonts w:ascii="Times New Roman" w:hAnsi="Times New Roman"/>
          <w:lang w:val="pt-BR"/>
        </w:rPr>
        <w:t xml:space="preserve">uma </w:t>
      </w:r>
      <w:r w:rsidR="00D54DD9">
        <w:rPr>
          <w:rFonts w:ascii="Times New Roman" w:hAnsi="Times New Roman"/>
          <w:lang w:val="pt-BR"/>
        </w:rPr>
        <w:t xml:space="preserve">baixa </w:t>
      </w:r>
      <w:r w:rsidRPr="000C3A0C">
        <w:rPr>
          <w:rFonts w:ascii="Times New Roman" w:hAnsi="Times New Roman"/>
          <w:lang w:val="pt-BR"/>
        </w:rPr>
        <w:t xml:space="preserve">conversão </w:t>
      </w:r>
      <w:r w:rsidR="00D54DD9">
        <w:rPr>
          <w:rFonts w:ascii="Times New Roman" w:hAnsi="Times New Roman"/>
          <w:lang w:val="pt-BR"/>
        </w:rPr>
        <w:t>d</w:t>
      </w:r>
      <w:r w:rsidRPr="000C3A0C">
        <w:rPr>
          <w:rFonts w:ascii="Times New Roman" w:hAnsi="Times New Roman"/>
          <w:lang w:val="pt-BR"/>
        </w:rPr>
        <w:t>os sistemas (&lt;10%)</w:t>
      </w:r>
      <w:r w:rsidR="002614CD">
        <w:rPr>
          <w:rFonts w:ascii="Times New Roman" w:hAnsi="Times New Roman"/>
          <w:lang w:val="pt-BR"/>
        </w:rPr>
        <w:t>, enquanto que</w:t>
      </w:r>
      <w:r w:rsidR="009D3809">
        <w:rPr>
          <w:rFonts w:ascii="Times New Roman" w:hAnsi="Times New Roman"/>
          <w:lang w:val="pt-BR"/>
        </w:rPr>
        <w:t xml:space="preserve"> </w:t>
      </w:r>
      <w:r w:rsidRPr="000C3A0C">
        <w:rPr>
          <w:rFonts w:ascii="Times New Roman" w:hAnsi="Times New Roman"/>
          <w:lang w:val="pt-BR"/>
        </w:rPr>
        <w:t xml:space="preserve">uma seletividade surpreendentemente alta para a </w:t>
      </w:r>
      <w:proofErr w:type="spellStart"/>
      <w:r w:rsidRPr="000C3A0C">
        <w:rPr>
          <w:rFonts w:ascii="Times New Roman" w:hAnsi="Times New Roman"/>
          <w:lang w:val="pt-BR"/>
        </w:rPr>
        <w:t>vanilil</w:t>
      </w:r>
      <w:proofErr w:type="spellEnd"/>
      <w:r w:rsidR="009D3809">
        <w:rPr>
          <w:rFonts w:ascii="Times New Roman" w:hAnsi="Times New Roman"/>
          <w:lang w:val="pt-BR"/>
        </w:rPr>
        <w:t xml:space="preserve"> </w:t>
      </w:r>
      <w:r w:rsidRPr="000C3A0C">
        <w:rPr>
          <w:rFonts w:ascii="Times New Roman" w:hAnsi="Times New Roman"/>
          <w:lang w:val="pt-BR"/>
        </w:rPr>
        <w:t>metil</w:t>
      </w:r>
      <w:r w:rsidR="009D3809">
        <w:rPr>
          <w:rFonts w:ascii="Times New Roman" w:hAnsi="Times New Roman"/>
          <w:lang w:val="pt-BR"/>
        </w:rPr>
        <w:t xml:space="preserve"> </w:t>
      </w:r>
      <w:r w:rsidRPr="000C3A0C">
        <w:rPr>
          <w:rFonts w:ascii="Times New Roman" w:hAnsi="Times New Roman"/>
          <w:lang w:val="pt-BR"/>
        </w:rPr>
        <w:t xml:space="preserve">cetona (&lt;54%) foi observada (Figura </w:t>
      </w:r>
      <w:r w:rsidR="00542301">
        <w:rPr>
          <w:rFonts w:ascii="Times New Roman" w:hAnsi="Times New Roman"/>
          <w:lang w:val="pt-BR"/>
        </w:rPr>
        <w:t>3</w:t>
      </w:r>
      <w:r w:rsidRPr="000C3A0C">
        <w:rPr>
          <w:rFonts w:ascii="Times New Roman" w:hAnsi="Times New Roman"/>
          <w:lang w:val="pt-BR"/>
        </w:rPr>
        <w:t>), sinalizando a importância dessa molécula no mecanismo da reação</w:t>
      </w:r>
      <w:r w:rsidR="009D3809">
        <w:rPr>
          <w:rFonts w:ascii="Times New Roman" w:hAnsi="Times New Roman"/>
          <w:lang w:val="pt-BR"/>
        </w:rPr>
        <w:t xml:space="preserve"> s</w:t>
      </w:r>
      <w:r w:rsidR="002614CD">
        <w:rPr>
          <w:rFonts w:ascii="Times New Roman" w:hAnsi="Times New Roman"/>
          <w:lang w:val="pt-BR"/>
        </w:rPr>
        <w:t>imilar ao</w:t>
      </w:r>
      <w:r w:rsidR="009D3809">
        <w:rPr>
          <w:rFonts w:ascii="Times New Roman" w:hAnsi="Times New Roman"/>
          <w:lang w:val="pt-BR"/>
        </w:rPr>
        <w:t xml:space="preserve"> </w:t>
      </w:r>
      <w:r w:rsidR="00317DC7">
        <w:rPr>
          <w:rFonts w:ascii="Times New Roman" w:hAnsi="Times New Roman"/>
          <w:lang w:val="pt-BR"/>
        </w:rPr>
        <w:t>descrito na literatura</w:t>
      </w:r>
      <w:r w:rsidR="002614CD">
        <w:rPr>
          <w:rFonts w:ascii="Times New Roman" w:hAnsi="Times New Roman"/>
          <w:lang w:val="pt-BR"/>
        </w:rPr>
        <w:t>.</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{"citationItems":[{"id":"ITEM-1","itemData":{"DOI":"10.1016/j.cattod.2019.11.008","ISSN":"09205861","abstract":"The use of a biorefinery co-product, such as humins, in combination with an iron precursor in a solvent-free method yields a catalytic material with potential use in selective oxidative cleavage reactions. In particular, this catalyst was found active in the hydrogen-peroxide assisted oxidation of a naturally extracted molecule, isoeugenol, to high added-value flavouring agent, vanillin. By carrying out the reaction in continuous flow, not only a better understanding of the reaction mechanism and of the catalyst deactivation can be achieved, but also important insights for optimised conditions can be developed. The findings of this paper could pave the way to a more sustainable process for the production of a valuable food and perfume additive, vanillin.","author":[{"dropping-particle":"","family":"Filiciotto","given":"Layla","non-dropping-particle":"","parse-names":false,"suffix":""},{"dropping-particle":"","family":"Márquez-Medina","given":"María Dolores","non-dropping-particle":"","parse-names":false,"suffix":""},{"dropping-particle":"","family":"Pineda","given":"Antonio","non-dropping-particle":"","parse-names":false,"suffix":""},{"dropping-particle":"","family":"Balu","given":"Alina M.","non-dropping-particle":"","parse-names":false,"suffix":""},{"dropping-particle":"","family":"Romero","given":"Antonio A.","non-dropping-particle":"","parse-names":false,"suffix":""},{"dropping-particle":"","family":"Angelici","given":"Carlo","non-dropping-particle":"","parse-names":false,"suffix":""},{"dropping-particle":"","family":"Jong","given":"Ed","non-dropping-particle":"de","parse-names":false,"suffix":""},{"dropping-particle":"","family":"Waal","given":"Jan C.","non-dropping-particle":"van der","parse-names":false,"suffix":""},{"dropping-particle":"","family":"Luque","given":"Rafael","non-dropping-particle":"","parse-names":false,"suffix":""}],"container-title":"Catalysis Today","id":"ITEM-1","issue":"November","issued":{"date-parts":[["2021"]]},"page":"281-290","title":"Continuous flow study of isoeugenol to vanillin: A bio-based iron oxide catalyst","type":"article-journal","volume":"368"},"uris":["http://www.mendeley.com/documents/?uuid=ad0e76ff-c343-47b3-b955-1ceda6374a6f"]}],"mendeley":{"formattedCitation":"(FILICIOTTO et al., 2021)","plainTextFormattedCitation":"(FILICIOTTO et al., 2021)","previouslyFormattedCitation":"(FILICIOTTO et al., 2021)"},"properties":{"noteIndex":0},"schema":"https://github.com/citation-style-language/schema/raw/master/csl-citation.json"}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17</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Pr="000C3A0C">
        <w:rPr>
          <w:rFonts w:ascii="Times New Roman" w:hAnsi="Times New Roman"/>
          <w:lang w:val="pt-BR"/>
        </w:rPr>
        <w:t xml:space="preserve">Comparativamente, o suporte </w:t>
      </w:r>
      <w:proofErr w:type="spellStart"/>
      <w:r w:rsidR="00E26F88">
        <w:rPr>
          <w:rFonts w:ascii="Times New Roman" w:hAnsi="Times New Roman"/>
          <w:lang w:val="pt-BR"/>
        </w:rPr>
        <w:t>biocarvão</w:t>
      </w:r>
      <w:proofErr w:type="spellEnd"/>
      <w:r w:rsidRPr="000C3A0C">
        <w:rPr>
          <w:rFonts w:ascii="Times New Roman" w:hAnsi="Times New Roman"/>
          <w:lang w:val="pt-BR"/>
        </w:rPr>
        <w:t xml:space="preserve"> puro apresentou baixa conversão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(&lt;16%), com baixa seletividade para vanilina (19,30%) e 3-hidroxi-4-metoxi</w:t>
      </w:r>
      <w:r w:rsidR="00DD2083">
        <w:rPr>
          <w:rFonts w:ascii="Times New Roman" w:hAnsi="Times New Roman"/>
          <w:lang w:val="pt-BR"/>
        </w:rPr>
        <w:t xml:space="preserve"> </w:t>
      </w:r>
      <w:r w:rsidRPr="000C3A0C">
        <w:rPr>
          <w:rFonts w:ascii="Times New Roman" w:hAnsi="Times New Roman"/>
          <w:lang w:val="pt-BR"/>
        </w:rPr>
        <w:t>fenil</w:t>
      </w:r>
      <w:r w:rsidR="00DD2083">
        <w:rPr>
          <w:rFonts w:ascii="Times New Roman" w:hAnsi="Times New Roman"/>
          <w:lang w:val="pt-BR"/>
        </w:rPr>
        <w:t xml:space="preserve"> </w:t>
      </w:r>
      <w:r w:rsidRPr="000C3A0C">
        <w:rPr>
          <w:rFonts w:ascii="Times New Roman" w:hAnsi="Times New Roman"/>
          <w:lang w:val="pt-BR"/>
        </w:rPr>
        <w:t xml:space="preserve">acetato de metila (&lt;21%) em comparação com a seletividade para </w:t>
      </w:r>
      <w:proofErr w:type="spellStart"/>
      <w:r w:rsidRPr="000C3A0C">
        <w:rPr>
          <w:rFonts w:ascii="Times New Roman" w:hAnsi="Times New Roman"/>
          <w:lang w:val="pt-BR"/>
        </w:rPr>
        <w:t>vanilil</w:t>
      </w:r>
      <w:proofErr w:type="spellEnd"/>
      <w:r w:rsidRPr="000C3A0C">
        <w:rPr>
          <w:rFonts w:ascii="Times New Roman" w:hAnsi="Times New Roman"/>
          <w:lang w:val="pt-BR"/>
        </w:rPr>
        <w:t xml:space="preserve"> metil cetona (28%) obtida como produtos principais. Assim, o </w:t>
      </w:r>
      <w:proofErr w:type="spellStart"/>
      <w:r w:rsidR="00E26F88">
        <w:rPr>
          <w:rFonts w:ascii="Times New Roman" w:hAnsi="Times New Roman"/>
          <w:lang w:val="pt-BR"/>
        </w:rPr>
        <w:t>biocarvão</w:t>
      </w:r>
      <w:proofErr w:type="spellEnd"/>
      <w:r w:rsidRPr="000C3A0C">
        <w:rPr>
          <w:rFonts w:ascii="Times New Roman" w:hAnsi="Times New Roman"/>
          <w:lang w:val="pt-BR"/>
        </w:rPr>
        <w:t xml:space="preserve"> não </w:t>
      </w:r>
      <w:r w:rsidR="002614CD">
        <w:rPr>
          <w:rFonts w:ascii="Times New Roman" w:hAnsi="Times New Roman"/>
          <w:lang w:val="pt-BR"/>
        </w:rPr>
        <w:t>foi</w:t>
      </w:r>
      <w:r w:rsidRPr="000C3A0C">
        <w:rPr>
          <w:rFonts w:ascii="Times New Roman" w:hAnsi="Times New Roman"/>
          <w:lang w:val="pt-BR"/>
        </w:rPr>
        <w:t xml:space="preserve"> muito ativo na oxidação do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para produzir vanilina, indicando que a atividade catalítica é principalmente devida ao HPW. Também foi realizado um experimento controle com HPW em quantidade próxima a 27 mg (referente à carga real impregnada no </w:t>
      </w:r>
      <w:proofErr w:type="spellStart"/>
      <w:r w:rsidR="00E26F88">
        <w:rPr>
          <w:rFonts w:ascii="Times New Roman" w:hAnsi="Times New Roman"/>
          <w:lang w:val="pt-BR"/>
        </w:rPr>
        <w:t>biocarvão</w:t>
      </w:r>
      <w:proofErr w:type="spellEnd"/>
      <w:r w:rsidRPr="000C3A0C">
        <w:rPr>
          <w:rFonts w:ascii="Times New Roman" w:hAnsi="Times New Roman"/>
          <w:lang w:val="pt-BR"/>
        </w:rPr>
        <w:t xml:space="preserve"> utilizado em cada reação), proporcionando alta conversão (&lt;73%)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e alta seletividade (&gt;35%) para a vani</w:t>
      </w:r>
      <w:r w:rsidR="00542301">
        <w:rPr>
          <w:rFonts w:ascii="Times New Roman" w:hAnsi="Times New Roman"/>
          <w:lang w:val="pt-BR"/>
        </w:rPr>
        <w:t>lina (Figura 4</w:t>
      </w:r>
      <w:r w:rsidRPr="000C3A0C">
        <w:rPr>
          <w:rFonts w:ascii="Times New Roman" w:hAnsi="Times New Roman"/>
          <w:lang w:val="pt-BR"/>
        </w:rPr>
        <w:t>).</w:t>
      </w:r>
    </w:p>
    <w:p w14:paraId="21FDBCB8" w14:textId="77777777" w:rsidR="000C3A0C" w:rsidRPr="000C3A0C" w:rsidRDefault="000C3A0C" w:rsidP="000C3A0C">
      <w:pPr>
        <w:pStyle w:val="TAMainText"/>
        <w:ind w:firstLine="187"/>
        <w:rPr>
          <w:rFonts w:ascii="Times New Roman" w:hAnsi="Times New Roman"/>
          <w:lang w:val="pt-BR"/>
        </w:rPr>
      </w:pPr>
    </w:p>
    <w:p w14:paraId="1E3D9ADD" w14:textId="77777777" w:rsidR="005220B7" w:rsidRDefault="00C46484" w:rsidP="005220B7">
      <w:pPr>
        <w:adjustRightInd w:val="0"/>
        <w:snapToGrid w:val="0"/>
        <w:spacing w:line="360" w:lineRule="auto"/>
        <w:jc w:val="both"/>
        <w:rPr>
          <w:rFonts w:ascii="Arial" w:hAnsi="Arial" w:cs="Arial"/>
          <w:b/>
        </w:rPr>
      </w:pPr>
      <w:r w:rsidRPr="00C46484">
        <w:rPr>
          <w:noProof/>
          <w:lang w:eastAsia="pt-BR"/>
        </w:rPr>
        <w:drawing>
          <wp:inline distT="0" distB="0" distL="0" distR="0" wp14:anchorId="60DF5A58" wp14:editId="7399DCC6">
            <wp:extent cx="3027680" cy="1902565"/>
            <wp:effectExtent l="19050" t="0" r="1270" b="0"/>
            <wp:docPr id="2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027680" cy="1902565"/>
                    </a:xfrm>
                    <a:prstGeom prst="rect">
                      <a:avLst/>
                    </a:prstGeom>
                    <a:noFill/>
                    <a:ln w="9525">
                      <a:noFill/>
                      <a:miter lim="800000"/>
                      <a:headEnd/>
                      <a:tailEnd/>
                    </a:ln>
                  </pic:spPr>
                </pic:pic>
              </a:graphicData>
            </a:graphic>
          </wp:inline>
        </w:drawing>
      </w:r>
    </w:p>
    <w:p w14:paraId="3C6AD6B8" w14:textId="77777777" w:rsid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Figura </w:t>
      </w:r>
      <w:r w:rsidR="00542301">
        <w:rPr>
          <w:rFonts w:ascii="Times New Roman" w:hAnsi="Times New Roman"/>
          <w:lang w:val="pt-BR"/>
        </w:rPr>
        <w:t>4</w:t>
      </w:r>
      <w:r w:rsidRPr="000C3A0C">
        <w:rPr>
          <w:rFonts w:ascii="Times New Roman" w:hAnsi="Times New Roman"/>
          <w:lang w:val="pt-BR"/>
        </w:rPr>
        <w:t xml:space="preserve">. Resultados catalíticos </w:t>
      </w:r>
      <w:r w:rsidR="002614CD">
        <w:rPr>
          <w:rFonts w:ascii="Times New Roman" w:hAnsi="Times New Roman"/>
          <w:lang w:val="pt-BR"/>
        </w:rPr>
        <w:t>d</w:t>
      </w:r>
      <w:r w:rsidRPr="000C3A0C">
        <w:rPr>
          <w:rFonts w:ascii="Times New Roman" w:hAnsi="Times New Roman"/>
          <w:lang w:val="pt-BR"/>
        </w:rPr>
        <w:t xml:space="preserve">a oxidação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a vanilina usando o</w:t>
      </w:r>
      <w:r w:rsidR="002614CD">
        <w:rPr>
          <w:rFonts w:ascii="Times New Roman" w:hAnsi="Times New Roman"/>
          <w:lang w:val="pt-BR"/>
        </w:rPr>
        <w:t>s diferentes</w:t>
      </w:r>
      <w:r w:rsidR="00DD2083">
        <w:rPr>
          <w:rFonts w:ascii="Times New Roman" w:hAnsi="Times New Roman"/>
          <w:lang w:val="pt-BR"/>
        </w:rPr>
        <w:t xml:space="preserve"> </w:t>
      </w:r>
      <w:r w:rsidR="002614CD">
        <w:rPr>
          <w:rFonts w:ascii="Times New Roman" w:hAnsi="Times New Roman"/>
          <w:lang w:val="pt-BR"/>
        </w:rPr>
        <w:t>sistemas catalíticos em estudo</w:t>
      </w:r>
      <w:r w:rsidRPr="000C3A0C">
        <w:rPr>
          <w:rFonts w:ascii="Times New Roman" w:hAnsi="Times New Roman"/>
          <w:lang w:val="pt-BR"/>
        </w:rPr>
        <w:t xml:space="preserve">. Condições da reação: 0,8 </w:t>
      </w:r>
      <w:proofErr w:type="spellStart"/>
      <w:r w:rsidRPr="000C3A0C">
        <w:rPr>
          <w:rFonts w:ascii="Times New Roman" w:hAnsi="Times New Roman"/>
          <w:lang w:val="pt-BR"/>
        </w:rPr>
        <w:t>mL</w:t>
      </w:r>
      <w:proofErr w:type="spellEnd"/>
      <w:r w:rsidRPr="000C3A0C">
        <w:rPr>
          <w:rFonts w:ascii="Times New Roman" w:hAnsi="Times New Roman"/>
          <w:lang w:val="pt-BR"/>
        </w:rPr>
        <w:t xml:space="preserve">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1,2 </w:t>
      </w:r>
      <w:proofErr w:type="spellStart"/>
      <w:r w:rsidRPr="000C3A0C">
        <w:rPr>
          <w:rFonts w:ascii="Times New Roman" w:hAnsi="Times New Roman"/>
          <w:lang w:val="pt-BR"/>
        </w:rPr>
        <w:t>mL</w:t>
      </w:r>
      <w:proofErr w:type="spellEnd"/>
      <w:r w:rsidRPr="000C3A0C">
        <w:rPr>
          <w:rFonts w:ascii="Times New Roman" w:hAnsi="Times New Roman"/>
          <w:lang w:val="pt-BR"/>
        </w:rPr>
        <w:t xml:space="preserve"> de H</w:t>
      </w:r>
      <w:r w:rsidR="00ED4732" w:rsidRPr="00ED4732">
        <w:rPr>
          <w:rFonts w:ascii="Times New Roman" w:hAnsi="Times New Roman"/>
          <w:vertAlign w:val="subscript"/>
          <w:lang w:val="pt-BR"/>
        </w:rPr>
        <w:t>2</w:t>
      </w:r>
      <w:r w:rsidRPr="000C3A0C">
        <w:rPr>
          <w:rFonts w:ascii="Times New Roman" w:hAnsi="Times New Roman"/>
          <w:lang w:val="pt-BR"/>
        </w:rPr>
        <w:t>O</w:t>
      </w:r>
      <w:r w:rsidRPr="00ED4732">
        <w:rPr>
          <w:rFonts w:ascii="Times New Roman" w:hAnsi="Times New Roman"/>
          <w:vertAlign w:val="subscript"/>
          <w:lang w:val="pt-BR"/>
        </w:rPr>
        <w:t>2</w:t>
      </w:r>
      <w:r w:rsidRPr="000C3A0C">
        <w:rPr>
          <w:rFonts w:ascii="Times New Roman" w:hAnsi="Times New Roman"/>
          <w:lang w:val="pt-BR"/>
        </w:rPr>
        <w:t xml:space="preserve">, 7 </w:t>
      </w:r>
      <w:proofErr w:type="spellStart"/>
      <w:r w:rsidRPr="000C3A0C">
        <w:rPr>
          <w:rFonts w:ascii="Times New Roman" w:hAnsi="Times New Roman"/>
          <w:lang w:val="pt-BR"/>
        </w:rPr>
        <w:t>mL</w:t>
      </w:r>
      <w:proofErr w:type="spellEnd"/>
      <w:r w:rsidRPr="000C3A0C">
        <w:rPr>
          <w:rFonts w:ascii="Times New Roman" w:hAnsi="Times New Roman"/>
          <w:lang w:val="pt-BR"/>
        </w:rPr>
        <w:t xml:space="preserve"> de </w:t>
      </w:r>
      <w:proofErr w:type="spellStart"/>
      <w:r w:rsidRPr="000C3A0C">
        <w:rPr>
          <w:rFonts w:ascii="Times New Roman" w:hAnsi="Times New Roman"/>
          <w:lang w:val="pt-BR"/>
        </w:rPr>
        <w:t>acetonitrila</w:t>
      </w:r>
      <w:proofErr w:type="spellEnd"/>
      <w:r w:rsidRPr="000C3A0C">
        <w:rPr>
          <w:rFonts w:ascii="Times New Roman" w:hAnsi="Times New Roman"/>
          <w:lang w:val="pt-BR"/>
        </w:rPr>
        <w:t>, 0,05 g de catalisador, 80 °C, 1 h de reação. Todas as reações foram realizadas em triplicata para reduzir possíveis erros.</w:t>
      </w:r>
    </w:p>
    <w:p w14:paraId="69BC20CA" w14:textId="77777777" w:rsidR="00542301" w:rsidRPr="000C3A0C" w:rsidRDefault="00542301" w:rsidP="000C3A0C">
      <w:pPr>
        <w:pStyle w:val="TAMainText"/>
        <w:ind w:firstLine="187"/>
        <w:rPr>
          <w:rFonts w:ascii="Times New Roman" w:hAnsi="Times New Roman"/>
          <w:lang w:val="pt-BR"/>
        </w:rPr>
      </w:pPr>
    </w:p>
    <w:p w14:paraId="7142DE50" w14:textId="77777777" w:rsidR="000C3A0C" w:rsidRPr="000C3A0C" w:rsidRDefault="00CF5171" w:rsidP="000C3A0C">
      <w:pPr>
        <w:pStyle w:val="TAMainText"/>
        <w:ind w:firstLine="187"/>
        <w:rPr>
          <w:rFonts w:ascii="Times New Roman" w:hAnsi="Times New Roman"/>
          <w:lang w:val="pt-BR"/>
        </w:rPr>
      </w:pPr>
      <w:r>
        <w:rPr>
          <w:rFonts w:ascii="Times New Roman" w:hAnsi="Times New Roman"/>
          <w:lang w:val="pt-BR"/>
        </w:rPr>
        <w:t>Embora</w:t>
      </w:r>
      <w:r w:rsidR="000C3A0C" w:rsidRPr="000C3A0C">
        <w:rPr>
          <w:rFonts w:ascii="Times New Roman" w:hAnsi="Times New Roman"/>
          <w:lang w:val="pt-BR"/>
        </w:rPr>
        <w:t xml:space="preserve"> o HPW </w:t>
      </w:r>
      <w:r w:rsidR="009933DF">
        <w:rPr>
          <w:rFonts w:ascii="Times New Roman" w:hAnsi="Times New Roman"/>
          <w:lang w:val="pt-BR"/>
        </w:rPr>
        <w:t xml:space="preserve">não suportado, </w:t>
      </w:r>
      <w:r w:rsidR="000C3A0C" w:rsidRPr="000C3A0C">
        <w:rPr>
          <w:rFonts w:ascii="Times New Roman" w:hAnsi="Times New Roman"/>
          <w:lang w:val="pt-BR"/>
        </w:rPr>
        <w:t>quanto</w:t>
      </w:r>
      <w:r w:rsidR="009933DF">
        <w:rPr>
          <w:rFonts w:ascii="Times New Roman" w:hAnsi="Times New Roman"/>
          <w:lang w:val="pt-BR"/>
        </w:rPr>
        <w:t xml:space="preserve"> ele suportado [30HPW/ </w:t>
      </w:r>
      <w:proofErr w:type="gramStart"/>
      <w:r w:rsidR="009933DF">
        <w:rPr>
          <w:rFonts w:ascii="Times New Roman" w:hAnsi="Times New Roman"/>
          <w:lang w:val="pt-BR"/>
        </w:rPr>
        <w:t>CC(</w:t>
      </w:r>
      <w:proofErr w:type="gramEnd"/>
      <w:r w:rsidR="000C3A0C" w:rsidRPr="000C3A0C">
        <w:rPr>
          <w:rFonts w:ascii="Times New Roman" w:hAnsi="Times New Roman"/>
          <w:lang w:val="pt-BR"/>
        </w:rPr>
        <w:t>200-2)</w:t>
      </w:r>
      <w:r w:rsidR="009933DF">
        <w:rPr>
          <w:rFonts w:ascii="Times New Roman" w:hAnsi="Times New Roman"/>
          <w:lang w:val="pt-BR"/>
        </w:rPr>
        <w:t>]</w:t>
      </w:r>
      <w:r w:rsidR="000C3A0C" w:rsidRPr="000C3A0C">
        <w:rPr>
          <w:rFonts w:ascii="Times New Roman" w:hAnsi="Times New Roman"/>
          <w:lang w:val="pt-BR"/>
        </w:rPr>
        <w:t xml:space="preserve"> forneceram </w:t>
      </w:r>
      <w:r>
        <w:rPr>
          <w:rFonts w:ascii="Times New Roman" w:hAnsi="Times New Roman"/>
          <w:lang w:val="pt-BR"/>
        </w:rPr>
        <w:t>seletividades</w:t>
      </w:r>
      <w:r w:rsidR="000C3A0C" w:rsidRPr="000C3A0C">
        <w:rPr>
          <w:rFonts w:ascii="Times New Roman" w:hAnsi="Times New Roman"/>
          <w:lang w:val="pt-BR"/>
        </w:rPr>
        <w:t xml:space="preserve"> </w:t>
      </w:r>
      <w:r w:rsidR="009933DF">
        <w:rPr>
          <w:rFonts w:ascii="Times New Roman" w:hAnsi="Times New Roman"/>
          <w:lang w:val="pt-BR"/>
        </w:rPr>
        <w:t xml:space="preserve">próximas de </w:t>
      </w:r>
      <w:proofErr w:type="spellStart"/>
      <w:r w:rsidR="009933DF">
        <w:rPr>
          <w:rFonts w:ascii="Times New Roman" w:hAnsi="Times New Roman"/>
          <w:lang w:val="pt-BR"/>
        </w:rPr>
        <w:t>isoeugenol</w:t>
      </w:r>
      <w:proofErr w:type="spellEnd"/>
      <w:r w:rsidR="009933DF">
        <w:rPr>
          <w:rFonts w:ascii="Times New Roman" w:hAnsi="Times New Roman"/>
          <w:lang w:val="pt-BR"/>
        </w:rPr>
        <w:t xml:space="preserve"> ao fim do tempo de reação</w:t>
      </w:r>
      <w:r>
        <w:rPr>
          <w:rFonts w:ascii="Times New Roman" w:hAnsi="Times New Roman"/>
          <w:lang w:val="pt-BR"/>
        </w:rPr>
        <w:t>,</w:t>
      </w:r>
      <w:r w:rsidR="000C3A0C" w:rsidRPr="000C3A0C">
        <w:rPr>
          <w:rFonts w:ascii="Times New Roman" w:hAnsi="Times New Roman"/>
          <w:lang w:val="pt-BR"/>
        </w:rPr>
        <w:t xml:space="preserve"> o catalisador 30HPW/CC(200-2) demonstrou </w:t>
      </w:r>
      <w:r w:rsidR="002614CD">
        <w:rPr>
          <w:rFonts w:ascii="Times New Roman" w:hAnsi="Times New Roman"/>
          <w:lang w:val="pt-BR"/>
        </w:rPr>
        <w:t>um</w:t>
      </w:r>
      <w:r w:rsidR="000C3A0C" w:rsidRPr="000C3A0C">
        <w:rPr>
          <w:rFonts w:ascii="Times New Roman" w:hAnsi="Times New Roman"/>
          <w:lang w:val="pt-BR"/>
        </w:rPr>
        <w:t xml:space="preserve">a </w:t>
      </w:r>
      <w:r w:rsidR="002614CD">
        <w:rPr>
          <w:rFonts w:ascii="Times New Roman" w:hAnsi="Times New Roman"/>
          <w:lang w:val="pt-BR"/>
        </w:rPr>
        <w:t>maior</w:t>
      </w:r>
      <w:r w:rsidR="005449F7">
        <w:rPr>
          <w:rFonts w:ascii="Times New Roman" w:hAnsi="Times New Roman"/>
          <w:lang w:val="pt-BR"/>
        </w:rPr>
        <w:t xml:space="preserve"> </w:t>
      </w:r>
      <w:r w:rsidR="000C3A0C" w:rsidRPr="000C3A0C">
        <w:rPr>
          <w:rFonts w:ascii="Times New Roman" w:hAnsi="Times New Roman"/>
          <w:lang w:val="pt-BR"/>
        </w:rPr>
        <w:t>seletividade</w:t>
      </w:r>
      <w:r w:rsidR="005449F7">
        <w:rPr>
          <w:rFonts w:ascii="Times New Roman" w:hAnsi="Times New Roman"/>
          <w:lang w:val="pt-BR"/>
        </w:rPr>
        <w:t xml:space="preserve"> </w:t>
      </w:r>
      <w:r w:rsidR="002614CD">
        <w:rPr>
          <w:rFonts w:ascii="Times New Roman" w:hAnsi="Times New Roman"/>
          <w:lang w:val="pt-BR"/>
        </w:rPr>
        <w:t>para o produto de interesse</w:t>
      </w:r>
      <w:r>
        <w:rPr>
          <w:rFonts w:ascii="Times New Roman" w:hAnsi="Times New Roman"/>
          <w:lang w:val="pt-BR"/>
        </w:rPr>
        <w:t xml:space="preserve">, a vanilina </w:t>
      </w:r>
      <w:r w:rsidR="000C3A0C" w:rsidRPr="000C3A0C">
        <w:rPr>
          <w:rFonts w:ascii="Times New Roman" w:hAnsi="Times New Roman"/>
          <w:lang w:val="pt-BR"/>
        </w:rPr>
        <w:t xml:space="preserve">(&lt;54%) (Figura </w:t>
      </w:r>
      <w:r w:rsidR="00B847A1">
        <w:rPr>
          <w:rFonts w:ascii="Times New Roman" w:hAnsi="Times New Roman"/>
          <w:lang w:val="pt-BR"/>
        </w:rPr>
        <w:t>4</w:t>
      </w:r>
      <w:r w:rsidR="000C3A0C" w:rsidRPr="000C3A0C">
        <w:rPr>
          <w:rFonts w:ascii="Times New Roman" w:hAnsi="Times New Roman"/>
          <w:lang w:val="pt-BR"/>
        </w:rPr>
        <w:t xml:space="preserve">). Este resultado pode ser atribuído a um efeito de “aprisionamento” de HPW e </w:t>
      </w:r>
      <w:proofErr w:type="spellStart"/>
      <w:r w:rsidR="000C3A0C" w:rsidRPr="000C3A0C">
        <w:rPr>
          <w:rFonts w:ascii="Times New Roman" w:hAnsi="Times New Roman"/>
          <w:lang w:val="pt-BR"/>
        </w:rPr>
        <w:t>isoeugenol</w:t>
      </w:r>
      <w:proofErr w:type="spellEnd"/>
      <w:r w:rsidR="000C3A0C" w:rsidRPr="000C3A0C">
        <w:rPr>
          <w:rFonts w:ascii="Times New Roman" w:hAnsi="Times New Roman"/>
          <w:lang w:val="pt-BR"/>
        </w:rPr>
        <w:t xml:space="preserve"> dentro dos poros </w:t>
      </w:r>
      <w:r>
        <w:rPr>
          <w:rFonts w:ascii="Times New Roman" w:hAnsi="Times New Roman"/>
          <w:lang w:val="pt-BR"/>
        </w:rPr>
        <w:t>do catalisador</w:t>
      </w:r>
      <w:r w:rsidR="000C3A0C" w:rsidRPr="000C3A0C">
        <w:rPr>
          <w:rFonts w:ascii="Times New Roman" w:hAnsi="Times New Roman"/>
          <w:lang w:val="pt-BR"/>
        </w:rPr>
        <w:t xml:space="preserve"> 30HPW/</w:t>
      </w:r>
      <w:proofErr w:type="gramStart"/>
      <w:r w:rsidR="000C3A0C" w:rsidRPr="000C3A0C">
        <w:rPr>
          <w:rFonts w:ascii="Times New Roman" w:hAnsi="Times New Roman"/>
          <w:lang w:val="pt-BR"/>
        </w:rPr>
        <w:t>CC(</w:t>
      </w:r>
      <w:proofErr w:type="gramEnd"/>
      <w:r w:rsidR="000C3A0C" w:rsidRPr="000C3A0C">
        <w:rPr>
          <w:rFonts w:ascii="Times New Roman" w:hAnsi="Times New Roman"/>
          <w:lang w:val="pt-BR"/>
        </w:rPr>
        <w:t xml:space="preserve">200-2), levando a menores quantidades de produtos secundários, </w:t>
      </w:r>
      <w:r w:rsidR="00317DC7" w:rsidRPr="001D37FC">
        <w:rPr>
          <w:rFonts w:ascii="Times New Roman" w:hAnsi="Times New Roman"/>
          <w:lang w:val="pt-BR"/>
        </w:rPr>
        <w:t>conform</w:t>
      </w:r>
      <w:r w:rsidR="00317DC7">
        <w:rPr>
          <w:rFonts w:ascii="Times New Roman" w:hAnsi="Times New Roman"/>
          <w:lang w:val="pt-BR"/>
        </w:rPr>
        <w:t>e descrito na literatura</w:t>
      </w:r>
      <w:r w:rsidR="005449F7">
        <w:rPr>
          <w:rFonts w:ascii="Times New Roman" w:hAnsi="Times New Roman"/>
          <w:lang w:val="pt-BR"/>
        </w:rPr>
        <w:t xml:space="preserve"> (13,16,18).</w:t>
      </w:r>
      <w:r w:rsidR="00DD2083">
        <w:rPr>
          <w:rFonts w:ascii="Times New Roman" w:hAnsi="Times New Roman"/>
          <w:lang w:val="pt-BR"/>
        </w:rPr>
        <w:t xml:space="preserve"> </w:t>
      </w:r>
      <w:r w:rsidR="000C3A0C" w:rsidRPr="000C3A0C">
        <w:rPr>
          <w:rFonts w:ascii="Times New Roman" w:hAnsi="Times New Roman"/>
          <w:lang w:val="pt-BR"/>
        </w:rPr>
        <w:t xml:space="preserve">Portanto, o uso de HPW </w:t>
      </w:r>
      <w:r>
        <w:rPr>
          <w:rFonts w:ascii="Times New Roman" w:hAnsi="Times New Roman"/>
          <w:lang w:val="pt-BR"/>
        </w:rPr>
        <w:t xml:space="preserve">suportado em um </w:t>
      </w:r>
      <w:proofErr w:type="spellStart"/>
      <w:r w:rsidR="00E26F88">
        <w:rPr>
          <w:rFonts w:ascii="Times New Roman" w:hAnsi="Times New Roman"/>
          <w:lang w:val="pt-BR"/>
        </w:rPr>
        <w:t>biocarvão</w:t>
      </w:r>
      <w:proofErr w:type="spellEnd"/>
      <w:r>
        <w:rPr>
          <w:rFonts w:ascii="Times New Roman" w:hAnsi="Times New Roman"/>
          <w:lang w:val="pt-BR"/>
        </w:rPr>
        <w:t xml:space="preserve"> </w:t>
      </w:r>
      <w:r w:rsidR="000C3A0C" w:rsidRPr="000C3A0C">
        <w:rPr>
          <w:rFonts w:ascii="Times New Roman" w:hAnsi="Times New Roman"/>
          <w:lang w:val="pt-BR"/>
        </w:rPr>
        <w:t xml:space="preserve">aponta para </w:t>
      </w:r>
      <w:r>
        <w:rPr>
          <w:rFonts w:ascii="Times New Roman" w:hAnsi="Times New Roman"/>
          <w:lang w:val="pt-BR"/>
        </w:rPr>
        <w:t xml:space="preserve">a eficiência do </w:t>
      </w:r>
      <w:r w:rsidR="000C3A0C" w:rsidRPr="000C3A0C">
        <w:rPr>
          <w:rFonts w:ascii="Times New Roman" w:hAnsi="Times New Roman"/>
          <w:lang w:val="pt-BR"/>
        </w:rPr>
        <w:t xml:space="preserve">HPW como a fase </w:t>
      </w:r>
      <w:proofErr w:type="spellStart"/>
      <w:r w:rsidR="000C3A0C" w:rsidRPr="000C3A0C">
        <w:rPr>
          <w:rFonts w:ascii="Times New Roman" w:hAnsi="Times New Roman"/>
          <w:lang w:val="pt-BR"/>
        </w:rPr>
        <w:t>cataliticamente</w:t>
      </w:r>
      <w:proofErr w:type="spellEnd"/>
      <w:r w:rsidR="000C3A0C" w:rsidRPr="000C3A0C">
        <w:rPr>
          <w:rFonts w:ascii="Times New Roman" w:hAnsi="Times New Roman"/>
          <w:lang w:val="pt-BR"/>
        </w:rPr>
        <w:t xml:space="preserve"> ativa.</w:t>
      </w:r>
    </w:p>
    <w:p w14:paraId="2D57A9B6"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Os resultados aqui obtidos após 60 min de reação são comparáveis aos relatados por Franco et al.,</w:t>
      </w:r>
      <w:r w:rsidR="00E85848" w:rsidRPr="0077610A">
        <w:rPr>
          <w:rFonts w:ascii="Times New Roman" w:hAnsi="Times New Roman"/>
        </w:rPr>
        <w:fldChar w:fldCharType="begin" w:fldLock="1"/>
      </w:r>
      <w:r w:rsidR="00317DC7" w:rsidRPr="00317DC7">
        <w:rPr>
          <w:rFonts w:ascii="Times New Roman" w:hAnsi="Times New Roman"/>
          <w:lang w:val="pt-BR"/>
        </w:rPr>
        <w:instrText>ADDIN CSL_CITATION {"citationItems":[{"id":"ITEM-1","itemData":{"DOI":"10.1002/slct.201701273","ISSN":"23656549","abstract":"Selective and efficient production of vanillin from lignin-derived feedstocks has attracted attention to replace its current manufacturing process. Transition metal-based catalysts supported on mesoporous aluminosilicate were synthesized using a mechanochemical approach and subsequently investigated in vanillin production via the selective oxidation of isougenol. The mechanochemically synthesized catalysts exhibited a high isoeugenol conversion under mild conditions using H2O2 as oxidizing agent. Nb-based catalysts were found to provide the optimum conversion/selectivity under the investigated conditions (69% conversion, 66% vanillin selectivity, 2 h reaction). The synergistic effect between Fe/Nb and Al accounts as important key factor for optimum activity of catalytic systems.","author":[{"dropping-particle":"","family":"Franco","given":"Ana","non-dropping-particle":"","parse-names":false,"suffix":""},{"dropping-particle":"","family":"De","given":"Sudipta","non-dropping-particle":"","parse-names":false,"suffix":""},{"dropping-particle":"","family":"Balu","given":"Alina M.","non-dropping-particle":"","parse-names":false,"suffix":""},{"dropping-particle":"","family":"Romero","given":"Antonio A.","non-dropping-particle":"","parse-names":false,"suffix":""},{"dropping-particle":"","family":"Luque","given":"Rafael","non-dropping-particle":"","parse-names":false,"suffix":""}],"container-title":"ChemistrySelect","id":"ITEM-1","issue":"29","issued":{"date-parts":[["2017"]]},"page":"9546-9551","title":"Selective Oxidation of Isoeugenol to Vanillin over Mechanochemically Synthesized Aluminosilicate Supported Transition Metal Catalysts","type":"article-journal","volume":"2"},"uris":["http://www.mendeley.com/documents/?uuid=cab29e19-525c-408a-8fa9-93e13a71c6c4"]}],"mendeley":{"formattedCitation":"(FRANCO et al., 2017a)","plainTextFormattedCitation":"(FRANCO et al., 2017a)","previouslyFormattedCitation":"(FRANCO et al., 2017a)"},"properties":{"noteIndex":0},"schema":"https://github.com/citation-style-language/schema/raw/master/csl-citation.json"}</w:instrText>
      </w:r>
      <w:r w:rsidR="00E85848" w:rsidRPr="0077610A">
        <w:rPr>
          <w:rFonts w:ascii="Times New Roman" w:hAnsi="Times New Roman"/>
        </w:rPr>
        <w:fldChar w:fldCharType="separate"/>
      </w:r>
      <w:r w:rsidR="00317DC7" w:rsidRPr="00317DC7">
        <w:rPr>
          <w:rFonts w:ascii="Times New Roman" w:hAnsi="Times New Roman"/>
          <w:noProof/>
          <w:lang w:val="pt-BR"/>
        </w:rPr>
        <w:t>(</w:t>
      </w:r>
      <w:r w:rsidR="004C1005">
        <w:rPr>
          <w:rFonts w:ascii="Times New Roman" w:hAnsi="Times New Roman"/>
          <w:noProof/>
          <w:lang w:val="pt-BR"/>
        </w:rPr>
        <w:t>13</w:t>
      </w:r>
      <w:r w:rsidR="00317DC7" w:rsidRPr="00317DC7">
        <w:rPr>
          <w:rFonts w:ascii="Times New Roman" w:hAnsi="Times New Roman"/>
          <w:noProof/>
          <w:lang w:val="pt-BR"/>
        </w:rPr>
        <w:t xml:space="preserve">) </w:t>
      </w:r>
      <w:r w:rsidR="00E85848" w:rsidRPr="0077610A">
        <w:rPr>
          <w:rFonts w:ascii="Times New Roman" w:hAnsi="Times New Roman"/>
        </w:rPr>
        <w:fldChar w:fldCharType="end"/>
      </w:r>
      <w:r w:rsidR="00637D22">
        <w:rPr>
          <w:rFonts w:ascii="Times New Roman" w:hAnsi="Times New Roman"/>
          <w:lang w:val="pt-BR"/>
        </w:rPr>
        <w:t xml:space="preserve">utilizando </w:t>
      </w:r>
      <w:r w:rsidRPr="000C3A0C">
        <w:rPr>
          <w:rFonts w:ascii="Times New Roman" w:hAnsi="Times New Roman"/>
          <w:lang w:val="pt-BR"/>
        </w:rPr>
        <w:t xml:space="preserve">um catalisador </w:t>
      </w:r>
      <w:proofErr w:type="spellStart"/>
      <w:r w:rsidRPr="000C3A0C">
        <w:rPr>
          <w:rFonts w:ascii="Times New Roman" w:hAnsi="Times New Roman"/>
          <w:lang w:val="pt-BR"/>
        </w:rPr>
        <w:t>Nb</w:t>
      </w:r>
      <w:proofErr w:type="spellEnd"/>
      <w:r w:rsidRPr="000C3A0C">
        <w:rPr>
          <w:rFonts w:ascii="Times New Roman" w:hAnsi="Times New Roman"/>
          <w:lang w:val="pt-BR"/>
        </w:rPr>
        <w:t xml:space="preserve">/Al-SBA-15 na oxidação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em condições otimizadas (69% conversão, 66% de seletividade à vanilina em 2 h de reação a 90 °C). </w:t>
      </w:r>
      <w:r w:rsidR="009933DF">
        <w:rPr>
          <w:rFonts w:ascii="Times New Roman" w:hAnsi="Times New Roman"/>
          <w:lang w:val="pt-BR"/>
        </w:rPr>
        <w:t xml:space="preserve">E ao estudo de </w:t>
      </w:r>
      <w:proofErr w:type="spellStart"/>
      <w:r w:rsidRPr="000C3A0C">
        <w:rPr>
          <w:rFonts w:ascii="Times New Roman" w:hAnsi="Times New Roman"/>
          <w:lang w:val="pt-BR"/>
        </w:rPr>
        <w:t>Bohre</w:t>
      </w:r>
      <w:proofErr w:type="spellEnd"/>
      <w:r w:rsidRPr="000C3A0C">
        <w:rPr>
          <w:rFonts w:ascii="Times New Roman" w:hAnsi="Times New Roman"/>
          <w:lang w:val="pt-BR"/>
        </w:rPr>
        <w:t xml:space="preserve"> et al. </w:t>
      </w:r>
      <w:r w:rsidR="00317DC7" w:rsidRPr="00317DC7">
        <w:rPr>
          <w:rFonts w:ascii="Times New Roman" w:hAnsi="Times New Roman"/>
          <w:noProof/>
          <w:lang w:val="pt-BR"/>
        </w:rPr>
        <w:t>(</w:t>
      </w:r>
      <w:r w:rsidR="004C1005">
        <w:rPr>
          <w:rFonts w:ascii="Times New Roman" w:hAnsi="Times New Roman"/>
          <w:noProof/>
          <w:lang w:val="pt-BR"/>
        </w:rPr>
        <w:t>19</w:t>
      </w:r>
      <w:r w:rsidR="00317DC7" w:rsidRPr="00317DC7">
        <w:rPr>
          <w:rFonts w:ascii="Times New Roman" w:hAnsi="Times New Roman"/>
          <w:noProof/>
          <w:lang w:val="pt-BR"/>
        </w:rPr>
        <w:t>)</w:t>
      </w:r>
      <w:r w:rsidR="00CF5171">
        <w:rPr>
          <w:rFonts w:ascii="Times New Roman" w:hAnsi="Times New Roman"/>
          <w:noProof/>
          <w:lang w:val="pt-BR"/>
        </w:rPr>
        <w:t xml:space="preserve"> que utiliza</w:t>
      </w:r>
      <w:r w:rsidRPr="000C3A0C">
        <w:rPr>
          <w:rFonts w:ascii="Times New Roman" w:hAnsi="Times New Roman"/>
          <w:lang w:val="pt-BR"/>
        </w:rPr>
        <w:t xml:space="preserve"> o catalisador de óxido de cobre suportado por óxido de grafeno reduzido (</w:t>
      </w:r>
      <w:proofErr w:type="spellStart"/>
      <w:r w:rsidRPr="000C3A0C">
        <w:rPr>
          <w:rFonts w:ascii="Times New Roman" w:hAnsi="Times New Roman"/>
          <w:lang w:val="pt-BR"/>
        </w:rPr>
        <w:t>CuO</w:t>
      </w:r>
      <w:proofErr w:type="spellEnd"/>
      <w:r w:rsidRPr="000C3A0C">
        <w:rPr>
          <w:rFonts w:ascii="Times New Roman" w:hAnsi="Times New Roman"/>
          <w:lang w:val="pt-BR"/>
        </w:rPr>
        <w:t xml:space="preserve"> x (</w:t>
      </w:r>
      <w:proofErr w:type="gramStart"/>
      <w:r w:rsidRPr="000C3A0C">
        <w:rPr>
          <w:rFonts w:ascii="Times New Roman" w:hAnsi="Times New Roman"/>
          <w:lang w:val="pt-BR"/>
        </w:rPr>
        <w:t>20)/</w:t>
      </w:r>
      <w:proofErr w:type="spellStart"/>
      <w:proofErr w:type="gramEnd"/>
      <w:r w:rsidRPr="000C3A0C">
        <w:rPr>
          <w:rFonts w:ascii="Times New Roman" w:hAnsi="Times New Roman"/>
          <w:lang w:val="pt-BR"/>
        </w:rPr>
        <w:t>rGO</w:t>
      </w:r>
      <w:proofErr w:type="spellEnd"/>
      <w:r w:rsidRPr="000C3A0C">
        <w:rPr>
          <w:rFonts w:ascii="Times New Roman" w:hAnsi="Times New Roman"/>
          <w:lang w:val="pt-BR"/>
        </w:rPr>
        <w:t xml:space="preserve">) eficaz na oxidação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com alta conversão (87%) e alto rendimento de vanilina (53%) sob condições de reação brandas (50 °C), o sist</w:t>
      </w:r>
      <w:r w:rsidR="00542301">
        <w:rPr>
          <w:rFonts w:ascii="Times New Roman" w:hAnsi="Times New Roman"/>
          <w:lang w:val="pt-BR"/>
        </w:rPr>
        <w:t>ema teve que operar sob 4 bar O</w:t>
      </w:r>
      <w:r w:rsidRPr="00542301">
        <w:rPr>
          <w:rFonts w:ascii="Times New Roman" w:hAnsi="Times New Roman"/>
          <w:vertAlign w:val="subscript"/>
          <w:lang w:val="pt-BR"/>
        </w:rPr>
        <w:t>2</w:t>
      </w:r>
      <w:r w:rsidRPr="000C3A0C">
        <w:rPr>
          <w:rFonts w:ascii="Times New Roman" w:hAnsi="Times New Roman"/>
          <w:lang w:val="pt-BR"/>
        </w:rPr>
        <w:t xml:space="preserve"> por 24 h para minimizar a quantidade de subprodutos.</w:t>
      </w:r>
      <w:r w:rsidR="00743CE7">
        <w:rPr>
          <w:rFonts w:ascii="Times New Roman" w:hAnsi="Times New Roman"/>
          <w:lang w:val="pt-BR"/>
        </w:rPr>
        <w:t xml:space="preserve"> Tais estudos reforçam os resultados obtidos e a </w:t>
      </w:r>
      <w:r w:rsidR="00CF5171">
        <w:rPr>
          <w:rFonts w:ascii="Times New Roman" w:hAnsi="Times New Roman"/>
          <w:lang w:val="pt-BR"/>
        </w:rPr>
        <w:t xml:space="preserve">possibilidade do uso de suportes catalíticos de baixo custo </w:t>
      </w:r>
      <w:r w:rsidR="00743CE7">
        <w:rPr>
          <w:rFonts w:ascii="Times New Roman" w:hAnsi="Times New Roman"/>
          <w:lang w:val="pt-BR"/>
        </w:rPr>
        <w:t>e técnicas de impregnação menos nocivas ao meio ambiente.</w:t>
      </w:r>
    </w:p>
    <w:p w14:paraId="17166E55" w14:textId="77777777" w:rsidR="000C3A0C" w:rsidRPr="000C3A0C" w:rsidRDefault="000C3A0C" w:rsidP="000C3A0C">
      <w:pPr>
        <w:pStyle w:val="TAMainText"/>
        <w:ind w:firstLine="187"/>
        <w:rPr>
          <w:rFonts w:ascii="Times New Roman" w:hAnsi="Times New Roman"/>
          <w:lang w:val="pt-BR"/>
        </w:rPr>
      </w:pPr>
    </w:p>
    <w:p w14:paraId="529363BB"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7B65E741"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Neste estudo, foi desenvolvido um método simples para preparar um material catalítico impregnado com HPW. Com base nos resultados de nossa caracterização do catalisador e seu desempenho na oxidação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a vanilina, concluímos que nosso método de impregnação sem solventes tóxicos e corrosivos permitiu que o tungstênio fosse efetivamente impregnado na proporção de 25% em massa.</w:t>
      </w:r>
    </w:p>
    <w:p w14:paraId="0F659F27"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A caracterização dos catalisadores </w:t>
      </w:r>
      <w:r w:rsidR="007459A4">
        <w:rPr>
          <w:rFonts w:ascii="Times New Roman" w:hAnsi="Times New Roman"/>
          <w:lang w:val="pt-BR"/>
        </w:rPr>
        <w:t>mostrou que a casca da castanha-</w:t>
      </w:r>
      <w:r w:rsidRPr="000C3A0C">
        <w:rPr>
          <w:rFonts w:ascii="Times New Roman" w:hAnsi="Times New Roman"/>
          <w:lang w:val="pt-BR"/>
        </w:rPr>
        <w:t>do</w:t>
      </w:r>
      <w:r w:rsidR="007459A4">
        <w:rPr>
          <w:rFonts w:ascii="Times New Roman" w:hAnsi="Times New Roman"/>
          <w:lang w:val="pt-BR"/>
        </w:rPr>
        <w:t>-pará</w:t>
      </w:r>
      <w:r w:rsidRPr="000C3A0C">
        <w:rPr>
          <w:rFonts w:ascii="Times New Roman" w:hAnsi="Times New Roman"/>
          <w:lang w:val="pt-BR"/>
        </w:rPr>
        <w:t xml:space="preserve"> tem potencial como suporte catalítico para HPW, aumentando sua estabilidade térmica e possibilitando seu uso como catalisador heterogêneo.</w:t>
      </w:r>
    </w:p>
    <w:p w14:paraId="48975C6E" w14:textId="77777777" w:rsidR="000C3A0C" w:rsidRP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Para a reação de oxidação do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a vanilina, as reações do presente estudo foram conduzidas por 60 min a uma temperatura de 80°C e com uma proporção de peróxido de 1:10 em relação ao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e 1:32 em relação ao </w:t>
      </w:r>
      <w:proofErr w:type="spellStart"/>
      <w:r w:rsidRPr="000C3A0C">
        <w:rPr>
          <w:rFonts w:ascii="Times New Roman" w:hAnsi="Times New Roman"/>
          <w:lang w:val="pt-BR"/>
        </w:rPr>
        <w:t>acetonitrila</w:t>
      </w:r>
      <w:proofErr w:type="spellEnd"/>
      <w:r w:rsidRPr="000C3A0C">
        <w:rPr>
          <w:rFonts w:ascii="Times New Roman" w:hAnsi="Times New Roman"/>
          <w:lang w:val="pt-BR"/>
        </w:rPr>
        <w:t xml:space="preserve"> (como solvente), com uma quantidade de catalisador de 6%. Nessas condições, foi atingida uma conversão máxima de </w:t>
      </w:r>
      <w:proofErr w:type="spellStart"/>
      <w:r w:rsidRPr="000C3A0C">
        <w:rPr>
          <w:rFonts w:ascii="Times New Roman" w:hAnsi="Times New Roman"/>
          <w:lang w:val="pt-BR"/>
        </w:rPr>
        <w:t>isoeugenol</w:t>
      </w:r>
      <w:proofErr w:type="spellEnd"/>
      <w:r w:rsidRPr="000C3A0C">
        <w:rPr>
          <w:rFonts w:ascii="Times New Roman" w:hAnsi="Times New Roman"/>
          <w:lang w:val="pt-BR"/>
        </w:rPr>
        <w:t xml:space="preserve"> de 69%, onde a distribuição do produto seguiu a ordem vanilina </w:t>
      </w:r>
      <w:r w:rsidRPr="000C3A0C">
        <w:rPr>
          <w:rFonts w:ascii="Times New Roman" w:hAnsi="Times New Roman"/>
          <w:lang w:val="pt-BR"/>
        </w:rPr>
        <w:lastRenderedPageBreak/>
        <w:t xml:space="preserve">(&gt;54%) &gt; </w:t>
      </w:r>
      <w:proofErr w:type="spellStart"/>
      <w:r w:rsidRPr="000C3A0C">
        <w:rPr>
          <w:rFonts w:ascii="Times New Roman" w:hAnsi="Times New Roman"/>
          <w:lang w:val="pt-BR"/>
        </w:rPr>
        <w:t>vanilil</w:t>
      </w:r>
      <w:proofErr w:type="spellEnd"/>
      <w:r w:rsidRPr="000C3A0C">
        <w:rPr>
          <w:rFonts w:ascii="Times New Roman" w:hAnsi="Times New Roman"/>
          <w:lang w:val="pt-BR"/>
        </w:rPr>
        <w:t xml:space="preserve"> metil cetona (&lt;28%) &gt; metil3-hidroxi-4-metoxi</w:t>
      </w:r>
      <w:r w:rsidR="00DD2083">
        <w:rPr>
          <w:rFonts w:ascii="Times New Roman" w:hAnsi="Times New Roman"/>
          <w:lang w:val="pt-BR"/>
        </w:rPr>
        <w:t xml:space="preserve"> </w:t>
      </w:r>
      <w:r w:rsidRPr="000C3A0C">
        <w:rPr>
          <w:rFonts w:ascii="Times New Roman" w:hAnsi="Times New Roman"/>
          <w:lang w:val="pt-BR"/>
        </w:rPr>
        <w:t>fenil</w:t>
      </w:r>
      <w:r w:rsidR="00DD2083">
        <w:rPr>
          <w:rFonts w:ascii="Times New Roman" w:hAnsi="Times New Roman"/>
          <w:lang w:val="pt-BR"/>
        </w:rPr>
        <w:t xml:space="preserve"> </w:t>
      </w:r>
      <w:r w:rsidRPr="000C3A0C">
        <w:rPr>
          <w:rFonts w:ascii="Times New Roman" w:hAnsi="Times New Roman"/>
          <w:lang w:val="pt-BR"/>
        </w:rPr>
        <w:t>acetato (&lt;18%). O HPW puro mostrou 72% de conversão com uma distribuição de produto de metil3-hidroxi-4-metoxi</w:t>
      </w:r>
      <w:r w:rsidR="00DD2083">
        <w:rPr>
          <w:rFonts w:ascii="Times New Roman" w:hAnsi="Times New Roman"/>
          <w:lang w:val="pt-BR"/>
        </w:rPr>
        <w:t xml:space="preserve"> </w:t>
      </w:r>
      <w:r w:rsidRPr="000C3A0C">
        <w:rPr>
          <w:rFonts w:ascii="Times New Roman" w:hAnsi="Times New Roman"/>
          <w:lang w:val="pt-BR"/>
        </w:rPr>
        <w:t>fenil</w:t>
      </w:r>
      <w:r w:rsidR="00DD2083">
        <w:rPr>
          <w:rFonts w:ascii="Times New Roman" w:hAnsi="Times New Roman"/>
          <w:lang w:val="pt-BR"/>
        </w:rPr>
        <w:t xml:space="preserve"> </w:t>
      </w:r>
      <w:r w:rsidRPr="000C3A0C">
        <w:rPr>
          <w:rFonts w:ascii="Times New Roman" w:hAnsi="Times New Roman"/>
          <w:lang w:val="pt-BR"/>
        </w:rPr>
        <w:t xml:space="preserve">acetato (&lt;37%) &gt; vanilina (&lt;36%) &gt; </w:t>
      </w:r>
      <w:proofErr w:type="spellStart"/>
      <w:r w:rsidRPr="000C3A0C">
        <w:rPr>
          <w:rFonts w:ascii="Times New Roman" w:hAnsi="Times New Roman"/>
          <w:lang w:val="pt-BR"/>
        </w:rPr>
        <w:t>vanilil</w:t>
      </w:r>
      <w:proofErr w:type="spellEnd"/>
      <w:r w:rsidRPr="000C3A0C">
        <w:rPr>
          <w:rFonts w:ascii="Times New Roman" w:hAnsi="Times New Roman"/>
          <w:lang w:val="pt-BR"/>
        </w:rPr>
        <w:t xml:space="preserve"> metil cetona (&lt;25%).</w:t>
      </w:r>
    </w:p>
    <w:p w14:paraId="71C1C9D1" w14:textId="77777777" w:rsidR="000C3A0C" w:rsidRDefault="000C3A0C" w:rsidP="000C3A0C">
      <w:pPr>
        <w:pStyle w:val="TAMainText"/>
        <w:ind w:firstLine="187"/>
        <w:rPr>
          <w:rFonts w:ascii="Times New Roman" w:hAnsi="Times New Roman"/>
          <w:lang w:val="pt-BR"/>
        </w:rPr>
      </w:pPr>
      <w:r w:rsidRPr="000C3A0C">
        <w:rPr>
          <w:rFonts w:ascii="Times New Roman" w:hAnsi="Times New Roman"/>
          <w:lang w:val="pt-BR"/>
        </w:rPr>
        <w:t xml:space="preserve">As descobertas relatadas no presente trabalho podem abrir caminho para um processo mais sustentável de produção de </w:t>
      </w:r>
      <w:r w:rsidR="00637D22">
        <w:rPr>
          <w:rFonts w:ascii="Times New Roman" w:hAnsi="Times New Roman"/>
          <w:lang w:val="pt-BR"/>
        </w:rPr>
        <w:t xml:space="preserve">vanilina, </w:t>
      </w:r>
      <w:r w:rsidRPr="000C3A0C">
        <w:rPr>
          <w:rFonts w:ascii="Times New Roman" w:hAnsi="Times New Roman"/>
          <w:lang w:val="pt-BR"/>
        </w:rPr>
        <w:t>um aditivo alimentar e perfumado</w:t>
      </w:r>
      <w:r w:rsidR="00DD2083">
        <w:rPr>
          <w:rFonts w:ascii="Times New Roman" w:hAnsi="Times New Roman"/>
          <w:lang w:val="pt-BR"/>
        </w:rPr>
        <w:t xml:space="preserve"> </w:t>
      </w:r>
      <w:r w:rsidRPr="000C3A0C">
        <w:rPr>
          <w:rFonts w:ascii="Times New Roman" w:hAnsi="Times New Roman"/>
          <w:lang w:val="pt-BR"/>
        </w:rPr>
        <w:t xml:space="preserve">de alto valor agregado. Esperamos que os resultados apresentados no presente estudo </w:t>
      </w:r>
      <w:r w:rsidR="00DD2083">
        <w:rPr>
          <w:rFonts w:ascii="Times New Roman" w:hAnsi="Times New Roman"/>
          <w:lang w:val="pt-BR"/>
        </w:rPr>
        <w:t>impulsione</w:t>
      </w:r>
      <w:r w:rsidRPr="000C3A0C">
        <w:rPr>
          <w:rFonts w:ascii="Times New Roman" w:hAnsi="Times New Roman"/>
          <w:lang w:val="pt-BR"/>
        </w:rPr>
        <w:t xml:space="preserve"> a busca de diversas aplicações tanto para o catalisador 30HPW/ </w:t>
      </w:r>
      <w:proofErr w:type="gramStart"/>
      <w:r w:rsidRPr="000C3A0C">
        <w:rPr>
          <w:rFonts w:ascii="Times New Roman" w:hAnsi="Times New Roman"/>
          <w:lang w:val="pt-BR"/>
        </w:rPr>
        <w:t>CC( 200</w:t>
      </w:r>
      <w:proofErr w:type="gramEnd"/>
      <w:r w:rsidRPr="000C3A0C">
        <w:rPr>
          <w:rFonts w:ascii="Times New Roman" w:hAnsi="Times New Roman"/>
          <w:lang w:val="pt-BR"/>
        </w:rPr>
        <w:t xml:space="preserve">-2) quanto para o suporte </w:t>
      </w:r>
      <w:proofErr w:type="spellStart"/>
      <w:r w:rsidR="00E26F88">
        <w:rPr>
          <w:rFonts w:ascii="Times New Roman" w:hAnsi="Times New Roman"/>
          <w:lang w:val="pt-BR"/>
        </w:rPr>
        <w:t>biocarvão</w:t>
      </w:r>
      <w:proofErr w:type="spellEnd"/>
      <w:r w:rsidRPr="000C3A0C">
        <w:rPr>
          <w:rFonts w:ascii="Times New Roman" w:hAnsi="Times New Roman"/>
          <w:lang w:val="pt-BR"/>
        </w:rPr>
        <w:t xml:space="preserve"> em reações de oxidação e remoção de metais pesados, entre outras aplicações</w:t>
      </w:r>
    </w:p>
    <w:p w14:paraId="3268394F" w14:textId="77777777" w:rsidR="00EA4E1B" w:rsidRPr="001F25B2" w:rsidRDefault="00EA4E1B" w:rsidP="00810573">
      <w:pPr>
        <w:pStyle w:val="TAMainText"/>
        <w:ind w:firstLine="0"/>
        <w:rPr>
          <w:rFonts w:ascii="Times New Roman" w:hAnsi="Times New Roman"/>
          <w:lang w:val="pt-BR"/>
        </w:rPr>
      </w:pPr>
    </w:p>
    <w:p w14:paraId="636B5234"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273D922C" w14:textId="77777777" w:rsidR="00EA4E1B" w:rsidRPr="001F25B2" w:rsidRDefault="000C3A0C" w:rsidP="0025503C">
      <w:pPr>
        <w:pStyle w:val="TAMainText"/>
        <w:rPr>
          <w:rFonts w:ascii="Times New Roman" w:hAnsi="Times New Roman"/>
          <w:lang w:val="pt-BR"/>
        </w:rPr>
      </w:pPr>
      <w:r w:rsidRPr="000C3A0C">
        <w:rPr>
          <w:rFonts w:ascii="Times New Roman" w:hAnsi="Times New Roman"/>
          <w:lang w:val="pt-BR"/>
        </w:rPr>
        <w:t>Os autores agradecem ao PROPESP/UFPA pelo apoio. Este trabalho foi financiado pelo CNPQ, bolsa número 315279/2021-4 (bolsa LASN)</w:t>
      </w:r>
      <w:r w:rsidR="00ED4732">
        <w:rPr>
          <w:rFonts w:ascii="Times New Roman" w:hAnsi="Times New Roman"/>
          <w:lang w:val="pt-BR"/>
        </w:rPr>
        <w:t>, BASA (233/2022)</w:t>
      </w:r>
      <w:r w:rsidRPr="000C3A0C">
        <w:rPr>
          <w:rFonts w:ascii="Times New Roman" w:hAnsi="Times New Roman"/>
          <w:lang w:val="pt-BR"/>
        </w:rPr>
        <w:t xml:space="preserve"> e CAPES (bolsa de doutorado da AAFC). </w:t>
      </w:r>
    </w:p>
    <w:p w14:paraId="001D7070"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046F32FC" w14:textId="77777777" w:rsidR="00802BC0" w:rsidRDefault="00E85848"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6B1E04">
        <w:rPr>
          <w:rFonts w:ascii="Times" w:hAnsi="Times" w:cs="Times"/>
          <w:noProof/>
          <w:sz w:val="20"/>
          <w:szCs w:val="20"/>
        </w:rPr>
        <w:t>1.</w:t>
      </w:r>
      <w:r w:rsidRPr="006B1E04">
        <w:rPr>
          <w:rFonts w:ascii="Times" w:hAnsi="Times" w:cs="Times"/>
          <w:noProof/>
          <w:sz w:val="20"/>
          <w:szCs w:val="20"/>
        </w:rPr>
        <w:tab/>
      </w:r>
      <w:r w:rsidR="002A7758" w:rsidRPr="006B1E04">
        <w:rPr>
          <w:rFonts w:ascii="Times" w:hAnsi="Times" w:cs="Times"/>
          <w:noProof/>
          <w:sz w:val="20"/>
          <w:szCs w:val="20"/>
        </w:rPr>
        <w:t xml:space="preserve">RAHMANIVAHID, B. et al. </w:t>
      </w:r>
      <w:r w:rsidR="002A7758" w:rsidRPr="002A7758">
        <w:rPr>
          <w:rFonts w:ascii="Times" w:hAnsi="Times" w:cs="Times"/>
          <w:noProof/>
          <w:sz w:val="20"/>
          <w:szCs w:val="20"/>
          <w:lang w:val="en-US"/>
        </w:rPr>
        <w:t>Mechanochemical synthesis of CuO/MgAl2O4 and MgFe2O4 spinels for vanillin production from isoeugenol and vanillyl alcohol. Molecules</w:t>
      </w:r>
      <w:r w:rsidR="00B36B31" w:rsidRPr="002A7758">
        <w:rPr>
          <w:rFonts w:ascii="Times" w:hAnsi="Times" w:cs="Times"/>
          <w:noProof/>
          <w:sz w:val="20"/>
          <w:szCs w:val="20"/>
          <w:lang w:val="en-US"/>
        </w:rPr>
        <w:t xml:space="preserve">, </w:t>
      </w:r>
      <w:r w:rsidRPr="00E85848">
        <w:rPr>
          <w:rFonts w:ascii="Times" w:hAnsi="Times" w:cs="Times"/>
          <w:b/>
          <w:noProof/>
          <w:sz w:val="20"/>
          <w:szCs w:val="20"/>
          <w:lang w:val="en-US"/>
        </w:rPr>
        <w:t>2019</w:t>
      </w:r>
      <w:r w:rsidR="002A7758" w:rsidRPr="002A7758">
        <w:rPr>
          <w:rFonts w:ascii="Times" w:hAnsi="Times" w:cs="Times"/>
          <w:noProof/>
          <w:sz w:val="20"/>
          <w:szCs w:val="20"/>
          <w:lang w:val="en-US"/>
        </w:rPr>
        <w:t>, v. 24, n. 14.</w:t>
      </w:r>
      <w:r w:rsidRPr="00E85848">
        <w:rPr>
          <w:rFonts w:ascii="Times" w:hAnsi="Times" w:cs="Times"/>
          <w:noProof/>
          <w:sz w:val="20"/>
          <w:szCs w:val="20"/>
          <w:lang w:val="en-US"/>
        </w:rPr>
        <w:t xml:space="preserve"> </w:t>
      </w:r>
    </w:p>
    <w:p w14:paraId="3903AD2A" w14:textId="77777777" w:rsidR="00802BC0"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F61317">
        <w:rPr>
          <w:rFonts w:ascii="Times" w:hAnsi="Times" w:cs="Times"/>
          <w:noProof/>
          <w:sz w:val="20"/>
          <w:szCs w:val="20"/>
          <w:lang w:val="en-US"/>
        </w:rPr>
        <w:t xml:space="preserve">2. </w:t>
      </w:r>
      <w:r w:rsidR="00B36B31">
        <w:rPr>
          <w:rFonts w:ascii="Times" w:hAnsi="Times" w:cs="Times"/>
          <w:noProof/>
          <w:sz w:val="20"/>
          <w:szCs w:val="20"/>
          <w:lang w:val="en-US"/>
        </w:rPr>
        <w:tab/>
      </w:r>
      <w:r w:rsidR="00B36B31" w:rsidRPr="00B36B31">
        <w:rPr>
          <w:rFonts w:ascii="Times" w:hAnsi="Times" w:cs="Times"/>
          <w:noProof/>
          <w:sz w:val="20"/>
          <w:szCs w:val="20"/>
          <w:lang w:val="en-US"/>
        </w:rPr>
        <w:t xml:space="preserve">ZHAO, X. et al. Metal Oxide-Stabilized Hetero-Single-Atoms for Oxidative Cleavage of Biomass-Derived Isoeugenol to Vanillin. </w:t>
      </w:r>
      <w:r w:rsidR="00B36B31" w:rsidRPr="006B1E04">
        <w:rPr>
          <w:rFonts w:ascii="Times" w:hAnsi="Times" w:cs="Times"/>
          <w:noProof/>
          <w:sz w:val="20"/>
          <w:szCs w:val="20"/>
        </w:rPr>
        <w:t xml:space="preserve">ACS Catalysis, </w:t>
      </w:r>
      <w:r w:rsidR="00E85848" w:rsidRPr="006B1E04">
        <w:rPr>
          <w:rFonts w:ascii="Times" w:hAnsi="Times" w:cs="Times"/>
          <w:b/>
          <w:noProof/>
          <w:sz w:val="20"/>
          <w:szCs w:val="20"/>
        </w:rPr>
        <w:t>2022</w:t>
      </w:r>
      <w:r w:rsidR="00B36B31" w:rsidRPr="006B1E04">
        <w:rPr>
          <w:rFonts w:ascii="Times" w:hAnsi="Times" w:cs="Times"/>
          <w:noProof/>
          <w:sz w:val="20"/>
          <w:szCs w:val="20"/>
        </w:rPr>
        <w:t>, v. 12, n. 14, p. 8503–8510.</w:t>
      </w:r>
      <w:r w:rsidR="00B36B31" w:rsidRPr="006B1E04" w:rsidDel="00B36B31">
        <w:rPr>
          <w:rFonts w:ascii="Times" w:hAnsi="Times" w:cs="Times"/>
          <w:noProof/>
          <w:sz w:val="20"/>
          <w:szCs w:val="20"/>
        </w:rPr>
        <w:t xml:space="preserve"> </w:t>
      </w:r>
    </w:p>
    <w:p w14:paraId="5D16EE45" w14:textId="77777777" w:rsidR="00E12659" w:rsidRPr="00847250" w:rsidRDefault="00B5384C"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Pr>
          <w:rFonts w:ascii="Times" w:hAnsi="Times" w:cs="Times"/>
          <w:noProof/>
          <w:sz w:val="20"/>
          <w:szCs w:val="20"/>
        </w:rPr>
        <w:t>3.</w:t>
      </w:r>
      <w:r>
        <w:rPr>
          <w:rFonts w:ascii="Times" w:hAnsi="Times" w:cs="Times"/>
          <w:noProof/>
          <w:sz w:val="20"/>
          <w:szCs w:val="20"/>
        </w:rPr>
        <w:tab/>
      </w:r>
      <w:r w:rsidR="00E12659" w:rsidRPr="00E12659">
        <w:rPr>
          <w:rFonts w:ascii="Times" w:hAnsi="Times" w:cs="Times"/>
          <w:noProof/>
          <w:sz w:val="20"/>
          <w:szCs w:val="20"/>
        </w:rPr>
        <w:t xml:space="preserve">MA, Z.; DAI, S. Desenvolvimento de novos catalisadores de ouro suportados: uma perspectiva de materiais. </w:t>
      </w:r>
      <w:r w:rsidR="00E12659" w:rsidRPr="00847250">
        <w:rPr>
          <w:rFonts w:ascii="Times" w:hAnsi="Times" w:cs="Times"/>
          <w:bCs/>
          <w:noProof/>
          <w:sz w:val="20"/>
          <w:szCs w:val="20"/>
          <w:lang w:val="en-US"/>
        </w:rPr>
        <w:t>Nano Research</w:t>
      </w:r>
      <w:r w:rsidR="00F61317" w:rsidRPr="00847250">
        <w:rPr>
          <w:rFonts w:ascii="Times" w:hAnsi="Times" w:cs="Times"/>
          <w:bCs/>
          <w:noProof/>
          <w:sz w:val="20"/>
          <w:szCs w:val="20"/>
          <w:lang w:val="en-US"/>
        </w:rPr>
        <w:t>,</w:t>
      </w:r>
      <w:r w:rsidR="00F61317" w:rsidRPr="00847250">
        <w:rPr>
          <w:rFonts w:ascii="Times" w:hAnsi="Times" w:cs="Times"/>
          <w:b/>
          <w:noProof/>
          <w:sz w:val="20"/>
          <w:szCs w:val="20"/>
          <w:lang w:val="en-US"/>
        </w:rPr>
        <w:t>2011</w:t>
      </w:r>
      <w:r w:rsidR="00E12659" w:rsidRPr="00847250">
        <w:rPr>
          <w:rFonts w:ascii="Times" w:hAnsi="Times" w:cs="Times"/>
          <w:noProof/>
          <w:sz w:val="20"/>
          <w:szCs w:val="20"/>
          <w:lang w:val="en-US"/>
        </w:rPr>
        <w:t>, 4, 1,</w:t>
      </w:r>
      <w:r w:rsidR="00F61317" w:rsidRPr="00847250">
        <w:rPr>
          <w:rFonts w:ascii="Times" w:hAnsi="Times" w:cs="Times"/>
          <w:noProof/>
          <w:sz w:val="20"/>
          <w:szCs w:val="20"/>
          <w:lang w:val="en-US"/>
        </w:rPr>
        <w:t xml:space="preserve"> 3–32, 12</w:t>
      </w:r>
      <w:r w:rsidR="00E12659" w:rsidRPr="00847250">
        <w:rPr>
          <w:rFonts w:ascii="Times" w:hAnsi="Times" w:cs="Times"/>
          <w:noProof/>
          <w:sz w:val="20"/>
          <w:szCs w:val="20"/>
          <w:lang w:val="en-US"/>
        </w:rPr>
        <w:t>.</w:t>
      </w:r>
    </w:p>
    <w:p w14:paraId="53BFC819" w14:textId="77777777" w:rsidR="00E12659"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4. </w:t>
      </w:r>
      <w:r w:rsidR="00802BC0" w:rsidRPr="00847250">
        <w:rPr>
          <w:rFonts w:ascii="Times" w:hAnsi="Times" w:cs="Times"/>
          <w:noProof/>
          <w:sz w:val="20"/>
          <w:szCs w:val="20"/>
          <w:lang w:val="en-US"/>
        </w:rPr>
        <w:tab/>
      </w:r>
      <w:r w:rsidRPr="00847250">
        <w:rPr>
          <w:rFonts w:ascii="Times" w:hAnsi="Times" w:cs="Times"/>
          <w:noProof/>
          <w:sz w:val="20"/>
          <w:szCs w:val="20"/>
          <w:lang w:val="en-US"/>
        </w:rPr>
        <w:t>TAMBORINI, L</w:t>
      </w:r>
      <w:r w:rsidR="00534020" w:rsidRPr="00847250">
        <w:rPr>
          <w:rFonts w:ascii="Times" w:hAnsi="Times" w:cs="Times"/>
          <w:noProof/>
          <w:sz w:val="20"/>
          <w:szCs w:val="20"/>
          <w:lang w:val="en-US"/>
        </w:rPr>
        <w:t xml:space="preserve">. </w:t>
      </w:r>
      <w:r w:rsidRPr="00847250">
        <w:rPr>
          <w:rFonts w:ascii="Times" w:hAnsi="Times" w:cs="Times"/>
          <w:noProof/>
          <w:sz w:val="20"/>
          <w:szCs w:val="20"/>
          <w:lang w:val="en-US"/>
        </w:rPr>
        <w:t>H</w:t>
      </w:r>
      <w:r w:rsidR="00534020" w:rsidRPr="00847250">
        <w:rPr>
          <w:rFonts w:ascii="Times" w:hAnsi="Times" w:cs="Times"/>
          <w:noProof/>
          <w:sz w:val="20"/>
          <w:szCs w:val="20"/>
          <w:lang w:val="en-US"/>
        </w:rPr>
        <w:t>.</w:t>
      </w:r>
      <w:r w:rsidRPr="00847250">
        <w:rPr>
          <w:rFonts w:ascii="Times" w:hAnsi="Times" w:cs="Times"/>
          <w:noProof/>
          <w:sz w:val="20"/>
          <w:szCs w:val="20"/>
          <w:lang w:val="en-US"/>
        </w:rPr>
        <w:t xml:space="preserve"> et al. </w:t>
      </w:r>
      <w:r w:rsidR="00802BC0" w:rsidRPr="00802BC0">
        <w:rPr>
          <w:rFonts w:ascii="Times" w:hAnsi="Times" w:cs="Times"/>
          <w:noProof/>
          <w:sz w:val="20"/>
          <w:szCs w:val="20"/>
          <w:lang w:val="en-US"/>
        </w:rPr>
        <w:t>Application of sulfonated nanoporous carbons as acid catalysts for Fischer esterification reactions</w:t>
      </w:r>
      <w:r w:rsidRPr="00802BC0">
        <w:rPr>
          <w:rFonts w:ascii="Times" w:hAnsi="Times" w:cs="Times"/>
          <w:noProof/>
          <w:sz w:val="20"/>
          <w:szCs w:val="20"/>
          <w:lang w:val="en-US"/>
        </w:rPr>
        <w:t xml:space="preserve">. </w:t>
      </w:r>
      <w:r w:rsidRPr="00847250">
        <w:rPr>
          <w:rFonts w:ascii="Times" w:hAnsi="Times" w:cs="Times"/>
          <w:bCs/>
          <w:noProof/>
          <w:sz w:val="20"/>
          <w:szCs w:val="20"/>
          <w:lang w:val="en-US"/>
        </w:rPr>
        <w:t>Arabian Journal of Chemistry</w:t>
      </w:r>
      <w:r w:rsidR="00F61317" w:rsidRPr="00847250">
        <w:rPr>
          <w:rFonts w:ascii="Times" w:hAnsi="Times" w:cs="Times"/>
          <w:noProof/>
          <w:sz w:val="20"/>
          <w:szCs w:val="20"/>
          <w:lang w:val="en-US"/>
        </w:rPr>
        <w:t xml:space="preserve">, </w:t>
      </w:r>
      <w:r w:rsidR="00F61317" w:rsidRPr="00847250">
        <w:rPr>
          <w:rFonts w:ascii="Times" w:hAnsi="Times" w:cs="Times"/>
          <w:b/>
          <w:noProof/>
          <w:sz w:val="20"/>
          <w:szCs w:val="20"/>
          <w:lang w:val="en-US"/>
        </w:rPr>
        <w:t>2019</w:t>
      </w:r>
      <w:r w:rsidRPr="00847250">
        <w:rPr>
          <w:rFonts w:ascii="Times" w:hAnsi="Times" w:cs="Times"/>
          <w:noProof/>
          <w:sz w:val="20"/>
          <w:szCs w:val="20"/>
          <w:lang w:val="en-US"/>
        </w:rPr>
        <w:t>, 12,8, 3172–3182.</w:t>
      </w:r>
    </w:p>
    <w:p w14:paraId="7F6C4AA8" w14:textId="77777777" w:rsidR="007B6FCB" w:rsidRPr="0053402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5.  </w:t>
      </w:r>
      <w:r w:rsidR="00802BC0" w:rsidRPr="00847250">
        <w:rPr>
          <w:rFonts w:ascii="Times" w:hAnsi="Times" w:cs="Times"/>
          <w:noProof/>
          <w:sz w:val="20"/>
          <w:szCs w:val="20"/>
          <w:lang w:val="en-US"/>
        </w:rPr>
        <w:tab/>
      </w:r>
      <w:r w:rsidR="007B6FCB" w:rsidRPr="00847250">
        <w:rPr>
          <w:rFonts w:ascii="Times" w:hAnsi="Times" w:cs="Times"/>
          <w:noProof/>
          <w:sz w:val="20"/>
          <w:szCs w:val="20"/>
          <w:lang w:val="en-US"/>
        </w:rPr>
        <w:t>ARAUJO, R</w:t>
      </w:r>
      <w:r w:rsidR="00D36F95" w:rsidRPr="00847250">
        <w:rPr>
          <w:rFonts w:ascii="Times" w:hAnsi="Times" w:cs="Times"/>
          <w:noProof/>
          <w:sz w:val="20"/>
          <w:szCs w:val="20"/>
          <w:lang w:val="en-US"/>
        </w:rPr>
        <w:t xml:space="preserve">. </w:t>
      </w:r>
      <w:r w:rsidR="007B6FCB" w:rsidRPr="00847250">
        <w:rPr>
          <w:rFonts w:ascii="Times" w:hAnsi="Times" w:cs="Times"/>
          <w:noProof/>
          <w:sz w:val="20"/>
          <w:szCs w:val="20"/>
          <w:lang w:val="en-US"/>
        </w:rPr>
        <w:t xml:space="preserve">O et al. </w:t>
      </w:r>
      <w:r w:rsidR="00D36F95" w:rsidRPr="00534020">
        <w:rPr>
          <w:rFonts w:ascii="Times" w:hAnsi="Times" w:cs="Times"/>
          <w:noProof/>
          <w:sz w:val="20"/>
          <w:szCs w:val="20"/>
          <w:lang w:val="en-US"/>
        </w:rPr>
        <w:t>Low temperature sulfonation of acai stone biomass derived carbons as acid catalysts for esterification reactions.</w:t>
      </w:r>
      <w:r w:rsidR="00534020">
        <w:rPr>
          <w:rFonts w:ascii="Times" w:hAnsi="Times" w:cs="Times"/>
          <w:noProof/>
          <w:sz w:val="20"/>
          <w:szCs w:val="20"/>
          <w:lang w:val="en-US"/>
        </w:rPr>
        <w:t xml:space="preserve"> </w:t>
      </w:r>
      <w:r w:rsidR="00534020" w:rsidRPr="00534020">
        <w:rPr>
          <w:rFonts w:ascii="Times" w:hAnsi="Times" w:cs="Times"/>
          <w:noProof/>
          <w:sz w:val="20"/>
          <w:szCs w:val="20"/>
          <w:lang w:val="en-US"/>
        </w:rPr>
        <w:t>Energy Conversion and Management</w:t>
      </w:r>
      <w:r w:rsidR="00B5384C" w:rsidRPr="00534020">
        <w:rPr>
          <w:rFonts w:ascii="Times" w:hAnsi="Times" w:cs="Times"/>
          <w:bCs/>
          <w:noProof/>
          <w:sz w:val="20"/>
          <w:szCs w:val="20"/>
          <w:lang w:val="en-US"/>
        </w:rPr>
        <w:t>,</w:t>
      </w:r>
      <w:r w:rsidR="00534020">
        <w:rPr>
          <w:rFonts w:ascii="Times" w:hAnsi="Times" w:cs="Times"/>
          <w:bCs/>
          <w:noProof/>
          <w:sz w:val="20"/>
          <w:szCs w:val="20"/>
          <w:lang w:val="en-US"/>
        </w:rPr>
        <w:t xml:space="preserve"> </w:t>
      </w:r>
      <w:r w:rsidR="00B5384C" w:rsidRPr="00534020">
        <w:rPr>
          <w:rFonts w:ascii="Times" w:hAnsi="Times" w:cs="Times"/>
          <w:b/>
          <w:noProof/>
          <w:sz w:val="20"/>
          <w:szCs w:val="20"/>
          <w:lang w:val="en-US"/>
        </w:rPr>
        <w:t>2019</w:t>
      </w:r>
      <w:r w:rsidR="007B6FCB" w:rsidRPr="00534020">
        <w:rPr>
          <w:rFonts w:ascii="Times" w:hAnsi="Times" w:cs="Times"/>
          <w:noProof/>
          <w:sz w:val="20"/>
          <w:szCs w:val="20"/>
          <w:lang w:val="en-US"/>
        </w:rPr>
        <w:t>, 196,</w:t>
      </w:r>
      <w:r w:rsidR="00F61317" w:rsidRPr="00534020">
        <w:rPr>
          <w:rFonts w:ascii="Times" w:hAnsi="Times" w:cs="Times"/>
          <w:noProof/>
          <w:sz w:val="20"/>
          <w:szCs w:val="20"/>
          <w:lang w:val="en-US"/>
        </w:rPr>
        <w:t xml:space="preserve">  4</w:t>
      </w:r>
      <w:r w:rsidR="007B6FCB" w:rsidRPr="00534020">
        <w:rPr>
          <w:rFonts w:ascii="Times" w:hAnsi="Times" w:cs="Times"/>
          <w:noProof/>
          <w:sz w:val="20"/>
          <w:szCs w:val="20"/>
          <w:lang w:val="en-US"/>
        </w:rPr>
        <w:t>,  821–830.</w:t>
      </w:r>
    </w:p>
    <w:p w14:paraId="78791E97" w14:textId="77777777" w:rsidR="007B6FCB" w:rsidRPr="00E12659"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847250">
        <w:rPr>
          <w:rFonts w:ascii="Times" w:hAnsi="Times" w:cs="Times"/>
          <w:noProof/>
          <w:sz w:val="20"/>
          <w:szCs w:val="20"/>
          <w:lang w:val="en-US"/>
        </w:rPr>
        <w:t xml:space="preserve">6. </w:t>
      </w:r>
      <w:r w:rsidR="00802BC0" w:rsidRPr="00847250">
        <w:rPr>
          <w:rFonts w:ascii="Times" w:hAnsi="Times" w:cs="Times"/>
          <w:noProof/>
          <w:sz w:val="20"/>
          <w:szCs w:val="20"/>
          <w:lang w:val="en-US"/>
        </w:rPr>
        <w:tab/>
      </w:r>
      <w:r w:rsidR="007B6FCB" w:rsidRPr="00847250">
        <w:rPr>
          <w:rFonts w:ascii="Times" w:hAnsi="Times" w:cs="Times"/>
          <w:noProof/>
          <w:sz w:val="20"/>
          <w:szCs w:val="20"/>
          <w:lang w:val="en-US"/>
        </w:rPr>
        <w:t>BASTOS, R</w:t>
      </w:r>
      <w:r w:rsidR="00534020" w:rsidRPr="00847250">
        <w:rPr>
          <w:rFonts w:ascii="Times" w:hAnsi="Times" w:cs="Times"/>
          <w:noProof/>
          <w:sz w:val="20"/>
          <w:szCs w:val="20"/>
          <w:lang w:val="en-US"/>
        </w:rPr>
        <w:t xml:space="preserve">. </w:t>
      </w:r>
      <w:r w:rsidR="007B6FCB" w:rsidRPr="00847250">
        <w:rPr>
          <w:rFonts w:ascii="Times" w:hAnsi="Times" w:cs="Times"/>
          <w:noProof/>
          <w:sz w:val="20"/>
          <w:szCs w:val="20"/>
          <w:lang w:val="en-US"/>
        </w:rPr>
        <w:t>R</w:t>
      </w:r>
      <w:r w:rsidR="00534020" w:rsidRPr="00847250">
        <w:rPr>
          <w:rFonts w:ascii="Times" w:hAnsi="Times" w:cs="Times"/>
          <w:noProof/>
          <w:sz w:val="20"/>
          <w:szCs w:val="20"/>
          <w:lang w:val="en-US"/>
        </w:rPr>
        <w:t xml:space="preserve">. </w:t>
      </w:r>
      <w:r w:rsidR="007B6FCB" w:rsidRPr="00847250">
        <w:rPr>
          <w:rFonts w:ascii="Times" w:hAnsi="Times" w:cs="Times"/>
          <w:noProof/>
          <w:sz w:val="20"/>
          <w:szCs w:val="20"/>
          <w:lang w:val="en-US"/>
        </w:rPr>
        <w:t>C</w:t>
      </w:r>
      <w:r w:rsidR="00534020" w:rsidRPr="00847250">
        <w:rPr>
          <w:rFonts w:ascii="Times" w:hAnsi="Times" w:cs="Times"/>
          <w:noProof/>
          <w:sz w:val="20"/>
          <w:szCs w:val="20"/>
          <w:lang w:val="en-US"/>
        </w:rPr>
        <w:t>.</w:t>
      </w:r>
      <w:r w:rsidR="007B6FCB" w:rsidRPr="00847250">
        <w:rPr>
          <w:rFonts w:ascii="Times" w:hAnsi="Times" w:cs="Times"/>
          <w:noProof/>
          <w:sz w:val="20"/>
          <w:szCs w:val="20"/>
          <w:lang w:val="en-US"/>
        </w:rPr>
        <w:t xml:space="preserve"> et al. </w:t>
      </w:r>
      <w:r w:rsidR="00D36F95" w:rsidRPr="00D36F95">
        <w:rPr>
          <w:rFonts w:ascii="Times" w:hAnsi="Times" w:cs="Times"/>
          <w:noProof/>
          <w:sz w:val="20"/>
          <w:szCs w:val="20"/>
          <w:lang w:val="en-US"/>
        </w:rPr>
        <w:t>Optimization of biodiesel production using sulfonated carbon-based catalyst from an amazon agro-industrial waste.</w:t>
      </w:r>
      <w:r w:rsidR="007B6FCB" w:rsidRPr="00D36F95">
        <w:rPr>
          <w:rFonts w:ascii="Times" w:hAnsi="Times" w:cs="Times"/>
          <w:noProof/>
          <w:sz w:val="20"/>
          <w:szCs w:val="20"/>
          <w:lang w:val="en-US"/>
        </w:rPr>
        <w:t xml:space="preserve"> </w:t>
      </w:r>
      <w:r w:rsidR="007B6FCB" w:rsidRPr="00E12659">
        <w:rPr>
          <w:rFonts w:ascii="Times" w:hAnsi="Times" w:cs="Times"/>
          <w:bCs/>
          <w:noProof/>
          <w:sz w:val="20"/>
          <w:szCs w:val="20"/>
        </w:rPr>
        <w:t>Conversão e Gestão de Energia</w:t>
      </w:r>
      <w:r w:rsidR="00D36F95">
        <w:rPr>
          <w:rFonts w:ascii="Times" w:hAnsi="Times" w:cs="Times"/>
          <w:bCs/>
          <w:noProof/>
          <w:sz w:val="20"/>
          <w:szCs w:val="20"/>
        </w:rPr>
        <w:t xml:space="preserve">. </w:t>
      </w:r>
      <w:r w:rsidR="00F61317">
        <w:rPr>
          <w:rFonts w:ascii="Times" w:hAnsi="Times" w:cs="Times"/>
          <w:b/>
          <w:bCs/>
          <w:noProof/>
          <w:sz w:val="20"/>
          <w:szCs w:val="20"/>
        </w:rPr>
        <w:t>2020</w:t>
      </w:r>
      <w:r w:rsidR="007B6FCB" w:rsidRPr="00E12659">
        <w:rPr>
          <w:rFonts w:ascii="Times" w:hAnsi="Times" w:cs="Times"/>
          <w:noProof/>
          <w:sz w:val="20"/>
          <w:szCs w:val="20"/>
        </w:rPr>
        <w:t>, 205,</w:t>
      </w:r>
      <w:r w:rsidR="00F61317">
        <w:rPr>
          <w:rFonts w:ascii="Times" w:hAnsi="Times" w:cs="Times"/>
          <w:noProof/>
          <w:sz w:val="20"/>
          <w:szCs w:val="20"/>
        </w:rPr>
        <w:t xml:space="preserve"> 10,</w:t>
      </w:r>
      <w:r w:rsidR="007B6FCB" w:rsidRPr="00E12659">
        <w:rPr>
          <w:rFonts w:ascii="Times" w:hAnsi="Times" w:cs="Times"/>
          <w:noProof/>
          <w:sz w:val="20"/>
          <w:szCs w:val="20"/>
        </w:rPr>
        <w:t xml:space="preserve"> 112457. </w:t>
      </w:r>
    </w:p>
    <w:p w14:paraId="599787F5" w14:textId="77777777" w:rsidR="00E12659" w:rsidRPr="00E12659"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B5384C">
        <w:rPr>
          <w:rFonts w:ascii="Times" w:hAnsi="Times" w:cs="Times"/>
          <w:noProof/>
          <w:sz w:val="20"/>
          <w:szCs w:val="20"/>
        </w:rPr>
        <w:t>7.</w:t>
      </w:r>
      <w:r w:rsidR="00B5384C" w:rsidRPr="00B5384C">
        <w:rPr>
          <w:rFonts w:ascii="Times" w:hAnsi="Times" w:cs="Times"/>
          <w:noProof/>
          <w:sz w:val="20"/>
          <w:szCs w:val="20"/>
        </w:rPr>
        <w:tab/>
      </w:r>
      <w:r w:rsidRPr="00B5384C">
        <w:rPr>
          <w:rFonts w:ascii="Times" w:hAnsi="Times" w:cs="Times"/>
          <w:noProof/>
          <w:sz w:val="20"/>
          <w:szCs w:val="20"/>
        </w:rPr>
        <w:t xml:space="preserve">CORRÊA, A. P. DA L. et al. </w:t>
      </w:r>
      <w:r w:rsidRPr="00E12659">
        <w:rPr>
          <w:rFonts w:ascii="Times" w:hAnsi="Times" w:cs="Times"/>
          <w:noProof/>
          <w:sz w:val="20"/>
          <w:szCs w:val="20"/>
          <w:lang w:val="en-US"/>
        </w:rPr>
        <w:t xml:space="preserve">Preparation of sulfonated carbon-based catalysts from murumuru kernel shell and their performance in the esterification reaction. </w:t>
      </w:r>
      <w:r w:rsidRPr="00E12659">
        <w:rPr>
          <w:rFonts w:ascii="Times" w:hAnsi="Times" w:cs="Times"/>
          <w:bCs/>
          <w:noProof/>
          <w:sz w:val="20"/>
          <w:szCs w:val="20"/>
          <w:lang w:val="en-US"/>
        </w:rPr>
        <w:t>RSC</w:t>
      </w:r>
      <w:r w:rsidR="00534020">
        <w:rPr>
          <w:rFonts w:ascii="Times" w:hAnsi="Times" w:cs="Times"/>
          <w:bCs/>
          <w:noProof/>
          <w:sz w:val="20"/>
          <w:szCs w:val="20"/>
          <w:lang w:val="en-US"/>
        </w:rPr>
        <w:t xml:space="preserve"> </w:t>
      </w:r>
      <w:r w:rsidRPr="00E12659">
        <w:rPr>
          <w:rFonts w:ascii="Times" w:hAnsi="Times" w:cs="Times"/>
          <w:bCs/>
          <w:noProof/>
          <w:sz w:val="20"/>
          <w:szCs w:val="20"/>
          <w:lang w:val="en-US"/>
        </w:rPr>
        <w:t>Advances</w:t>
      </w:r>
      <w:r w:rsidRPr="00E12659">
        <w:rPr>
          <w:rFonts w:ascii="Times" w:hAnsi="Times" w:cs="Times"/>
          <w:noProof/>
          <w:sz w:val="20"/>
          <w:szCs w:val="20"/>
          <w:lang w:val="en-US"/>
        </w:rPr>
        <w:t xml:space="preserve">, </w:t>
      </w:r>
      <w:r w:rsidR="00F61317">
        <w:rPr>
          <w:rFonts w:ascii="Times" w:hAnsi="Times" w:cs="Times"/>
          <w:b/>
          <w:noProof/>
          <w:sz w:val="20"/>
          <w:szCs w:val="20"/>
          <w:lang w:val="en-US"/>
        </w:rPr>
        <w:t xml:space="preserve">2020, </w:t>
      </w:r>
      <w:r w:rsidRPr="00E12659">
        <w:rPr>
          <w:rFonts w:ascii="Times" w:hAnsi="Times" w:cs="Times"/>
          <w:noProof/>
          <w:sz w:val="20"/>
          <w:szCs w:val="20"/>
          <w:lang w:val="en-US"/>
        </w:rPr>
        <w:t xml:space="preserve">10, 34, 20245–20256. </w:t>
      </w:r>
    </w:p>
    <w:p w14:paraId="25479AA5" w14:textId="77777777" w:rsidR="00E12659"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E12659">
        <w:rPr>
          <w:rFonts w:ascii="Times" w:hAnsi="Times" w:cs="Times"/>
          <w:noProof/>
          <w:sz w:val="20"/>
          <w:szCs w:val="20"/>
          <w:lang w:val="en-US"/>
        </w:rPr>
        <w:t xml:space="preserve">8. </w:t>
      </w:r>
      <w:r w:rsidR="00B5384C">
        <w:rPr>
          <w:rFonts w:ascii="Times" w:hAnsi="Times" w:cs="Times"/>
          <w:noProof/>
          <w:sz w:val="20"/>
          <w:szCs w:val="20"/>
          <w:lang w:val="en-US"/>
        </w:rPr>
        <w:tab/>
      </w:r>
      <w:r w:rsidRPr="00E12659">
        <w:rPr>
          <w:rFonts w:ascii="Times" w:hAnsi="Times" w:cs="Times"/>
          <w:noProof/>
          <w:sz w:val="20"/>
          <w:szCs w:val="20"/>
          <w:lang w:val="en-US"/>
        </w:rPr>
        <w:t xml:space="preserve">COSTA, A. et al. Recent advances on catalytic deoxygenation of residues for bio-oil production : An overview. </w:t>
      </w:r>
      <w:r w:rsidR="00F61317" w:rsidRPr="00847250">
        <w:rPr>
          <w:rFonts w:ascii="Times" w:hAnsi="Times" w:cs="Times"/>
          <w:b/>
          <w:noProof/>
          <w:sz w:val="20"/>
          <w:szCs w:val="20"/>
          <w:lang w:val="en-US"/>
        </w:rPr>
        <w:t xml:space="preserve">2022, </w:t>
      </w:r>
      <w:r w:rsidRPr="00847250">
        <w:rPr>
          <w:rFonts w:ascii="Times" w:hAnsi="Times" w:cs="Times"/>
          <w:noProof/>
          <w:sz w:val="20"/>
          <w:szCs w:val="20"/>
          <w:lang w:val="en-US"/>
        </w:rPr>
        <w:t xml:space="preserve">v. 518. </w:t>
      </w:r>
    </w:p>
    <w:p w14:paraId="47048136" w14:textId="77777777" w:rsidR="00E12659"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9.  </w:t>
      </w:r>
      <w:r w:rsidR="00B5384C" w:rsidRPr="00847250">
        <w:rPr>
          <w:rFonts w:ascii="Times" w:hAnsi="Times" w:cs="Times"/>
          <w:noProof/>
          <w:sz w:val="20"/>
          <w:szCs w:val="20"/>
          <w:lang w:val="en-US"/>
        </w:rPr>
        <w:tab/>
      </w:r>
      <w:r w:rsidRPr="00847250">
        <w:rPr>
          <w:rFonts w:ascii="Times" w:hAnsi="Times" w:cs="Times"/>
          <w:noProof/>
          <w:sz w:val="20"/>
          <w:szCs w:val="20"/>
          <w:lang w:val="en-US"/>
        </w:rPr>
        <w:t xml:space="preserve">MARES, EKL et al. </w:t>
      </w:r>
      <w:r w:rsidR="00534020" w:rsidRPr="00534020">
        <w:rPr>
          <w:rFonts w:ascii="Times" w:hAnsi="Times" w:cs="Times"/>
          <w:noProof/>
          <w:sz w:val="20"/>
          <w:szCs w:val="20"/>
          <w:lang w:val="en-US"/>
        </w:rPr>
        <w:t xml:space="preserve">Acai seed ash as a novel basic heterogeneous catalyst for biodiesel synthesis: Optimization of the biodiesel production process. </w:t>
      </w:r>
      <w:r w:rsidR="00534020" w:rsidRPr="00847250">
        <w:rPr>
          <w:rFonts w:ascii="Times" w:hAnsi="Times" w:cs="Times"/>
          <w:noProof/>
          <w:sz w:val="20"/>
          <w:szCs w:val="20"/>
          <w:lang w:val="en-US"/>
        </w:rPr>
        <w:t xml:space="preserve">Fuel, </w:t>
      </w:r>
      <w:r w:rsidR="00F61317" w:rsidRPr="00847250">
        <w:rPr>
          <w:rFonts w:ascii="Times" w:hAnsi="Times" w:cs="Times"/>
          <w:b/>
          <w:noProof/>
          <w:sz w:val="20"/>
          <w:szCs w:val="20"/>
          <w:lang w:val="en-US"/>
        </w:rPr>
        <w:t>2021</w:t>
      </w:r>
      <w:r w:rsidRPr="00847250">
        <w:rPr>
          <w:rFonts w:ascii="Times" w:hAnsi="Times" w:cs="Times"/>
          <w:noProof/>
          <w:sz w:val="20"/>
          <w:szCs w:val="20"/>
          <w:lang w:val="en-US"/>
        </w:rPr>
        <w:t xml:space="preserve">, 299, </w:t>
      </w:r>
      <w:r w:rsidR="00F61317" w:rsidRPr="00847250">
        <w:rPr>
          <w:rFonts w:ascii="Times" w:hAnsi="Times" w:cs="Times"/>
          <w:noProof/>
          <w:sz w:val="20"/>
          <w:szCs w:val="20"/>
          <w:lang w:val="en-US"/>
        </w:rPr>
        <w:t>12</w:t>
      </w:r>
      <w:r w:rsidRPr="00847250">
        <w:rPr>
          <w:rFonts w:ascii="Times" w:hAnsi="Times" w:cs="Times"/>
          <w:noProof/>
          <w:sz w:val="20"/>
          <w:szCs w:val="20"/>
          <w:lang w:val="en-US"/>
        </w:rPr>
        <w:t xml:space="preserve">. </w:t>
      </w:r>
    </w:p>
    <w:p w14:paraId="12DDC338" w14:textId="77777777" w:rsidR="00E12659" w:rsidRPr="00E12659"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847250">
        <w:rPr>
          <w:rFonts w:ascii="Times" w:hAnsi="Times" w:cs="Times"/>
          <w:noProof/>
          <w:sz w:val="20"/>
          <w:szCs w:val="20"/>
          <w:lang w:val="en-US"/>
        </w:rPr>
        <w:t xml:space="preserve">10. </w:t>
      </w:r>
      <w:r w:rsidR="00B5384C" w:rsidRPr="00847250">
        <w:rPr>
          <w:rFonts w:ascii="Times" w:hAnsi="Times" w:cs="Times"/>
          <w:noProof/>
          <w:sz w:val="20"/>
          <w:szCs w:val="20"/>
          <w:lang w:val="en-US"/>
        </w:rPr>
        <w:tab/>
      </w:r>
      <w:r w:rsidRPr="00534020">
        <w:rPr>
          <w:rFonts w:ascii="Times" w:hAnsi="Times" w:cs="Times"/>
          <w:noProof/>
          <w:sz w:val="20"/>
          <w:szCs w:val="20"/>
          <w:lang w:val="en-US"/>
        </w:rPr>
        <w:t>MELO, S. et al.</w:t>
      </w:r>
      <w:r w:rsidR="00534020" w:rsidRPr="00534020">
        <w:rPr>
          <w:rFonts w:ascii="Times" w:hAnsi="Times" w:cs="Times"/>
          <w:noProof/>
          <w:sz w:val="20"/>
          <w:szCs w:val="20"/>
          <w:lang w:val="en-US"/>
        </w:rPr>
        <w:t xml:space="preserve"> Production and characterization of absorbent heat from the bark of residual Brazil nut bark (Bertholletia Excelsa l.)</w:t>
      </w:r>
      <w:r w:rsidRPr="00534020">
        <w:rPr>
          <w:rFonts w:ascii="Times" w:hAnsi="Times" w:cs="Times"/>
          <w:noProof/>
          <w:sz w:val="20"/>
          <w:szCs w:val="20"/>
          <w:lang w:val="en-US"/>
        </w:rPr>
        <w:t xml:space="preserve">. </w:t>
      </w:r>
      <w:r w:rsidRPr="00E12659">
        <w:rPr>
          <w:rFonts w:ascii="Times" w:hAnsi="Times" w:cs="Times"/>
          <w:bCs/>
          <w:noProof/>
          <w:sz w:val="20"/>
          <w:szCs w:val="20"/>
        </w:rPr>
        <w:t>Chemistry Central Journal</w:t>
      </w:r>
      <w:r w:rsidR="00F61317" w:rsidRPr="00E12659">
        <w:rPr>
          <w:rFonts w:ascii="Times" w:hAnsi="Times" w:cs="Times"/>
          <w:noProof/>
          <w:sz w:val="20"/>
          <w:szCs w:val="20"/>
        </w:rPr>
        <w:t xml:space="preserve">, </w:t>
      </w:r>
      <w:r w:rsidR="00F61317" w:rsidRPr="00E12659">
        <w:rPr>
          <w:rFonts w:ascii="Times" w:hAnsi="Times" w:cs="Times"/>
          <w:b/>
          <w:noProof/>
          <w:sz w:val="20"/>
          <w:szCs w:val="20"/>
        </w:rPr>
        <w:t>2015</w:t>
      </w:r>
      <w:r w:rsidRPr="00E12659">
        <w:rPr>
          <w:rFonts w:ascii="Times" w:hAnsi="Times" w:cs="Times"/>
          <w:noProof/>
          <w:sz w:val="20"/>
          <w:szCs w:val="20"/>
        </w:rPr>
        <w:t>, 1–9.</w:t>
      </w:r>
    </w:p>
    <w:p w14:paraId="60970393" w14:textId="77777777" w:rsidR="00E12659" w:rsidRPr="00E12659"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E12659">
        <w:rPr>
          <w:rFonts w:ascii="Times" w:hAnsi="Times" w:cs="Times"/>
          <w:noProof/>
          <w:sz w:val="20"/>
          <w:szCs w:val="20"/>
        </w:rPr>
        <w:t xml:space="preserve">11. </w:t>
      </w:r>
      <w:r w:rsidR="00B5384C">
        <w:rPr>
          <w:rFonts w:ascii="Times" w:hAnsi="Times" w:cs="Times"/>
          <w:noProof/>
          <w:sz w:val="20"/>
          <w:szCs w:val="20"/>
        </w:rPr>
        <w:tab/>
      </w:r>
      <w:r w:rsidRPr="00E12659">
        <w:rPr>
          <w:rFonts w:ascii="Times" w:hAnsi="Times" w:cs="Times"/>
          <w:noProof/>
          <w:sz w:val="20"/>
          <w:szCs w:val="20"/>
        </w:rPr>
        <w:t>FERREIRA, A. B.; FOLETTO, E. L. Produção De Biochar a Partir De Pirólise De Biomassas E Sua Aplicação Como Adsorvente</w:t>
      </w:r>
      <w:r w:rsidR="00F61317" w:rsidRPr="00E12659">
        <w:rPr>
          <w:rFonts w:ascii="Times" w:hAnsi="Times" w:cs="Times"/>
          <w:noProof/>
          <w:sz w:val="20"/>
          <w:szCs w:val="20"/>
        </w:rPr>
        <w:t xml:space="preserve">, </w:t>
      </w:r>
      <w:r w:rsidR="00F61317" w:rsidRPr="00E12659">
        <w:rPr>
          <w:rFonts w:ascii="Times" w:hAnsi="Times" w:cs="Times"/>
          <w:b/>
          <w:noProof/>
          <w:sz w:val="20"/>
          <w:szCs w:val="20"/>
        </w:rPr>
        <w:t>2016</w:t>
      </w:r>
      <w:r w:rsidR="00F61317">
        <w:rPr>
          <w:rFonts w:ascii="Times" w:hAnsi="Times" w:cs="Times"/>
          <w:b/>
          <w:noProof/>
          <w:sz w:val="20"/>
          <w:szCs w:val="20"/>
        </w:rPr>
        <w:t>,</w:t>
      </w:r>
      <w:r w:rsidRPr="00E12659">
        <w:rPr>
          <w:rFonts w:ascii="Times" w:hAnsi="Times" w:cs="Times"/>
          <w:noProof/>
          <w:sz w:val="20"/>
          <w:szCs w:val="20"/>
        </w:rPr>
        <w:t xml:space="preserve"> 9058–9069. </w:t>
      </w:r>
    </w:p>
    <w:p w14:paraId="1C70FC24" w14:textId="77777777" w:rsidR="00E12659"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12. </w:t>
      </w:r>
      <w:r w:rsidR="00B5384C" w:rsidRPr="00847250">
        <w:rPr>
          <w:rFonts w:ascii="Times" w:hAnsi="Times" w:cs="Times"/>
          <w:noProof/>
          <w:sz w:val="20"/>
          <w:szCs w:val="20"/>
          <w:lang w:val="en-US"/>
        </w:rPr>
        <w:tab/>
      </w:r>
      <w:r w:rsidRPr="00847250">
        <w:rPr>
          <w:rFonts w:ascii="Times" w:hAnsi="Times" w:cs="Times"/>
          <w:noProof/>
          <w:sz w:val="20"/>
          <w:szCs w:val="20"/>
          <w:lang w:val="en-US"/>
        </w:rPr>
        <w:t xml:space="preserve">YU, H. et al. </w:t>
      </w:r>
      <w:r w:rsidR="00534020" w:rsidRPr="00534020">
        <w:rPr>
          <w:rFonts w:ascii="Times" w:hAnsi="Times" w:cs="Times"/>
          <w:noProof/>
          <w:sz w:val="20"/>
          <w:szCs w:val="20"/>
          <w:lang w:val="en-US"/>
        </w:rPr>
        <w:t xml:space="preserve">Microwave-Assisted Preparation of Coal-Based Heterogeneous Acid Catalyst and Its Catalytic Performance in Esterification. </w:t>
      </w:r>
      <w:r w:rsidR="00534020" w:rsidRPr="00847250">
        <w:rPr>
          <w:rFonts w:ascii="Times" w:hAnsi="Times" w:cs="Times"/>
          <w:noProof/>
          <w:sz w:val="20"/>
          <w:szCs w:val="20"/>
          <w:lang w:val="en-US"/>
        </w:rPr>
        <w:t>Journal of Cleaner Production</w:t>
      </w:r>
      <w:r w:rsidR="00E85848" w:rsidRPr="00847250">
        <w:rPr>
          <w:rFonts w:ascii="Times" w:hAnsi="Times" w:cs="Times"/>
          <w:noProof/>
          <w:sz w:val="20"/>
          <w:szCs w:val="20"/>
          <w:lang w:val="en-US"/>
        </w:rPr>
        <w:t xml:space="preserve">, </w:t>
      </w:r>
      <w:r w:rsidR="00E85848" w:rsidRPr="00847250">
        <w:rPr>
          <w:rFonts w:ascii="Times" w:hAnsi="Times" w:cs="Times"/>
          <w:b/>
          <w:noProof/>
          <w:sz w:val="20"/>
          <w:szCs w:val="20"/>
          <w:lang w:val="en-US"/>
        </w:rPr>
        <w:t xml:space="preserve">2018, </w:t>
      </w:r>
      <w:r w:rsidR="00E85848" w:rsidRPr="00847250">
        <w:rPr>
          <w:rFonts w:ascii="Times" w:hAnsi="Times" w:cs="Times"/>
          <w:noProof/>
          <w:sz w:val="20"/>
          <w:szCs w:val="20"/>
          <w:lang w:val="en-US"/>
        </w:rPr>
        <w:t xml:space="preserve"> 183, 67–76.</w:t>
      </w:r>
    </w:p>
    <w:p w14:paraId="3585AD79" w14:textId="77777777" w:rsidR="00E12659" w:rsidRPr="002A7758" w:rsidRDefault="00E85848"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13. </w:t>
      </w:r>
      <w:r w:rsidRPr="00847250">
        <w:rPr>
          <w:rFonts w:ascii="Times" w:hAnsi="Times" w:cs="Times"/>
          <w:noProof/>
          <w:sz w:val="20"/>
          <w:szCs w:val="20"/>
          <w:lang w:val="en-US"/>
        </w:rPr>
        <w:tab/>
      </w:r>
      <w:r w:rsidR="00E12659" w:rsidRPr="00847250">
        <w:rPr>
          <w:rFonts w:ascii="Times" w:hAnsi="Times" w:cs="Times"/>
          <w:noProof/>
          <w:sz w:val="20"/>
          <w:szCs w:val="20"/>
          <w:lang w:val="en-US"/>
        </w:rPr>
        <w:t xml:space="preserve">FRANCO, A. et al. </w:t>
      </w:r>
      <w:r w:rsidR="00E12659" w:rsidRPr="00E12659">
        <w:rPr>
          <w:rFonts w:ascii="Times" w:hAnsi="Times" w:cs="Times"/>
          <w:noProof/>
          <w:sz w:val="20"/>
          <w:szCs w:val="20"/>
          <w:lang w:val="en-US"/>
        </w:rPr>
        <w:t xml:space="preserve">Selective Oxidation of Isoeugenol to Vanillin over Mechanochemically Synthesized Aluminosilicate Supported Transition Metal Catalysts. </w:t>
      </w:r>
      <w:r w:rsidRPr="00E85848">
        <w:rPr>
          <w:rFonts w:ascii="Times" w:hAnsi="Times" w:cs="Times"/>
          <w:bCs/>
          <w:noProof/>
          <w:sz w:val="20"/>
          <w:szCs w:val="20"/>
          <w:lang w:val="en-US"/>
        </w:rPr>
        <w:t>ChemistrySelect</w:t>
      </w:r>
      <w:r w:rsidRPr="00E85848">
        <w:rPr>
          <w:rFonts w:ascii="Times" w:hAnsi="Times" w:cs="Times"/>
          <w:noProof/>
          <w:sz w:val="20"/>
          <w:szCs w:val="20"/>
          <w:lang w:val="en-US"/>
        </w:rPr>
        <w:t>,</w:t>
      </w:r>
      <w:r w:rsidR="00534020">
        <w:rPr>
          <w:rFonts w:ascii="Times" w:hAnsi="Times" w:cs="Times"/>
          <w:noProof/>
          <w:sz w:val="20"/>
          <w:szCs w:val="20"/>
          <w:lang w:val="en-US"/>
        </w:rPr>
        <w:t xml:space="preserve"> </w:t>
      </w:r>
      <w:r w:rsidRPr="00E85848">
        <w:rPr>
          <w:rFonts w:ascii="Times" w:hAnsi="Times" w:cs="Times"/>
          <w:b/>
          <w:noProof/>
          <w:sz w:val="20"/>
          <w:szCs w:val="20"/>
          <w:lang w:val="en-US"/>
        </w:rPr>
        <w:t>2017</w:t>
      </w:r>
      <w:r w:rsidRPr="00E85848">
        <w:rPr>
          <w:rFonts w:ascii="Times" w:hAnsi="Times" w:cs="Times"/>
          <w:noProof/>
          <w:sz w:val="20"/>
          <w:szCs w:val="20"/>
          <w:lang w:val="en-US"/>
        </w:rPr>
        <w:t xml:space="preserve">, 2, 29, 9546–9551. </w:t>
      </w:r>
    </w:p>
    <w:p w14:paraId="645CBDDE" w14:textId="77777777" w:rsidR="00E12659" w:rsidRPr="006B1E04" w:rsidRDefault="00E85848"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14.</w:t>
      </w:r>
      <w:r w:rsidRPr="00847250">
        <w:rPr>
          <w:rFonts w:ascii="Times" w:hAnsi="Times" w:cs="Times"/>
          <w:noProof/>
          <w:sz w:val="20"/>
          <w:szCs w:val="20"/>
          <w:lang w:val="en-US"/>
        </w:rPr>
        <w:tab/>
        <w:t>ALMEIDA, R</w:t>
      </w:r>
      <w:r w:rsidR="007459A4" w:rsidRPr="00847250">
        <w:rPr>
          <w:rFonts w:ascii="Times" w:hAnsi="Times" w:cs="Times"/>
          <w:noProof/>
          <w:sz w:val="20"/>
          <w:szCs w:val="20"/>
          <w:lang w:val="en-US"/>
        </w:rPr>
        <w:t>.</w:t>
      </w:r>
      <w:r w:rsidRPr="00847250">
        <w:rPr>
          <w:rFonts w:ascii="Times" w:hAnsi="Times" w:cs="Times"/>
          <w:noProof/>
          <w:sz w:val="20"/>
          <w:szCs w:val="20"/>
          <w:lang w:val="en-US"/>
        </w:rPr>
        <w:t>P</w:t>
      </w:r>
      <w:r w:rsidR="007459A4" w:rsidRPr="00847250">
        <w:rPr>
          <w:rFonts w:ascii="Times" w:hAnsi="Times" w:cs="Times"/>
          <w:noProof/>
          <w:sz w:val="20"/>
          <w:szCs w:val="20"/>
          <w:lang w:val="en-US"/>
        </w:rPr>
        <w:t>.</w:t>
      </w:r>
      <w:r w:rsidRPr="00847250">
        <w:rPr>
          <w:rFonts w:ascii="Times" w:hAnsi="Times" w:cs="Times"/>
          <w:noProof/>
          <w:sz w:val="20"/>
          <w:szCs w:val="20"/>
          <w:lang w:val="en-US"/>
        </w:rPr>
        <w:t xml:space="preserve"> et al.</w:t>
      </w:r>
      <w:r w:rsidR="00534020" w:rsidRPr="00847250">
        <w:rPr>
          <w:lang w:val="en-US"/>
        </w:rPr>
        <w:t xml:space="preserve"> </w:t>
      </w:r>
      <w:r w:rsidR="00534020" w:rsidRPr="00534020">
        <w:rPr>
          <w:rFonts w:ascii="Times" w:hAnsi="Times" w:cs="Times"/>
          <w:noProof/>
          <w:sz w:val="20"/>
          <w:szCs w:val="20"/>
          <w:lang w:val="en-US"/>
        </w:rPr>
        <w:t>Residue-based activated carbon from passion fruit seed as support to H3PW12O40 for the esterification of oleic acid</w:t>
      </w:r>
      <w:r w:rsidR="00E12659" w:rsidRPr="00534020">
        <w:rPr>
          <w:rFonts w:ascii="Times" w:hAnsi="Times" w:cs="Times"/>
          <w:noProof/>
          <w:sz w:val="20"/>
          <w:szCs w:val="20"/>
          <w:lang w:val="en-US"/>
        </w:rPr>
        <w:t xml:space="preserve">. </w:t>
      </w:r>
      <w:r w:rsidR="00E12659" w:rsidRPr="006B1E04">
        <w:rPr>
          <w:rFonts w:ascii="Times" w:hAnsi="Times" w:cs="Times"/>
          <w:bCs/>
          <w:noProof/>
          <w:sz w:val="20"/>
          <w:szCs w:val="20"/>
          <w:lang w:val="en-US"/>
        </w:rPr>
        <w:t>Journal of Cleaner Production</w:t>
      </w:r>
      <w:r w:rsidR="00E12659" w:rsidRPr="006B1E04">
        <w:rPr>
          <w:rFonts w:ascii="Times" w:hAnsi="Times" w:cs="Times"/>
          <w:noProof/>
          <w:sz w:val="20"/>
          <w:szCs w:val="20"/>
          <w:lang w:val="en-US"/>
        </w:rPr>
        <w:t>,</w:t>
      </w:r>
      <w:r w:rsidR="00F61317" w:rsidRPr="006B1E04">
        <w:rPr>
          <w:rFonts w:ascii="Times" w:hAnsi="Times" w:cs="Times"/>
          <w:b/>
          <w:noProof/>
          <w:sz w:val="20"/>
          <w:szCs w:val="20"/>
          <w:lang w:val="en-US"/>
        </w:rPr>
        <w:t>2021</w:t>
      </w:r>
      <w:r w:rsidR="00F61317" w:rsidRPr="006B1E04">
        <w:rPr>
          <w:rFonts w:ascii="Times" w:hAnsi="Times" w:cs="Times"/>
          <w:noProof/>
          <w:sz w:val="20"/>
          <w:szCs w:val="20"/>
          <w:lang w:val="en-US"/>
        </w:rPr>
        <w:t>,</w:t>
      </w:r>
      <w:r w:rsidR="00E12659" w:rsidRPr="006B1E04">
        <w:rPr>
          <w:rFonts w:ascii="Times" w:hAnsi="Times" w:cs="Times"/>
          <w:noProof/>
          <w:sz w:val="20"/>
          <w:szCs w:val="20"/>
          <w:lang w:val="en-US"/>
        </w:rPr>
        <w:t xml:space="preserve"> 282. </w:t>
      </w:r>
    </w:p>
    <w:p w14:paraId="54ECCF5B" w14:textId="77777777" w:rsidR="007B6FCB" w:rsidRPr="006B1E04"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6B1E04">
        <w:rPr>
          <w:rFonts w:ascii="Times" w:hAnsi="Times" w:cs="Times"/>
          <w:noProof/>
          <w:sz w:val="20"/>
          <w:szCs w:val="20"/>
          <w:lang w:val="en-US"/>
        </w:rPr>
        <w:t xml:space="preserve">15. </w:t>
      </w:r>
      <w:r w:rsidR="00B5384C" w:rsidRPr="006B1E04">
        <w:rPr>
          <w:rFonts w:ascii="Times" w:hAnsi="Times" w:cs="Times"/>
          <w:noProof/>
          <w:sz w:val="20"/>
          <w:szCs w:val="20"/>
          <w:lang w:val="en-US"/>
        </w:rPr>
        <w:tab/>
      </w:r>
      <w:r w:rsidR="00E85848" w:rsidRPr="00E85848">
        <w:rPr>
          <w:rFonts w:ascii="Times" w:hAnsi="Times" w:cs="Times"/>
          <w:noProof/>
          <w:sz w:val="20"/>
          <w:szCs w:val="20"/>
          <w:lang w:val="en-US"/>
        </w:rPr>
        <w:t>HASSAN, S. M.</w:t>
      </w:r>
      <w:r w:rsidR="007459A4" w:rsidRPr="007459A4">
        <w:rPr>
          <w:rFonts w:ascii="Times" w:hAnsi="Times" w:cs="Times"/>
          <w:noProof/>
          <w:sz w:val="20"/>
          <w:szCs w:val="20"/>
          <w:lang w:val="en-US"/>
        </w:rPr>
        <w:t xml:space="preserve"> et al.</w:t>
      </w:r>
      <w:r w:rsidR="00E85848" w:rsidRPr="00E85848">
        <w:rPr>
          <w:rFonts w:ascii="Times" w:hAnsi="Times" w:cs="Times"/>
          <w:noProof/>
          <w:sz w:val="20"/>
          <w:szCs w:val="20"/>
          <w:lang w:val="en-US"/>
        </w:rPr>
        <w:t xml:space="preserve"> Surface acidity, catalytic and photocatalytic activities of new type H3PW12O40/Sn-TiO2 nanoparticles. Colloids and Surfaces A: Physicochemical and Engineering Aspects</w:t>
      </w:r>
      <w:r w:rsidR="00D002B0" w:rsidRPr="00D002B0">
        <w:rPr>
          <w:rFonts w:ascii="Times" w:hAnsi="Times" w:cs="Times"/>
          <w:noProof/>
          <w:sz w:val="20"/>
          <w:szCs w:val="20"/>
          <w:lang w:val="en-US"/>
        </w:rPr>
        <w:t xml:space="preserve">, </w:t>
      </w:r>
      <w:r w:rsidR="00E85848" w:rsidRPr="00E85848">
        <w:rPr>
          <w:rFonts w:ascii="Times" w:hAnsi="Times" w:cs="Times"/>
          <w:b/>
          <w:noProof/>
          <w:sz w:val="20"/>
          <w:szCs w:val="20"/>
          <w:lang w:val="en-US"/>
        </w:rPr>
        <w:t>2019</w:t>
      </w:r>
      <w:r w:rsidR="00E85848" w:rsidRPr="00E85848">
        <w:rPr>
          <w:rFonts w:ascii="Times" w:hAnsi="Times" w:cs="Times"/>
          <w:noProof/>
          <w:sz w:val="20"/>
          <w:szCs w:val="20"/>
          <w:lang w:val="en-US"/>
        </w:rPr>
        <w:t>, v. 577, p. 147–157.</w:t>
      </w:r>
    </w:p>
    <w:p w14:paraId="1BDBAA81" w14:textId="77777777" w:rsidR="00E12659"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lang w:val="en-US"/>
        </w:rPr>
      </w:pPr>
      <w:r w:rsidRPr="00847250">
        <w:rPr>
          <w:rFonts w:ascii="Times" w:hAnsi="Times" w:cs="Times"/>
          <w:noProof/>
          <w:sz w:val="20"/>
          <w:szCs w:val="20"/>
          <w:lang w:val="en-US"/>
        </w:rPr>
        <w:t xml:space="preserve">16. </w:t>
      </w:r>
      <w:r w:rsidR="00B5384C" w:rsidRPr="00847250">
        <w:rPr>
          <w:rFonts w:ascii="Times" w:hAnsi="Times" w:cs="Times"/>
          <w:noProof/>
          <w:sz w:val="20"/>
          <w:szCs w:val="20"/>
          <w:lang w:val="en-US"/>
        </w:rPr>
        <w:tab/>
      </w:r>
      <w:r w:rsidRPr="00847250">
        <w:rPr>
          <w:rFonts w:ascii="Times" w:hAnsi="Times" w:cs="Times"/>
          <w:noProof/>
          <w:sz w:val="20"/>
          <w:szCs w:val="20"/>
          <w:lang w:val="en-US"/>
        </w:rPr>
        <w:t xml:space="preserve">GARCÍA-ALBAR, P. et al. </w:t>
      </w:r>
      <w:r w:rsidR="00534020" w:rsidRPr="00534020">
        <w:rPr>
          <w:rFonts w:ascii="Times" w:hAnsi="Times" w:cs="Times"/>
          <w:noProof/>
          <w:sz w:val="20"/>
          <w:szCs w:val="20"/>
          <w:lang w:val="en-US"/>
        </w:rPr>
        <w:t>Catalytic wet hydrogen peroxide oxidation of isoeugenol to vanillin using microwave-assisted synthesized metal loaded catalysts</w:t>
      </w:r>
      <w:r w:rsidRPr="00534020">
        <w:rPr>
          <w:rFonts w:ascii="Times" w:hAnsi="Times" w:cs="Times"/>
          <w:noProof/>
          <w:sz w:val="20"/>
          <w:szCs w:val="20"/>
          <w:lang w:val="en-US"/>
        </w:rPr>
        <w:t xml:space="preserve">. </w:t>
      </w:r>
      <w:r w:rsidRPr="00847250">
        <w:rPr>
          <w:rFonts w:ascii="Times" w:hAnsi="Times" w:cs="Times"/>
          <w:bCs/>
          <w:noProof/>
          <w:sz w:val="20"/>
          <w:szCs w:val="20"/>
          <w:lang w:val="en-US"/>
        </w:rPr>
        <w:t>Molecular Catalysis</w:t>
      </w:r>
      <w:r w:rsidR="00F61317" w:rsidRPr="00847250">
        <w:rPr>
          <w:rFonts w:ascii="Times" w:hAnsi="Times" w:cs="Times"/>
          <w:bCs/>
          <w:noProof/>
          <w:sz w:val="20"/>
          <w:szCs w:val="20"/>
          <w:lang w:val="en-US"/>
        </w:rPr>
        <w:t>,</w:t>
      </w:r>
      <w:r w:rsidR="00534020" w:rsidRPr="00847250">
        <w:rPr>
          <w:rFonts w:ascii="Times" w:hAnsi="Times" w:cs="Times"/>
          <w:bCs/>
          <w:noProof/>
          <w:sz w:val="20"/>
          <w:szCs w:val="20"/>
          <w:lang w:val="en-US"/>
        </w:rPr>
        <w:t xml:space="preserve"> </w:t>
      </w:r>
      <w:r w:rsidR="00F61317" w:rsidRPr="00847250">
        <w:rPr>
          <w:rFonts w:ascii="Times" w:hAnsi="Times" w:cs="Times"/>
          <w:b/>
          <w:noProof/>
          <w:sz w:val="20"/>
          <w:szCs w:val="20"/>
          <w:lang w:val="en-US"/>
        </w:rPr>
        <w:t>2021</w:t>
      </w:r>
      <w:r w:rsidRPr="00847250">
        <w:rPr>
          <w:rFonts w:ascii="Times" w:hAnsi="Times" w:cs="Times"/>
          <w:noProof/>
          <w:sz w:val="20"/>
          <w:szCs w:val="20"/>
          <w:lang w:val="en-US"/>
        </w:rPr>
        <w:t>,</w:t>
      </w:r>
      <w:r w:rsidR="00534020" w:rsidRPr="00847250">
        <w:rPr>
          <w:rFonts w:ascii="Times" w:hAnsi="Times" w:cs="Times"/>
          <w:noProof/>
          <w:sz w:val="20"/>
          <w:szCs w:val="20"/>
          <w:lang w:val="en-US"/>
        </w:rPr>
        <w:t xml:space="preserve"> </w:t>
      </w:r>
      <w:r w:rsidRPr="00847250">
        <w:rPr>
          <w:rFonts w:ascii="Times" w:hAnsi="Times" w:cs="Times"/>
          <w:noProof/>
          <w:sz w:val="20"/>
          <w:szCs w:val="20"/>
          <w:lang w:val="en-US"/>
        </w:rPr>
        <w:t xml:space="preserve">506, </w:t>
      </w:r>
      <w:r w:rsidR="00F61317" w:rsidRPr="00847250">
        <w:rPr>
          <w:rFonts w:ascii="Times" w:hAnsi="Times" w:cs="Times"/>
          <w:noProof/>
          <w:sz w:val="20"/>
          <w:szCs w:val="20"/>
          <w:lang w:val="en-US"/>
        </w:rPr>
        <w:t>3</w:t>
      </w:r>
      <w:r w:rsidRPr="00847250">
        <w:rPr>
          <w:rFonts w:ascii="Times" w:hAnsi="Times" w:cs="Times"/>
          <w:noProof/>
          <w:sz w:val="20"/>
          <w:szCs w:val="20"/>
          <w:lang w:val="en-US"/>
        </w:rPr>
        <w:t>.</w:t>
      </w:r>
    </w:p>
    <w:p w14:paraId="5528E589" w14:textId="77777777" w:rsidR="007B6FCB" w:rsidRPr="00847250"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847250">
        <w:rPr>
          <w:rFonts w:ascii="Times" w:hAnsi="Times" w:cs="Times"/>
          <w:noProof/>
          <w:sz w:val="20"/>
          <w:szCs w:val="20"/>
          <w:lang w:val="en-US"/>
        </w:rPr>
        <w:t xml:space="preserve">17. </w:t>
      </w:r>
      <w:r w:rsidR="00B5384C" w:rsidRPr="00847250">
        <w:rPr>
          <w:rFonts w:ascii="Times" w:hAnsi="Times" w:cs="Times"/>
          <w:noProof/>
          <w:sz w:val="20"/>
          <w:szCs w:val="20"/>
          <w:lang w:val="en-US"/>
        </w:rPr>
        <w:tab/>
      </w:r>
      <w:r w:rsidR="007B6FCB" w:rsidRPr="00E12659">
        <w:rPr>
          <w:rFonts w:ascii="Times" w:hAnsi="Times" w:cs="Times"/>
          <w:noProof/>
          <w:sz w:val="20"/>
          <w:szCs w:val="20"/>
          <w:lang w:val="en-US"/>
        </w:rPr>
        <w:t xml:space="preserve">FILICIOTTO, L. et al. Continuous flow study of isoeugenol to vanillin: A bio-based iron oxide catalyst. </w:t>
      </w:r>
      <w:r w:rsidR="00E85848" w:rsidRPr="00847250">
        <w:rPr>
          <w:rFonts w:ascii="Times" w:hAnsi="Times" w:cs="Times"/>
          <w:bCs/>
          <w:noProof/>
          <w:sz w:val="20"/>
          <w:szCs w:val="20"/>
        </w:rPr>
        <w:t>Catalysis</w:t>
      </w:r>
      <w:r w:rsidR="00534020" w:rsidRPr="00847250">
        <w:rPr>
          <w:rFonts w:ascii="Times" w:hAnsi="Times" w:cs="Times"/>
          <w:bCs/>
          <w:noProof/>
          <w:sz w:val="20"/>
          <w:szCs w:val="20"/>
        </w:rPr>
        <w:t xml:space="preserve"> </w:t>
      </w:r>
      <w:r w:rsidR="00E85848" w:rsidRPr="00847250">
        <w:rPr>
          <w:rFonts w:ascii="Times" w:hAnsi="Times" w:cs="Times"/>
          <w:bCs/>
          <w:noProof/>
          <w:sz w:val="20"/>
          <w:szCs w:val="20"/>
        </w:rPr>
        <w:t>Today</w:t>
      </w:r>
      <w:r w:rsidR="00E85848" w:rsidRPr="00847250">
        <w:rPr>
          <w:rFonts w:ascii="Times" w:hAnsi="Times" w:cs="Times"/>
          <w:noProof/>
          <w:sz w:val="20"/>
          <w:szCs w:val="20"/>
        </w:rPr>
        <w:t>,</w:t>
      </w:r>
      <w:r w:rsidR="00534020" w:rsidRPr="00847250">
        <w:rPr>
          <w:rFonts w:ascii="Times" w:hAnsi="Times" w:cs="Times"/>
          <w:noProof/>
          <w:sz w:val="20"/>
          <w:szCs w:val="20"/>
        </w:rPr>
        <w:t xml:space="preserve"> </w:t>
      </w:r>
      <w:r w:rsidR="00E85848" w:rsidRPr="00847250">
        <w:rPr>
          <w:rFonts w:ascii="Times" w:hAnsi="Times" w:cs="Times"/>
          <w:b/>
          <w:noProof/>
          <w:sz w:val="20"/>
          <w:szCs w:val="20"/>
        </w:rPr>
        <w:t>2021,</w:t>
      </w:r>
      <w:r w:rsidR="00E85848" w:rsidRPr="00847250">
        <w:rPr>
          <w:rFonts w:ascii="Times" w:hAnsi="Times" w:cs="Times"/>
          <w:noProof/>
          <w:sz w:val="20"/>
          <w:szCs w:val="20"/>
        </w:rPr>
        <w:t xml:space="preserve"> 368, 281–290. </w:t>
      </w:r>
    </w:p>
    <w:p w14:paraId="1CFAAE56" w14:textId="77777777" w:rsidR="00E12659" w:rsidRDefault="00E85848" w:rsidP="00B5384C">
      <w:pPr>
        <w:widowControl w:val="0"/>
        <w:autoSpaceDE w:val="0"/>
        <w:autoSpaceDN w:val="0"/>
        <w:adjustRightInd w:val="0"/>
        <w:spacing w:line="240" w:lineRule="auto"/>
        <w:ind w:left="426" w:hanging="426"/>
        <w:jc w:val="both"/>
        <w:rPr>
          <w:rFonts w:ascii="Times" w:hAnsi="Times" w:cs="Times"/>
          <w:noProof/>
          <w:sz w:val="20"/>
          <w:szCs w:val="20"/>
        </w:rPr>
      </w:pPr>
      <w:r w:rsidRPr="00847250">
        <w:rPr>
          <w:rFonts w:ascii="Times" w:hAnsi="Times" w:cs="Times"/>
          <w:noProof/>
          <w:sz w:val="20"/>
          <w:szCs w:val="20"/>
        </w:rPr>
        <w:t>18.</w:t>
      </w:r>
      <w:r w:rsidRPr="00847250">
        <w:rPr>
          <w:rFonts w:ascii="Times" w:hAnsi="Times" w:cs="Times"/>
          <w:noProof/>
          <w:sz w:val="20"/>
          <w:szCs w:val="20"/>
        </w:rPr>
        <w:tab/>
        <w:t xml:space="preserve">MARQUEZ-MEDINA, MD et al. </w:t>
      </w:r>
      <w:r w:rsidR="007B6FCB" w:rsidRPr="00E12659">
        <w:rPr>
          <w:rFonts w:ascii="Times" w:hAnsi="Times" w:cs="Times"/>
          <w:noProof/>
          <w:sz w:val="20"/>
          <w:szCs w:val="20"/>
        </w:rPr>
        <w:t xml:space="preserve">Marquez‐Medina - Síntese de Fluxo Contínuo de Nanopartículas de Óxido de Ferro Magnético Suportado </w:t>
      </w:r>
      <w:r w:rsidR="007B6FCB" w:rsidRPr="00B5384C">
        <w:rPr>
          <w:rFonts w:ascii="Times" w:hAnsi="Times" w:cs="Times"/>
          <w:bCs/>
          <w:noProof/>
          <w:sz w:val="20"/>
          <w:szCs w:val="20"/>
        </w:rPr>
        <w:t>ChemSusChem</w:t>
      </w:r>
      <w:r w:rsidR="00B5384C" w:rsidRPr="00E12659">
        <w:rPr>
          <w:rFonts w:ascii="Times" w:hAnsi="Times" w:cs="Times"/>
          <w:noProof/>
          <w:sz w:val="20"/>
          <w:szCs w:val="20"/>
        </w:rPr>
        <w:t xml:space="preserve">, </w:t>
      </w:r>
      <w:r w:rsidR="00B5384C" w:rsidRPr="00E12659">
        <w:rPr>
          <w:rFonts w:ascii="Times" w:hAnsi="Times" w:cs="Times"/>
          <w:b/>
          <w:noProof/>
          <w:sz w:val="20"/>
          <w:szCs w:val="20"/>
        </w:rPr>
        <w:t>2018</w:t>
      </w:r>
      <w:r w:rsidR="007B6FCB" w:rsidRPr="00E12659">
        <w:rPr>
          <w:rFonts w:ascii="Times" w:hAnsi="Times" w:cs="Times"/>
          <w:b/>
          <w:noProof/>
          <w:sz w:val="20"/>
          <w:szCs w:val="20"/>
        </w:rPr>
        <w:t>,</w:t>
      </w:r>
      <w:r w:rsidR="007B6FCB" w:rsidRPr="00E12659">
        <w:rPr>
          <w:rFonts w:ascii="Times" w:hAnsi="Times" w:cs="Times"/>
          <w:noProof/>
          <w:sz w:val="20"/>
          <w:szCs w:val="20"/>
        </w:rPr>
        <w:t xml:space="preserve"> 11, 389–396.</w:t>
      </w:r>
    </w:p>
    <w:p w14:paraId="57FECC7E" w14:textId="77777777" w:rsidR="00E12659" w:rsidRPr="00E12659" w:rsidRDefault="00E12659" w:rsidP="00B5384C">
      <w:pPr>
        <w:widowControl w:val="0"/>
        <w:autoSpaceDE w:val="0"/>
        <w:autoSpaceDN w:val="0"/>
        <w:adjustRightInd w:val="0"/>
        <w:spacing w:line="240" w:lineRule="auto"/>
        <w:ind w:left="426" w:hanging="426"/>
        <w:jc w:val="both"/>
        <w:rPr>
          <w:rFonts w:ascii="Times" w:hAnsi="Times" w:cs="Times"/>
          <w:noProof/>
          <w:sz w:val="20"/>
          <w:szCs w:val="20"/>
        </w:rPr>
      </w:pPr>
      <w:r w:rsidRPr="00534020">
        <w:rPr>
          <w:rFonts w:ascii="Times" w:hAnsi="Times" w:cs="Times"/>
          <w:noProof/>
          <w:sz w:val="20"/>
          <w:szCs w:val="20"/>
          <w:lang w:val="en-US"/>
        </w:rPr>
        <w:t>19.</w:t>
      </w:r>
      <w:r w:rsidR="00B5384C" w:rsidRPr="00534020">
        <w:rPr>
          <w:rFonts w:ascii="Times" w:hAnsi="Times" w:cs="Times"/>
          <w:noProof/>
          <w:sz w:val="20"/>
          <w:szCs w:val="20"/>
          <w:lang w:val="en-US"/>
        </w:rPr>
        <w:tab/>
      </w:r>
      <w:r w:rsidRPr="00534020">
        <w:rPr>
          <w:rFonts w:ascii="Times" w:hAnsi="Times" w:cs="Times"/>
          <w:noProof/>
          <w:sz w:val="20"/>
          <w:szCs w:val="20"/>
          <w:lang w:val="en-US"/>
        </w:rPr>
        <w:t>BOHRE, A. et al.</w:t>
      </w:r>
      <w:r w:rsidR="00534020" w:rsidRPr="00534020">
        <w:rPr>
          <w:lang w:val="en-US"/>
        </w:rPr>
        <w:t xml:space="preserve"> </w:t>
      </w:r>
      <w:r w:rsidR="00534020" w:rsidRPr="00534020">
        <w:rPr>
          <w:rFonts w:ascii="Times" w:hAnsi="Times" w:cs="Times"/>
          <w:noProof/>
          <w:sz w:val="20"/>
          <w:szCs w:val="20"/>
          <w:lang w:val="en-US"/>
        </w:rPr>
        <w:t>Aerobic Oxidation of Isoeugenol to Vanillin with Copper Oxide Doped Reduced Graphene Oxide</w:t>
      </w:r>
      <w:r w:rsidRPr="00534020">
        <w:rPr>
          <w:rFonts w:ascii="Times" w:hAnsi="Times" w:cs="Times"/>
          <w:noProof/>
          <w:sz w:val="20"/>
          <w:szCs w:val="20"/>
          <w:lang w:val="en-US"/>
        </w:rPr>
        <w:t xml:space="preserve">. </w:t>
      </w:r>
      <w:r w:rsidRPr="00E12659">
        <w:rPr>
          <w:rFonts w:ascii="Times" w:hAnsi="Times" w:cs="Times"/>
          <w:bCs/>
          <w:noProof/>
          <w:sz w:val="20"/>
          <w:szCs w:val="20"/>
        </w:rPr>
        <w:t>ChemistrySelect</w:t>
      </w:r>
      <w:r w:rsidR="00B5384C" w:rsidRPr="00E12659">
        <w:rPr>
          <w:rFonts w:ascii="Times" w:hAnsi="Times" w:cs="Times"/>
          <w:noProof/>
          <w:sz w:val="20"/>
          <w:szCs w:val="20"/>
        </w:rPr>
        <w:t>,</w:t>
      </w:r>
      <w:r w:rsidR="00534020">
        <w:rPr>
          <w:rFonts w:ascii="Times" w:hAnsi="Times" w:cs="Times"/>
          <w:noProof/>
          <w:sz w:val="20"/>
          <w:szCs w:val="20"/>
        </w:rPr>
        <w:t xml:space="preserve"> </w:t>
      </w:r>
      <w:r w:rsidR="00B5384C" w:rsidRPr="00E12659">
        <w:rPr>
          <w:rFonts w:ascii="Times" w:hAnsi="Times" w:cs="Times"/>
          <w:b/>
          <w:noProof/>
          <w:sz w:val="20"/>
          <w:szCs w:val="20"/>
        </w:rPr>
        <w:t>2017</w:t>
      </w:r>
      <w:r w:rsidRPr="00E12659">
        <w:rPr>
          <w:rFonts w:ascii="Times" w:hAnsi="Times" w:cs="Times"/>
          <w:noProof/>
          <w:sz w:val="20"/>
          <w:szCs w:val="20"/>
        </w:rPr>
        <w:t>,</w:t>
      </w:r>
      <w:r w:rsidR="00534020">
        <w:rPr>
          <w:rFonts w:ascii="Times" w:hAnsi="Times" w:cs="Times"/>
          <w:noProof/>
          <w:sz w:val="20"/>
          <w:szCs w:val="20"/>
        </w:rPr>
        <w:t xml:space="preserve"> </w:t>
      </w:r>
      <w:r w:rsidR="00B5384C">
        <w:rPr>
          <w:rFonts w:ascii="Times" w:hAnsi="Times" w:cs="Times"/>
          <w:noProof/>
          <w:sz w:val="20"/>
          <w:szCs w:val="20"/>
        </w:rPr>
        <w:t>2,</w:t>
      </w:r>
      <w:r w:rsidR="00534020">
        <w:rPr>
          <w:rFonts w:ascii="Times" w:hAnsi="Times" w:cs="Times"/>
          <w:noProof/>
          <w:sz w:val="20"/>
          <w:szCs w:val="20"/>
        </w:rPr>
        <w:t xml:space="preserve"> </w:t>
      </w:r>
      <w:r w:rsidRPr="00E12659">
        <w:rPr>
          <w:rFonts w:ascii="Times" w:hAnsi="Times" w:cs="Times"/>
          <w:noProof/>
          <w:sz w:val="20"/>
          <w:szCs w:val="20"/>
        </w:rPr>
        <w:t>10, 3129–3136.</w:t>
      </w:r>
    </w:p>
    <w:p w14:paraId="64F7E0E7" w14:textId="77777777" w:rsidR="007B6FCB" w:rsidRPr="00E12659" w:rsidRDefault="007B6FCB" w:rsidP="00B5384C">
      <w:pPr>
        <w:widowControl w:val="0"/>
        <w:autoSpaceDE w:val="0"/>
        <w:autoSpaceDN w:val="0"/>
        <w:adjustRightInd w:val="0"/>
        <w:spacing w:line="240" w:lineRule="auto"/>
        <w:ind w:left="426" w:hanging="426"/>
        <w:jc w:val="both"/>
        <w:rPr>
          <w:rFonts w:ascii="Times" w:hAnsi="Times" w:cs="Times"/>
          <w:noProof/>
          <w:sz w:val="20"/>
          <w:szCs w:val="20"/>
        </w:rPr>
      </w:pPr>
    </w:p>
    <w:p w14:paraId="147BE3AC"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E0C5" w14:textId="77777777" w:rsidR="000008BE" w:rsidRDefault="000008BE" w:rsidP="00EA4E1B">
      <w:pPr>
        <w:spacing w:after="0" w:line="240" w:lineRule="auto"/>
      </w:pPr>
      <w:r>
        <w:separator/>
      </w:r>
    </w:p>
  </w:endnote>
  <w:endnote w:type="continuationSeparator" w:id="0">
    <w:p w14:paraId="6F6009BB" w14:textId="77777777" w:rsidR="000008BE" w:rsidRDefault="000008B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8CF7" w14:textId="77777777" w:rsidR="000008BE" w:rsidRDefault="000008BE" w:rsidP="00EA4E1B">
      <w:pPr>
        <w:spacing w:after="0" w:line="240" w:lineRule="auto"/>
      </w:pPr>
      <w:r>
        <w:separator/>
      </w:r>
    </w:p>
  </w:footnote>
  <w:footnote w:type="continuationSeparator" w:id="0">
    <w:p w14:paraId="5DB437AD" w14:textId="77777777" w:rsidR="000008BE" w:rsidRDefault="000008B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8779" w14:textId="77777777" w:rsidR="00EA4E1B" w:rsidRDefault="00AF0400" w:rsidP="00EA4E1B">
    <w:pPr>
      <w:pStyle w:val="Cabealho"/>
      <w:jc w:val="center"/>
    </w:pPr>
    <w:r>
      <w:rPr>
        <w:noProof/>
        <w:lang w:eastAsia="pt-BR"/>
      </w:rPr>
      <w:drawing>
        <wp:inline distT="0" distB="0" distL="0" distR="0" wp14:anchorId="25A55FB5" wp14:editId="54556D4F">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lang w:eastAsia="pt-BR"/>
      </w:rPr>
      <w:drawing>
        <wp:inline distT="0" distB="0" distL="0" distR="0" wp14:anchorId="6C4F3F45" wp14:editId="373B3686">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4C005322"/>
    <w:multiLevelType w:val="hybridMultilevel"/>
    <w:tmpl w:val="3B163A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8515687">
    <w:abstractNumId w:val="0"/>
  </w:num>
  <w:num w:numId="2" w16cid:durableId="147902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8BE"/>
    <w:rsid w:val="00005CF6"/>
    <w:rsid w:val="0001264A"/>
    <w:rsid w:val="00061A72"/>
    <w:rsid w:val="000C3A0C"/>
    <w:rsid w:val="000F1D24"/>
    <w:rsid w:val="00146E2D"/>
    <w:rsid w:val="00146E9C"/>
    <w:rsid w:val="001546A8"/>
    <w:rsid w:val="001766F3"/>
    <w:rsid w:val="001D37FC"/>
    <w:rsid w:val="001E58A9"/>
    <w:rsid w:val="001F25B2"/>
    <w:rsid w:val="00222230"/>
    <w:rsid w:val="0025503C"/>
    <w:rsid w:val="002614CD"/>
    <w:rsid w:val="00291CD4"/>
    <w:rsid w:val="002A7758"/>
    <w:rsid w:val="00317DC7"/>
    <w:rsid w:val="00340B1E"/>
    <w:rsid w:val="00366E21"/>
    <w:rsid w:val="00402F3E"/>
    <w:rsid w:val="0040670D"/>
    <w:rsid w:val="00442808"/>
    <w:rsid w:val="004C1005"/>
    <w:rsid w:val="004F3F42"/>
    <w:rsid w:val="0052112E"/>
    <w:rsid w:val="005220B7"/>
    <w:rsid w:val="00534020"/>
    <w:rsid w:val="00536B17"/>
    <w:rsid w:val="00542301"/>
    <w:rsid w:val="005449F7"/>
    <w:rsid w:val="00572DD2"/>
    <w:rsid w:val="00584CF6"/>
    <w:rsid w:val="005C2775"/>
    <w:rsid w:val="005C3409"/>
    <w:rsid w:val="005D65EB"/>
    <w:rsid w:val="00604718"/>
    <w:rsid w:val="00637D22"/>
    <w:rsid w:val="00652815"/>
    <w:rsid w:val="006B1E04"/>
    <w:rsid w:val="006F599B"/>
    <w:rsid w:val="00743CE7"/>
    <w:rsid w:val="007459A4"/>
    <w:rsid w:val="007670A0"/>
    <w:rsid w:val="0077448E"/>
    <w:rsid w:val="00781685"/>
    <w:rsid w:val="007A1689"/>
    <w:rsid w:val="007B4B2B"/>
    <w:rsid w:val="007B6FCB"/>
    <w:rsid w:val="00802BC0"/>
    <w:rsid w:val="00810573"/>
    <w:rsid w:val="00847250"/>
    <w:rsid w:val="00866822"/>
    <w:rsid w:val="008725D8"/>
    <w:rsid w:val="00893BB4"/>
    <w:rsid w:val="008B1683"/>
    <w:rsid w:val="008C1B30"/>
    <w:rsid w:val="008D7387"/>
    <w:rsid w:val="009228CE"/>
    <w:rsid w:val="009656D9"/>
    <w:rsid w:val="009933DF"/>
    <w:rsid w:val="009C7CB0"/>
    <w:rsid w:val="009D3809"/>
    <w:rsid w:val="00A17D85"/>
    <w:rsid w:val="00A41178"/>
    <w:rsid w:val="00A7684B"/>
    <w:rsid w:val="00A87CE8"/>
    <w:rsid w:val="00AA182E"/>
    <w:rsid w:val="00AF0400"/>
    <w:rsid w:val="00B10F5B"/>
    <w:rsid w:val="00B30AEB"/>
    <w:rsid w:val="00B36B31"/>
    <w:rsid w:val="00B5384C"/>
    <w:rsid w:val="00B57361"/>
    <w:rsid w:val="00B847A1"/>
    <w:rsid w:val="00BA6A6E"/>
    <w:rsid w:val="00BB322A"/>
    <w:rsid w:val="00C46484"/>
    <w:rsid w:val="00C64260"/>
    <w:rsid w:val="00C76E54"/>
    <w:rsid w:val="00CC6056"/>
    <w:rsid w:val="00CF5171"/>
    <w:rsid w:val="00D002B0"/>
    <w:rsid w:val="00D36F95"/>
    <w:rsid w:val="00D54DD9"/>
    <w:rsid w:val="00D96135"/>
    <w:rsid w:val="00DB04E5"/>
    <w:rsid w:val="00DD2083"/>
    <w:rsid w:val="00E02A21"/>
    <w:rsid w:val="00E038AF"/>
    <w:rsid w:val="00E12659"/>
    <w:rsid w:val="00E26F88"/>
    <w:rsid w:val="00E85848"/>
    <w:rsid w:val="00EA4E1B"/>
    <w:rsid w:val="00ED1A15"/>
    <w:rsid w:val="00ED4732"/>
    <w:rsid w:val="00F30661"/>
    <w:rsid w:val="00F61317"/>
    <w:rsid w:val="00F917DA"/>
    <w:rsid w:val="00FB0019"/>
    <w:rsid w:val="00FB3337"/>
    <w:rsid w:val="00FF1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1F28A"/>
  <w15:docId w15:val="{B2831B19-1ED3-264A-8447-820C2D87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572DD2"/>
    <w:rPr>
      <w:color w:val="0563C1" w:themeColor="hyperlink"/>
      <w:u w:val="single"/>
    </w:rPr>
  </w:style>
  <w:style w:type="paragraph" w:customStyle="1" w:styleId="P1">
    <w:name w:val="P1"/>
    <w:basedOn w:val="Normal"/>
    <w:qFormat/>
    <w:rsid w:val="00146E2D"/>
    <w:pPr>
      <w:spacing w:after="0" w:line="225" w:lineRule="exact"/>
      <w:jc w:val="both"/>
    </w:pPr>
    <w:rPr>
      <w:rFonts w:ascii="Arial" w:eastAsia="MS Mincho" w:hAnsi="Arial" w:cs="Times New Roman"/>
      <w:sz w:val="17"/>
      <w:szCs w:val="24"/>
      <w:lang w:eastAsia="ja-JP"/>
    </w:rPr>
  </w:style>
  <w:style w:type="table" w:styleId="Tabelacomgrade">
    <w:name w:val="Table Grid"/>
    <w:basedOn w:val="Tabelanormal"/>
    <w:uiPriority w:val="59"/>
    <w:rsid w:val="00146E2D"/>
    <w:pPr>
      <w:spacing w:after="0" w:line="240" w:lineRule="auto"/>
      <w:jc w:val="both"/>
    </w:pPr>
    <w:rPr>
      <w:sz w:val="22"/>
      <w:szCs w:val="22"/>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42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46932">
      <w:bodyDiv w:val="1"/>
      <w:marLeft w:val="0"/>
      <w:marRight w:val="0"/>
      <w:marTop w:val="0"/>
      <w:marBottom w:val="0"/>
      <w:divBdr>
        <w:top w:val="none" w:sz="0" w:space="0" w:color="auto"/>
        <w:left w:val="none" w:sz="0" w:space="0" w:color="auto"/>
        <w:bottom w:val="none" w:sz="0" w:space="0" w:color="auto"/>
        <w:right w:val="none" w:sz="0" w:space="0" w:color="auto"/>
      </w:divBdr>
      <w:divsChild>
        <w:div w:id="387267544">
          <w:marLeft w:val="780"/>
          <w:marRight w:val="0"/>
          <w:marTop w:val="0"/>
          <w:marBottom w:val="0"/>
          <w:divBdr>
            <w:top w:val="none" w:sz="0" w:space="0" w:color="auto"/>
            <w:left w:val="none" w:sz="0" w:space="0" w:color="auto"/>
            <w:bottom w:val="none" w:sz="0" w:space="0" w:color="auto"/>
            <w:right w:val="none" w:sz="0" w:space="0" w:color="auto"/>
          </w:divBdr>
          <w:divsChild>
            <w:div w:id="885337061">
              <w:marLeft w:val="0"/>
              <w:marRight w:val="0"/>
              <w:marTop w:val="0"/>
              <w:marBottom w:val="0"/>
              <w:divBdr>
                <w:top w:val="none" w:sz="0" w:space="0" w:color="auto"/>
                <w:left w:val="none" w:sz="0" w:space="0" w:color="auto"/>
                <w:bottom w:val="none" w:sz="0" w:space="0" w:color="auto"/>
                <w:right w:val="none" w:sz="0" w:space="0" w:color="auto"/>
              </w:divBdr>
              <w:divsChild>
                <w:div w:id="338654391">
                  <w:marLeft w:val="0"/>
                  <w:marRight w:val="0"/>
                  <w:marTop w:val="0"/>
                  <w:marBottom w:val="0"/>
                  <w:divBdr>
                    <w:top w:val="none" w:sz="0" w:space="0" w:color="auto"/>
                    <w:left w:val="none" w:sz="0" w:space="0" w:color="auto"/>
                    <w:bottom w:val="none" w:sz="0" w:space="0" w:color="auto"/>
                    <w:right w:val="none" w:sz="0" w:space="0" w:color="auto"/>
                  </w:divBdr>
                  <w:divsChild>
                    <w:div w:id="1497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434">
              <w:marLeft w:val="0"/>
              <w:marRight w:val="0"/>
              <w:marTop w:val="0"/>
              <w:marBottom w:val="0"/>
              <w:divBdr>
                <w:top w:val="none" w:sz="0" w:space="0" w:color="auto"/>
                <w:left w:val="none" w:sz="0" w:space="0" w:color="auto"/>
                <w:bottom w:val="none" w:sz="0" w:space="0" w:color="auto"/>
                <w:right w:val="none" w:sz="0" w:space="0" w:color="auto"/>
              </w:divBdr>
              <w:divsChild>
                <w:div w:id="2059892074">
                  <w:marLeft w:val="0"/>
                  <w:marRight w:val="0"/>
                  <w:marTop w:val="0"/>
                  <w:marBottom w:val="0"/>
                  <w:divBdr>
                    <w:top w:val="none" w:sz="0" w:space="0" w:color="auto"/>
                    <w:left w:val="none" w:sz="0" w:space="0" w:color="auto"/>
                    <w:bottom w:val="none" w:sz="0" w:space="0" w:color="auto"/>
                    <w:right w:val="none" w:sz="0" w:space="0" w:color="auto"/>
                  </w:divBdr>
                  <w:divsChild>
                    <w:div w:id="28579554">
                      <w:marLeft w:val="0"/>
                      <w:marRight w:val="0"/>
                      <w:marTop w:val="0"/>
                      <w:marBottom w:val="0"/>
                      <w:divBdr>
                        <w:top w:val="none" w:sz="0" w:space="0" w:color="auto"/>
                        <w:left w:val="none" w:sz="0" w:space="0" w:color="auto"/>
                        <w:bottom w:val="none" w:sz="0" w:space="0" w:color="auto"/>
                        <w:right w:val="none" w:sz="0" w:space="0" w:color="auto"/>
                      </w:divBdr>
                      <w:divsChild>
                        <w:div w:id="1805079054">
                          <w:marLeft w:val="0"/>
                          <w:marRight w:val="0"/>
                          <w:marTop w:val="0"/>
                          <w:marBottom w:val="0"/>
                          <w:divBdr>
                            <w:top w:val="none" w:sz="0" w:space="0" w:color="auto"/>
                            <w:left w:val="none" w:sz="0" w:space="0" w:color="auto"/>
                            <w:bottom w:val="none" w:sz="0" w:space="0" w:color="auto"/>
                            <w:right w:val="none" w:sz="0" w:space="0" w:color="auto"/>
                          </w:divBdr>
                          <w:divsChild>
                            <w:div w:id="493494163">
                              <w:marLeft w:val="0"/>
                              <w:marRight w:val="0"/>
                              <w:marTop w:val="0"/>
                              <w:marBottom w:val="0"/>
                              <w:divBdr>
                                <w:top w:val="none" w:sz="0" w:space="0" w:color="auto"/>
                                <w:left w:val="none" w:sz="0" w:space="0" w:color="auto"/>
                                <w:bottom w:val="none" w:sz="0" w:space="0" w:color="auto"/>
                                <w:right w:val="none" w:sz="0" w:space="0" w:color="auto"/>
                              </w:divBdr>
                              <w:divsChild>
                                <w:div w:id="999774578">
                                  <w:marLeft w:val="0"/>
                                  <w:marRight w:val="0"/>
                                  <w:marTop w:val="0"/>
                                  <w:marBottom w:val="0"/>
                                  <w:divBdr>
                                    <w:top w:val="none" w:sz="0" w:space="0" w:color="auto"/>
                                    <w:left w:val="none" w:sz="0" w:space="0" w:color="auto"/>
                                    <w:bottom w:val="none" w:sz="0" w:space="0" w:color="auto"/>
                                    <w:right w:val="none" w:sz="0" w:space="0" w:color="auto"/>
                                  </w:divBdr>
                                  <w:divsChild>
                                    <w:div w:id="749039593">
                                      <w:marLeft w:val="0"/>
                                      <w:marRight w:val="0"/>
                                      <w:marTop w:val="0"/>
                                      <w:marBottom w:val="0"/>
                                      <w:divBdr>
                                        <w:top w:val="none" w:sz="0" w:space="0" w:color="auto"/>
                                        <w:left w:val="none" w:sz="0" w:space="0" w:color="auto"/>
                                        <w:bottom w:val="none" w:sz="0" w:space="0" w:color="auto"/>
                                        <w:right w:val="none" w:sz="0" w:space="0" w:color="auto"/>
                                      </w:divBdr>
                                      <w:divsChild>
                                        <w:div w:id="1808812789">
                                          <w:marLeft w:val="0"/>
                                          <w:marRight w:val="0"/>
                                          <w:marTop w:val="0"/>
                                          <w:marBottom w:val="0"/>
                                          <w:divBdr>
                                            <w:top w:val="none" w:sz="0" w:space="0" w:color="auto"/>
                                            <w:left w:val="none" w:sz="0" w:space="0" w:color="auto"/>
                                            <w:bottom w:val="none" w:sz="0" w:space="0" w:color="auto"/>
                                            <w:right w:val="none" w:sz="0" w:space="0" w:color="auto"/>
                                          </w:divBdr>
                                          <w:divsChild>
                                            <w:div w:id="20094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0034">
                                      <w:marLeft w:val="0"/>
                                      <w:marRight w:val="0"/>
                                      <w:marTop w:val="0"/>
                                      <w:marBottom w:val="0"/>
                                      <w:divBdr>
                                        <w:top w:val="none" w:sz="0" w:space="0" w:color="auto"/>
                                        <w:left w:val="none" w:sz="0" w:space="0" w:color="auto"/>
                                        <w:bottom w:val="none" w:sz="0" w:space="0" w:color="auto"/>
                                        <w:right w:val="none" w:sz="0" w:space="0" w:color="auto"/>
                                      </w:divBdr>
                                      <w:divsChild>
                                        <w:div w:id="278804683">
                                          <w:marLeft w:val="0"/>
                                          <w:marRight w:val="0"/>
                                          <w:marTop w:val="0"/>
                                          <w:marBottom w:val="0"/>
                                          <w:divBdr>
                                            <w:top w:val="none" w:sz="0" w:space="0" w:color="auto"/>
                                            <w:left w:val="none" w:sz="0" w:space="0" w:color="auto"/>
                                            <w:bottom w:val="none" w:sz="0" w:space="0" w:color="auto"/>
                                            <w:right w:val="none" w:sz="0" w:space="0" w:color="auto"/>
                                          </w:divBdr>
                                          <w:divsChild>
                                            <w:div w:id="14461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2355">
                                      <w:marLeft w:val="0"/>
                                      <w:marRight w:val="0"/>
                                      <w:marTop w:val="0"/>
                                      <w:marBottom w:val="0"/>
                                      <w:divBdr>
                                        <w:top w:val="none" w:sz="0" w:space="0" w:color="auto"/>
                                        <w:left w:val="none" w:sz="0" w:space="0" w:color="auto"/>
                                        <w:bottom w:val="none" w:sz="0" w:space="0" w:color="auto"/>
                                        <w:right w:val="none" w:sz="0" w:space="0" w:color="auto"/>
                                      </w:divBdr>
                                      <w:divsChild>
                                        <w:div w:id="221336736">
                                          <w:marLeft w:val="0"/>
                                          <w:marRight w:val="0"/>
                                          <w:marTop w:val="0"/>
                                          <w:marBottom w:val="0"/>
                                          <w:divBdr>
                                            <w:top w:val="none" w:sz="0" w:space="0" w:color="auto"/>
                                            <w:left w:val="none" w:sz="0" w:space="0" w:color="auto"/>
                                            <w:bottom w:val="none" w:sz="0" w:space="0" w:color="auto"/>
                                            <w:right w:val="none" w:sz="0" w:space="0" w:color="auto"/>
                                          </w:divBdr>
                                          <w:divsChild>
                                            <w:div w:id="5971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370">
                                      <w:marLeft w:val="0"/>
                                      <w:marRight w:val="0"/>
                                      <w:marTop w:val="0"/>
                                      <w:marBottom w:val="0"/>
                                      <w:divBdr>
                                        <w:top w:val="none" w:sz="0" w:space="0" w:color="auto"/>
                                        <w:left w:val="none" w:sz="0" w:space="0" w:color="auto"/>
                                        <w:bottom w:val="none" w:sz="0" w:space="0" w:color="auto"/>
                                        <w:right w:val="none" w:sz="0" w:space="0" w:color="auto"/>
                                      </w:divBdr>
                                      <w:divsChild>
                                        <w:div w:id="1686203349">
                                          <w:marLeft w:val="0"/>
                                          <w:marRight w:val="0"/>
                                          <w:marTop w:val="0"/>
                                          <w:marBottom w:val="0"/>
                                          <w:divBdr>
                                            <w:top w:val="none" w:sz="0" w:space="0" w:color="auto"/>
                                            <w:left w:val="none" w:sz="0" w:space="0" w:color="auto"/>
                                            <w:bottom w:val="none" w:sz="0" w:space="0" w:color="auto"/>
                                            <w:right w:val="none" w:sz="0" w:space="0" w:color="auto"/>
                                          </w:divBdr>
                                          <w:divsChild>
                                            <w:div w:id="5864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029857">
          <w:marLeft w:val="720"/>
          <w:marRight w:val="0"/>
          <w:marTop w:val="0"/>
          <w:marBottom w:val="0"/>
          <w:divBdr>
            <w:top w:val="none" w:sz="0" w:space="0" w:color="auto"/>
            <w:left w:val="none" w:sz="0" w:space="0" w:color="auto"/>
            <w:bottom w:val="none" w:sz="0" w:space="0" w:color="auto"/>
            <w:right w:val="none" w:sz="0" w:space="0" w:color="auto"/>
          </w:divBdr>
          <w:divsChild>
            <w:div w:id="930162525">
              <w:marLeft w:val="0"/>
              <w:marRight w:val="0"/>
              <w:marTop w:val="0"/>
              <w:marBottom w:val="0"/>
              <w:divBdr>
                <w:top w:val="none" w:sz="0" w:space="0" w:color="auto"/>
                <w:left w:val="none" w:sz="0" w:space="0" w:color="auto"/>
                <w:bottom w:val="none" w:sz="0" w:space="0" w:color="auto"/>
                <w:right w:val="none" w:sz="0" w:space="0" w:color="auto"/>
              </w:divBdr>
              <w:divsChild>
                <w:div w:id="1734886209">
                  <w:marLeft w:val="0"/>
                  <w:marRight w:val="0"/>
                  <w:marTop w:val="0"/>
                  <w:marBottom w:val="0"/>
                  <w:divBdr>
                    <w:top w:val="none" w:sz="0" w:space="0" w:color="auto"/>
                    <w:left w:val="none" w:sz="0" w:space="0" w:color="auto"/>
                    <w:bottom w:val="none" w:sz="0" w:space="0" w:color="auto"/>
                    <w:right w:val="none" w:sz="0" w:space="0" w:color="auto"/>
                  </w:divBdr>
                  <w:divsChild>
                    <w:div w:id="123164517">
                      <w:marLeft w:val="0"/>
                      <w:marRight w:val="0"/>
                      <w:marTop w:val="0"/>
                      <w:marBottom w:val="0"/>
                      <w:divBdr>
                        <w:top w:val="none" w:sz="0" w:space="0" w:color="auto"/>
                        <w:left w:val="none" w:sz="0" w:space="0" w:color="auto"/>
                        <w:bottom w:val="none" w:sz="0" w:space="0" w:color="auto"/>
                        <w:right w:val="none" w:sz="0" w:space="0" w:color="auto"/>
                      </w:divBdr>
                      <w:divsChild>
                        <w:div w:id="19187805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lui1@yahoo.com.br"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lilice@hotmail.com" TargetMode="Externa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C77DDE55-536C-4CA6-ADA6-0C1368D7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7435</Words>
  <Characters>38517</Characters>
  <Application>Microsoft Office Word</Application>
  <DocSecurity>0</DocSecurity>
  <Lines>939</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Luis Adriano Nascimento</cp:lastModifiedBy>
  <cp:revision>10</cp:revision>
  <dcterms:created xsi:type="dcterms:W3CDTF">2023-06-15T14:03:00Z</dcterms:created>
  <dcterms:modified xsi:type="dcterms:W3CDTF">2023-06-18T21:49:00Z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http://www.zotero.org/styles/acs-medicinal-chemistry-letters</vt:lpwstr>
  </property>
  <property fmtid="{D5CDD505-2E9C-101B-9397-08002B2CF9AE}" pid="5" name="Mendeley Recent Style Name 1_1">
    <vt:lpwstr>ACS Medicinal Chemistry Letters</vt:lpwstr>
  </property>
  <property fmtid="{D5CDD505-2E9C-101B-9397-08002B2CF9AE}" pid="6" name="Mendeley Recent Style Id 2_1">
    <vt:lpwstr>http://www.zotero.org/styles/acs-sustainable-chemistry-and-engineering</vt:lpwstr>
  </property>
  <property fmtid="{D5CDD505-2E9C-101B-9397-08002B2CF9AE}" pid="7" name="Mendeley Recent Style Name 2_1">
    <vt:lpwstr>ACS Sustainable Chemistry &amp; Engineering</vt:lpwstr>
  </property>
  <property fmtid="{D5CDD505-2E9C-101B-9397-08002B2CF9AE}" pid="8" name="Mendeley Recent Style Id 3_1">
    <vt:lpwstr>http://www.zotero.org/styles/applied-clay-science</vt:lpwstr>
  </property>
  <property fmtid="{D5CDD505-2E9C-101B-9397-08002B2CF9AE}" pid="9" name="Mendeley Recent Style Name 3_1">
    <vt:lpwstr>Applied Clay Science</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http://www.zotero.org/styles/journal-of-environmental-management</vt:lpwstr>
  </property>
  <property fmtid="{D5CDD505-2E9C-101B-9397-08002B2CF9AE}" pid="13" name="Mendeley Recent Style Name 5_1">
    <vt:lpwstr>Journal of Environmental Management</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http://www.zotero.org/styles/renewable-and-sustainable-energy-reviews</vt:lpwstr>
  </property>
  <property fmtid="{D5CDD505-2E9C-101B-9397-08002B2CF9AE}" pid="19" name="Mendeley Recent Style Name 8_1">
    <vt:lpwstr>Renewable and Sustainable Energy Reviews</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GrammarlyDocumentId">
    <vt:lpwstr>4b3d22c5d8718423bf24c80efe96b82e071d9c061d0ca8fcd08a1e6d725d8cf7</vt:lpwstr>
  </property>
</Properties>
</file>