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3D2E077F" w:rsidR="00EA4E1B" w:rsidRPr="00C53283" w:rsidRDefault="00ED0E36" w:rsidP="00C53283">
      <w:pPr>
        <w:pStyle w:val="BATitle"/>
        <w:spacing w:before="0" w:after="0" w:line="240" w:lineRule="auto"/>
        <w:ind w:right="0"/>
        <w:jc w:val="both"/>
        <w:rPr>
          <w:sz w:val="32"/>
        </w:rPr>
      </w:pPr>
      <w:r>
        <w:rPr>
          <w:sz w:val="32"/>
        </w:rPr>
        <w:t>Aqueous</w:t>
      </w:r>
      <w:r w:rsidR="004E51D5">
        <w:rPr>
          <w:sz w:val="32"/>
        </w:rPr>
        <w:t xml:space="preserve"> </w:t>
      </w:r>
      <w:r>
        <w:rPr>
          <w:sz w:val="32"/>
        </w:rPr>
        <w:t>phase h</w:t>
      </w:r>
      <w:r w:rsidR="00EC4BAE" w:rsidRPr="00EC4BAE">
        <w:rPr>
          <w:sz w:val="32"/>
        </w:rPr>
        <w:t xml:space="preserve">ydrogenation of </w:t>
      </w:r>
      <w:r w:rsidR="00EC4BAE">
        <w:rPr>
          <w:rFonts w:ascii="Times New Roman" w:hAnsi="Times New Roman"/>
          <w:sz w:val="32"/>
          <w:lang w:val="pt-BR"/>
        </w:rPr>
        <w:t>β</w:t>
      </w:r>
      <w:r w:rsidR="00EC4BAE" w:rsidRPr="00EC4BAE">
        <w:rPr>
          <w:sz w:val="32"/>
        </w:rPr>
        <w:t>-hydroxybutyric a</w:t>
      </w:r>
      <w:r w:rsidR="00EC4BAE">
        <w:rPr>
          <w:sz w:val="32"/>
        </w:rPr>
        <w:t>cid to 1,3-Butanediol</w:t>
      </w:r>
      <w:r w:rsidR="00F42EC5">
        <w:rPr>
          <w:sz w:val="32"/>
        </w:rPr>
        <w:t xml:space="preserve"> over Ru catalysts</w:t>
      </w:r>
      <w:r w:rsidR="00EC4BAE">
        <w:rPr>
          <w:sz w:val="32"/>
        </w:rPr>
        <w:t xml:space="preserve">: </w:t>
      </w:r>
      <w:r w:rsidR="00977E3E">
        <w:rPr>
          <w:sz w:val="32"/>
        </w:rPr>
        <w:t>effect of temperature, support</w:t>
      </w:r>
      <w:r w:rsidR="00FD7E6B">
        <w:rPr>
          <w:sz w:val="32"/>
        </w:rPr>
        <w:t>,</w:t>
      </w:r>
      <w:r w:rsidR="00977E3E">
        <w:rPr>
          <w:sz w:val="32"/>
        </w:rPr>
        <w:t xml:space="preserve"> and </w:t>
      </w:r>
      <w:r w:rsidR="00B75E67">
        <w:rPr>
          <w:sz w:val="32"/>
        </w:rPr>
        <w:t xml:space="preserve">mechanistic </w:t>
      </w:r>
      <w:r w:rsidR="00EC4BAE">
        <w:rPr>
          <w:sz w:val="32"/>
        </w:rPr>
        <w:t xml:space="preserve">investigation </w:t>
      </w:r>
    </w:p>
    <w:p w14:paraId="18735493" w14:textId="264AF53C" w:rsidR="00EA4E1B" w:rsidRPr="00C83C7A" w:rsidRDefault="00C53283" w:rsidP="00EA4E1B">
      <w:pPr>
        <w:pStyle w:val="BBAuthorName"/>
        <w:spacing w:after="120"/>
        <w:ind w:right="0"/>
        <w:jc w:val="both"/>
        <w:rPr>
          <w:rFonts w:ascii="Times New Roman" w:hAnsi="Times New Roman"/>
          <w:sz w:val="20"/>
          <w:lang w:val="pt-BR"/>
        </w:rPr>
      </w:pPr>
      <w:r>
        <w:rPr>
          <w:rFonts w:ascii="Times New Roman" w:hAnsi="Times New Roman"/>
          <w:sz w:val="20"/>
          <w:lang w:val="pt-BR"/>
        </w:rPr>
        <w:t>João Lucas Marques Barros</w:t>
      </w:r>
      <w:r w:rsidR="00EA4E1B" w:rsidRPr="001F25B2">
        <w:rPr>
          <w:rFonts w:ascii="Times New Roman" w:hAnsi="Times New Roman"/>
          <w:sz w:val="20"/>
          <w:vertAlign w:val="superscript"/>
          <w:lang w:val="pt-BR"/>
        </w:rPr>
        <w:t>1</w:t>
      </w:r>
      <w:r w:rsidR="002006A9">
        <w:rPr>
          <w:rFonts w:ascii="Times New Roman" w:hAnsi="Times New Roman"/>
          <w:sz w:val="20"/>
          <w:vertAlign w:val="superscript"/>
          <w:lang w:val="pt-BR"/>
        </w:rPr>
        <w:t>*</w:t>
      </w:r>
      <w:r>
        <w:rPr>
          <w:rFonts w:ascii="Times New Roman" w:hAnsi="Times New Roman"/>
          <w:sz w:val="20"/>
          <w:lang w:val="pt-BR"/>
        </w:rPr>
        <w:t xml:space="preserve">, José Lucas </w:t>
      </w:r>
      <w:r w:rsidR="00C83C7A">
        <w:rPr>
          <w:rFonts w:ascii="Times New Roman" w:hAnsi="Times New Roman"/>
          <w:sz w:val="20"/>
          <w:lang w:val="pt-BR"/>
        </w:rPr>
        <w:t>Vieira</w:t>
      </w:r>
      <w:r w:rsidR="005C7CA1">
        <w:rPr>
          <w:rFonts w:ascii="Times New Roman" w:hAnsi="Times New Roman"/>
          <w:sz w:val="20"/>
          <w:vertAlign w:val="superscript"/>
          <w:lang w:val="pt-BR"/>
        </w:rPr>
        <w:t>2</w:t>
      </w:r>
      <w:r w:rsidR="00C83C7A">
        <w:rPr>
          <w:rFonts w:ascii="Times New Roman" w:hAnsi="Times New Roman"/>
          <w:sz w:val="20"/>
          <w:lang w:val="pt-BR"/>
        </w:rPr>
        <w:t>, Jean Marcel R</w:t>
      </w:r>
      <w:r w:rsidR="006E2CB0">
        <w:rPr>
          <w:rFonts w:ascii="Times New Roman" w:hAnsi="Times New Roman"/>
          <w:sz w:val="20"/>
          <w:lang w:val="pt-BR"/>
        </w:rPr>
        <w:t>.</w:t>
      </w:r>
      <w:r w:rsidR="00C83C7A">
        <w:rPr>
          <w:rFonts w:ascii="Times New Roman" w:hAnsi="Times New Roman"/>
          <w:sz w:val="20"/>
          <w:lang w:val="pt-BR"/>
        </w:rPr>
        <w:t xml:space="preserve"> Gallo</w:t>
      </w:r>
      <w:r w:rsidR="00F2463A">
        <w:rPr>
          <w:rFonts w:ascii="Times New Roman" w:hAnsi="Times New Roman"/>
          <w:sz w:val="20"/>
          <w:vertAlign w:val="superscript"/>
          <w:lang w:val="pt-BR"/>
        </w:rPr>
        <w:t>2</w:t>
      </w:r>
      <w:r w:rsidR="00C83C7A">
        <w:rPr>
          <w:rFonts w:ascii="Times New Roman" w:hAnsi="Times New Roman"/>
          <w:sz w:val="20"/>
          <w:lang w:val="pt-BR"/>
        </w:rPr>
        <w:t>, José Maria Corrêa Bueno</w:t>
      </w:r>
      <w:r w:rsidR="00C83C7A">
        <w:rPr>
          <w:rFonts w:ascii="Times New Roman" w:hAnsi="Times New Roman"/>
          <w:sz w:val="20"/>
          <w:vertAlign w:val="superscript"/>
          <w:lang w:val="pt-BR"/>
        </w:rPr>
        <w:t>1</w:t>
      </w:r>
    </w:p>
    <w:p w14:paraId="22D38595" w14:textId="1CA4AF14" w:rsidR="00EA4E1B" w:rsidRDefault="00EA4E1B" w:rsidP="00EA4E1B">
      <w:pPr>
        <w:pStyle w:val="BCAuthorAddress"/>
        <w:spacing w:after="0"/>
        <w:ind w:right="0"/>
        <w:jc w:val="both"/>
        <w:rPr>
          <w:lang w:val="pt-BR"/>
        </w:rPr>
      </w:pPr>
      <w:r>
        <w:rPr>
          <w:vertAlign w:val="superscript"/>
          <w:lang w:val="pt-BR"/>
        </w:rPr>
        <w:t>1</w:t>
      </w:r>
      <w:r w:rsidR="004D2581">
        <w:rPr>
          <w:lang w:val="pt-BR"/>
        </w:rPr>
        <w:t>Universidade Federal de São Carlos –</w:t>
      </w:r>
      <w:r w:rsidR="005C7CA1">
        <w:rPr>
          <w:lang w:val="pt-BR"/>
        </w:rPr>
        <w:t xml:space="preserve"> Departamento de Engenharia Química</w:t>
      </w:r>
      <w:r w:rsidR="004D2581">
        <w:rPr>
          <w:lang w:val="pt-BR"/>
        </w:rPr>
        <w:t xml:space="preserve"> (UFSCar</w:t>
      </w:r>
      <w:r w:rsidR="005C7CA1">
        <w:rPr>
          <w:lang w:val="pt-BR"/>
        </w:rPr>
        <w:t xml:space="preserve"> - DEQ</w:t>
      </w:r>
      <w:r w:rsidR="004D2581">
        <w:rPr>
          <w:lang w:val="pt-BR"/>
        </w:rPr>
        <w:t>) - Rod. Washington Luís, 235 – São Carlos (SP) Brasil</w:t>
      </w:r>
    </w:p>
    <w:p w14:paraId="0BA563F7" w14:textId="61820A4B" w:rsidR="004D2581" w:rsidRPr="004D2581" w:rsidRDefault="004D2581" w:rsidP="004D2581">
      <w:pPr>
        <w:pStyle w:val="BCAuthorAddress"/>
        <w:spacing w:after="0"/>
        <w:ind w:right="0"/>
        <w:jc w:val="both"/>
        <w:rPr>
          <w:lang w:val="pt-BR"/>
        </w:rPr>
      </w:pPr>
      <w:r>
        <w:rPr>
          <w:vertAlign w:val="superscript"/>
          <w:lang w:val="pt-BR"/>
        </w:rPr>
        <w:t>2</w:t>
      </w:r>
      <w:r>
        <w:rPr>
          <w:lang w:val="pt-BR"/>
        </w:rPr>
        <w:t xml:space="preserve">Universidade Federal de São Carlos – </w:t>
      </w:r>
      <w:r w:rsidR="005C7CA1">
        <w:rPr>
          <w:lang w:val="pt-BR"/>
        </w:rPr>
        <w:t xml:space="preserve">Departamento de Química </w:t>
      </w:r>
      <w:r>
        <w:rPr>
          <w:lang w:val="pt-BR"/>
        </w:rPr>
        <w:t>(UFSCar</w:t>
      </w:r>
      <w:r w:rsidR="005C7CA1">
        <w:rPr>
          <w:lang w:val="pt-BR"/>
        </w:rPr>
        <w:t xml:space="preserve"> - DQ</w:t>
      </w:r>
      <w:r>
        <w:rPr>
          <w:lang w:val="pt-BR"/>
        </w:rPr>
        <w:t>) - Rod. Washington Luís, 235 – São Carlos (SP) Brasil</w:t>
      </w:r>
    </w:p>
    <w:p w14:paraId="49DF19F4" w14:textId="3379E182" w:rsidR="004D2581" w:rsidRPr="004D2581" w:rsidRDefault="004D2581" w:rsidP="004D2581">
      <w:pPr>
        <w:pStyle w:val="BCAuthorAddress"/>
        <w:spacing w:after="0"/>
        <w:ind w:right="0"/>
        <w:jc w:val="both"/>
        <w:rPr>
          <w:lang w:val="pt-BR"/>
        </w:rPr>
      </w:pPr>
      <w:r>
        <w:rPr>
          <w:vertAlign w:val="superscript"/>
          <w:lang w:val="pt-BR"/>
        </w:rPr>
        <w:t>*</w:t>
      </w:r>
      <w:r w:rsidRPr="004D2581">
        <w:rPr>
          <w:lang w:val="pt-BR"/>
        </w:rPr>
        <w:t>lmbjoao@estudante.ufscar.br</w:t>
      </w:r>
      <w:r>
        <w:rPr>
          <w:lang w:val="pt-BR"/>
        </w:rPr>
        <w:t xml:space="preserve"> </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46FE35DA"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46FE35DA"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09B41B70" w14:textId="03DFC721" w:rsidR="00EA4E1B" w:rsidRDefault="00EA4E1B" w:rsidP="00AB2CAD">
      <w:pPr>
        <w:pStyle w:val="BDAbstract"/>
        <w:rPr>
          <w:rFonts w:ascii="Times New Roman" w:hAnsi="Times New Roman"/>
          <w:b w:val="0"/>
          <w:sz w:val="20"/>
          <w:lang w:val="pt-BR"/>
        </w:rPr>
      </w:pPr>
      <w:r>
        <w:rPr>
          <w:rFonts w:ascii="Times New Roman" w:hAnsi="Times New Roman"/>
          <w:b w:val="0"/>
          <w:sz w:val="20"/>
          <w:lang w:val="pt-BR"/>
        </w:rPr>
        <w:t xml:space="preserve">RESUMO </w:t>
      </w:r>
      <w:r w:rsidR="00E10571">
        <w:rPr>
          <w:rFonts w:ascii="Times New Roman" w:hAnsi="Times New Roman"/>
          <w:b w:val="0"/>
          <w:sz w:val="20"/>
          <w:lang w:val="pt-BR"/>
        </w:rPr>
        <w:t>–</w:t>
      </w:r>
      <w:r>
        <w:rPr>
          <w:rFonts w:ascii="Times New Roman" w:hAnsi="Times New Roman"/>
          <w:b w:val="0"/>
          <w:sz w:val="20"/>
          <w:lang w:val="pt-BR"/>
        </w:rPr>
        <w:t xml:space="preserve"> </w:t>
      </w:r>
      <w:r w:rsidR="00E10571">
        <w:rPr>
          <w:rFonts w:ascii="Times New Roman" w:hAnsi="Times New Roman"/>
          <w:b w:val="0"/>
          <w:sz w:val="20"/>
          <w:lang w:val="pt-BR"/>
        </w:rPr>
        <w:t>Esta contribuição reporta a hidrogenação em fase aquosa do ácido β-</w:t>
      </w:r>
      <w:proofErr w:type="spellStart"/>
      <w:r w:rsidR="00E10571">
        <w:rPr>
          <w:rFonts w:ascii="Times New Roman" w:hAnsi="Times New Roman"/>
          <w:b w:val="0"/>
          <w:sz w:val="20"/>
          <w:lang w:val="pt-BR"/>
        </w:rPr>
        <w:t>hidróxibutírico</w:t>
      </w:r>
      <w:proofErr w:type="spellEnd"/>
      <w:r w:rsidR="00E10571">
        <w:rPr>
          <w:rFonts w:ascii="Times New Roman" w:hAnsi="Times New Roman"/>
          <w:b w:val="0"/>
          <w:sz w:val="20"/>
          <w:lang w:val="pt-BR"/>
        </w:rPr>
        <w:t xml:space="preserve"> (HBA) para 1,3-Butanodiol (1,3-BDO) sobre catalisadores de Ru. A reação foi estudada com catalisadores 5,0%Ru/C comercial e </w:t>
      </w:r>
      <w:r w:rsidR="00E10571" w:rsidRPr="00E10571">
        <w:rPr>
          <w:rFonts w:ascii="Times New Roman" w:hAnsi="Times New Roman"/>
          <w:b w:val="0"/>
          <w:sz w:val="20"/>
          <w:lang w:val="pt-BR"/>
        </w:rPr>
        <w:t>0</w:t>
      </w:r>
      <w:r w:rsidR="00E10571">
        <w:rPr>
          <w:rFonts w:ascii="Times New Roman" w:hAnsi="Times New Roman"/>
          <w:b w:val="0"/>
          <w:sz w:val="20"/>
          <w:lang w:val="pt-BR"/>
        </w:rPr>
        <w:t>,</w:t>
      </w:r>
      <w:r w:rsidR="00E10571" w:rsidRPr="00E10571">
        <w:rPr>
          <w:rFonts w:ascii="Times New Roman" w:hAnsi="Times New Roman"/>
          <w:b w:val="0"/>
          <w:sz w:val="20"/>
          <w:lang w:val="pt-BR"/>
        </w:rPr>
        <w:t>3%Ru/TiO</w:t>
      </w:r>
      <w:r w:rsidR="00E10571" w:rsidRPr="00E10571">
        <w:rPr>
          <w:rFonts w:ascii="Times New Roman" w:hAnsi="Times New Roman"/>
          <w:b w:val="0"/>
          <w:sz w:val="20"/>
          <w:vertAlign w:val="subscript"/>
          <w:lang w:val="pt-BR"/>
        </w:rPr>
        <w:t>2</w:t>
      </w:r>
      <w:r w:rsidR="00E10571" w:rsidRPr="00E10571">
        <w:rPr>
          <w:rFonts w:ascii="Times New Roman" w:hAnsi="Times New Roman"/>
          <w:b w:val="0"/>
          <w:sz w:val="20"/>
          <w:lang w:val="pt-BR"/>
        </w:rPr>
        <w:t>, 1</w:t>
      </w:r>
      <w:r w:rsidR="00E10571">
        <w:rPr>
          <w:rFonts w:ascii="Times New Roman" w:hAnsi="Times New Roman"/>
          <w:b w:val="0"/>
          <w:sz w:val="20"/>
          <w:lang w:val="pt-BR"/>
        </w:rPr>
        <w:t>,</w:t>
      </w:r>
      <w:r w:rsidR="00E10571" w:rsidRPr="00E10571">
        <w:rPr>
          <w:rFonts w:ascii="Times New Roman" w:hAnsi="Times New Roman"/>
          <w:b w:val="0"/>
          <w:sz w:val="20"/>
          <w:lang w:val="pt-BR"/>
        </w:rPr>
        <w:t>7%Ru/TiO</w:t>
      </w:r>
      <w:r w:rsidR="00E10571" w:rsidRPr="00E10571">
        <w:rPr>
          <w:rFonts w:ascii="Times New Roman" w:hAnsi="Times New Roman"/>
          <w:b w:val="0"/>
          <w:sz w:val="20"/>
          <w:vertAlign w:val="subscript"/>
          <w:lang w:val="pt-BR"/>
        </w:rPr>
        <w:t>2</w:t>
      </w:r>
      <w:r w:rsidR="00E10571" w:rsidRPr="00E10571">
        <w:rPr>
          <w:rFonts w:ascii="Times New Roman" w:hAnsi="Times New Roman"/>
          <w:b w:val="0"/>
          <w:sz w:val="20"/>
          <w:lang w:val="pt-BR"/>
        </w:rPr>
        <w:t xml:space="preserve"> </w:t>
      </w:r>
      <w:r w:rsidR="00E10571">
        <w:rPr>
          <w:rFonts w:ascii="Times New Roman" w:hAnsi="Times New Roman"/>
          <w:b w:val="0"/>
          <w:sz w:val="20"/>
          <w:lang w:val="pt-BR"/>
        </w:rPr>
        <w:t>e</w:t>
      </w:r>
      <w:r w:rsidR="00E10571" w:rsidRPr="00E10571">
        <w:rPr>
          <w:rFonts w:ascii="Times New Roman" w:hAnsi="Times New Roman"/>
          <w:b w:val="0"/>
          <w:sz w:val="20"/>
          <w:lang w:val="pt-BR"/>
        </w:rPr>
        <w:t xml:space="preserve"> 0</w:t>
      </w:r>
      <w:r w:rsidR="00E10571">
        <w:rPr>
          <w:rFonts w:ascii="Times New Roman" w:hAnsi="Times New Roman"/>
          <w:b w:val="0"/>
          <w:sz w:val="20"/>
          <w:lang w:val="pt-BR"/>
        </w:rPr>
        <w:t>,</w:t>
      </w:r>
      <w:r w:rsidR="00E10571" w:rsidRPr="00E10571">
        <w:rPr>
          <w:rFonts w:ascii="Times New Roman" w:hAnsi="Times New Roman"/>
          <w:b w:val="0"/>
          <w:sz w:val="20"/>
          <w:lang w:val="pt-BR"/>
        </w:rPr>
        <w:t>2%Ru/SiO</w:t>
      </w:r>
      <w:r w:rsidR="00E10571" w:rsidRPr="00E10571">
        <w:rPr>
          <w:rFonts w:ascii="Times New Roman" w:hAnsi="Times New Roman"/>
          <w:b w:val="0"/>
          <w:sz w:val="20"/>
          <w:vertAlign w:val="subscript"/>
          <w:lang w:val="pt-BR"/>
        </w:rPr>
        <w:t>2</w:t>
      </w:r>
      <w:r w:rsidR="00E10571">
        <w:rPr>
          <w:rFonts w:ascii="Times New Roman" w:hAnsi="Times New Roman"/>
          <w:b w:val="0"/>
          <w:sz w:val="20"/>
          <w:lang w:val="pt-BR"/>
        </w:rPr>
        <w:t xml:space="preserve"> sintetizados. Difração de Raios</w:t>
      </w:r>
      <w:r w:rsidR="00AB2CAD">
        <w:rPr>
          <w:rFonts w:ascii="Times New Roman" w:hAnsi="Times New Roman"/>
          <w:b w:val="0"/>
          <w:sz w:val="20"/>
          <w:lang w:val="pt-BR"/>
        </w:rPr>
        <w:t xml:space="preserve"> </w:t>
      </w:r>
      <w:r w:rsidR="00E10571">
        <w:rPr>
          <w:rFonts w:ascii="Times New Roman" w:hAnsi="Times New Roman"/>
          <w:b w:val="0"/>
          <w:sz w:val="20"/>
          <w:lang w:val="pt-BR"/>
        </w:rPr>
        <w:t>X sugere maior tamanho de partículas de Ru suportadas em SiO</w:t>
      </w:r>
      <w:r w:rsidR="00E10571">
        <w:rPr>
          <w:rFonts w:ascii="Times New Roman" w:hAnsi="Times New Roman"/>
          <w:b w:val="0"/>
          <w:sz w:val="20"/>
          <w:vertAlign w:val="subscript"/>
          <w:lang w:val="pt-BR"/>
        </w:rPr>
        <w:t>2</w:t>
      </w:r>
      <w:r w:rsidR="00E10571">
        <w:rPr>
          <w:rFonts w:ascii="Times New Roman" w:hAnsi="Times New Roman"/>
          <w:b w:val="0"/>
          <w:sz w:val="20"/>
          <w:lang w:val="pt-BR"/>
        </w:rPr>
        <w:t xml:space="preserve"> do que em TiO</w:t>
      </w:r>
      <w:r w:rsidR="00E10571">
        <w:rPr>
          <w:rFonts w:ascii="Times New Roman" w:hAnsi="Times New Roman"/>
          <w:b w:val="0"/>
          <w:sz w:val="20"/>
          <w:vertAlign w:val="subscript"/>
          <w:lang w:val="pt-BR"/>
        </w:rPr>
        <w:t>2</w:t>
      </w:r>
      <w:r w:rsidR="00E10571">
        <w:rPr>
          <w:rFonts w:ascii="Times New Roman" w:hAnsi="Times New Roman"/>
          <w:b w:val="0"/>
          <w:sz w:val="20"/>
          <w:lang w:val="pt-BR"/>
        </w:rPr>
        <w:t xml:space="preserve">. Sobre o Ru/C, a conversão de HBA e seletividade a 1,3-BDO aumentou e diminuiu drasticamente, respectivamente, </w:t>
      </w:r>
      <w:r w:rsidR="009E3A66">
        <w:rPr>
          <w:rFonts w:ascii="Times New Roman" w:hAnsi="Times New Roman"/>
          <w:b w:val="0"/>
          <w:sz w:val="20"/>
          <w:lang w:val="pt-BR"/>
        </w:rPr>
        <w:t>aumentando a</w:t>
      </w:r>
      <w:r w:rsidR="00E10571">
        <w:rPr>
          <w:rFonts w:ascii="Times New Roman" w:hAnsi="Times New Roman"/>
          <w:b w:val="0"/>
          <w:sz w:val="20"/>
          <w:lang w:val="pt-BR"/>
        </w:rPr>
        <w:t xml:space="preserve"> temperatura de 130 para 170 ºC. Os catalisadores sintetizados apresentaram melhor seletividade do que o comercial, atingindo 73</w:t>
      </w:r>
      <w:r w:rsidR="00AB2CAD">
        <w:rPr>
          <w:rFonts w:ascii="Times New Roman" w:hAnsi="Times New Roman"/>
          <w:b w:val="0"/>
          <w:sz w:val="20"/>
          <w:lang w:val="pt-BR"/>
        </w:rPr>
        <w:t>,</w:t>
      </w:r>
      <w:r w:rsidR="00E10571">
        <w:rPr>
          <w:rFonts w:ascii="Times New Roman" w:hAnsi="Times New Roman"/>
          <w:b w:val="0"/>
          <w:sz w:val="20"/>
          <w:lang w:val="pt-BR"/>
        </w:rPr>
        <w:t>8% sobre o 1</w:t>
      </w:r>
      <w:r w:rsidR="00AB2CAD">
        <w:rPr>
          <w:rFonts w:ascii="Times New Roman" w:hAnsi="Times New Roman"/>
          <w:b w:val="0"/>
          <w:sz w:val="20"/>
          <w:lang w:val="pt-BR"/>
        </w:rPr>
        <w:t>,</w:t>
      </w:r>
      <w:r w:rsidR="00E10571">
        <w:rPr>
          <w:rFonts w:ascii="Times New Roman" w:hAnsi="Times New Roman"/>
          <w:b w:val="0"/>
          <w:sz w:val="20"/>
          <w:lang w:val="pt-BR"/>
        </w:rPr>
        <w:t>7%Ru/TiO</w:t>
      </w:r>
      <w:r w:rsidR="00E10571">
        <w:rPr>
          <w:rFonts w:ascii="Times New Roman" w:hAnsi="Times New Roman"/>
          <w:b w:val="0"/>
          <w:sz w:val="20"/>
          <w:vertAlign w:val="subscript"/>
          <w:lang w:val="pt-BR"/>
        </w:rPr>
        <w:t>2</w:t>
      </w:r>
      <w:r w:rsidR="00E10571">
        <w:rPr>
          <w:rFonts w:ascii="Times New Roman" w:hAnsi="Times New Roman"/>
          <w:b w:val="0"/>
          <w:sz w:val="20"/>
          <w:lang w:val="pt-BR"/>
        </w:rPr>
        <w:t xml:space="preserve">. </w:t>
      </w:r>
      <w:r w:rsidR="00C72A5B">
        <w:rPr>
          <w:rFonts w:ascii="Times New Roman" w:hAnsi="Times New Roman"/>
          <w:b w:val="0"/>
          <w:sz w:val="20"/>
          <w:lang w:val="pt-BR"/>
        </w:rPr>
        <w:t>O</w:t>
      </w:r>
      <w:r w:rsidR="00E10571">
        <w:rPr>
          <w:rFonts w:ascii="Times New Roman" w:hAnsi="Times New Roman"/>
          <w:b w:val="0"/>
          <w:sz w:val="20"/>
          <w:lang w:val="pt-BR"/>
        </w:rPr>
        <w:t xml:space="preserve"> catalisador 0</w:t>
      </w:r>
      <w:r w:rsidR="00AB2CAD">
        <w:rPr>
          <w:rFonts w:ascii="Times New Roman" w:hAnsi="Times New Roman"/>
          <w:b w:val="0"/>
          <w:sz w:val="20"/>
          <w:lang w:val="pt-BR"/>
        </w:rPr>
        <w:t>,</w:t>
      </w:r>
      <w:r w:rsidR="00E10571">
        <w:rPr>
          <w:rFonts w:ascii="Times New Roman" w:hAnsi="Times New Roman"/>
          <w:b w:val="0"/>
          <w:sz w:val="20"/>
          <w:lang w:val="pt-BR"/>
        </w:rPr>
        <w:t>2%Ru/SiO</w:t>
      </w:r>
      <w:r w:rsidR="00E10571">
        <w:rPr>
          <w:rFonts w:ascii="Times New Roman" w:hAnsi="Times New Roman"/>
          <w:b w:val="0"/>
          <w:sz w:val="20"/>
          <w:vertAlign w:val="subscript"/>
          <w:lang w:val="pt-BR"/>
        </w:rPr>
        <w:t>2</w:t>
      </w:r>
      <w:r w:rsidR="00E10571">
        <w:rPr>
          <w:rFonts w:ascii="Times New Roman" w:hAnsi="Times New Roman"/>
          <w:b w:val="0"/>
          <w:sz w:val="20"/>
          <w:lang w:val="pt-BR"/>
        </w:rPr>
        <w:t xml:space="preserve"> </w:t>
      </w:r>
      <w:r w:rsidR="00C72A5B">
        <w:rPr>
          <w:rFonts w:ascii="Times New Roman" w:hAnsi="Times New Roman"/>
          <w:b w:val="0"/>
          <w:sz w:val="20"/>
          <w:lang w:val="pt-BR"/>
        </w:rPr>
        <w:t>mostrou</w:t>
      </w:r>
      <w:r w:rsidR="00E10571">
        <w:rPr>
          <w:rFonts w:ascii="Times New Roman" w:hAnsi="Times New Roman"/>
          <w:b w:val="0"/>
          <w:sz w:val="20"/>
          <w:lang w:val="pt-BR"/>
        </w:rPr>
        <w:t xml:space="preserve"> número de </w:t>
      </w:r>
      <w:r w:rsidR="00E10571">
        <w:rPr>
          <w:rFonts w:ascii="Times New Roman" w:hAnsi="Times New Roman"/>
          <w:b w:val="0"/>
          <w:i/>
          <w:iCs/>
          <w:sz w:val="20"/>
          <w:lang w:val="pt-BR"/>
        </w:rPr>
        <w:t>turnover</w:t>
      </w:r>
      <w:r w:rsidR="00E10571">
        <w:rPr>
          <w:rFonts w:ascii="Times New Roman" w:hAnsi="Times New Roman"/>
          <w:b w:val="0"/>
          <w:sz w:val="20"/>
          <w:lang w:val="pt-BR"/>
        </w:rPr>
        <w:t xml:space="preserve"> de conversão aproximadamente seis vezes maior do que as demais amostras, </w:t>
      </w:r>
      <w:r w:rsidR="00C72A5B">
        <w:rPr>
          <w:rFonts w:ascii="Times New Roman" w:hAnsi="Times New Roman"/>
          <w:b w:val="0"/>
          <w:sz w:val="20"/>
          <w:lang w:val="pt-BR"/>
        </w:rPr>
        <w:t xml:space="preserve">porém </w:t>
      </w:r>
      <w:r w:rsidR="00E10571">
        <w:rPr>
          <w:rFonts w:ascii="Times New Roman" w:hAnsi="Times New Roman"/>
          <w:b w:val="0"/>
          <w:sz w:val="20"/>
          <w:lang w:val="pt-BR"/>
        </w:rPr>
        <w:t>reações laterais produzindo 2-Propanol e 2-Butanol em quantidades significativas</w:t>
      </w:r>
      <w:r w:rsidR="00CD1E8D">
        <w:rPr>
          <w:rFonts w:ascii="Times New Roman" w:hAnsi="Times New Roman"/>
          <w:b w:val="0"/>
          <w:sz w:val="20"/>
          <w:lang w:val="pt-BR"/>
        </w:rPr>
        <w:t xml:space="preserve"> foram mais pronunciadas no material suportado em SiO</w:t>
      </w:r>
      <w:r w:rsidR="00CD1E8D">
        <w:rPr>
          <w:rFonts w:ascii="Times New Roman" w:hAnsi="Times New Roman"/>
          <w:b w:val="0"/>
          <w:sz w:val="20"/>
          <w:vertAlign w:val="subscript"/>
          <w:lang w:val="pt-BR"/>
        </w:rPr>
        <w:t>2</w:t>
      </w:r>
      <w:r w:rsidR="00CD1E8D">
        <w:rPr>
          <w:rFonts w:ascii="Times New Roman" w:hAnsi="Times New Roman"/>
          <w:b w:val="0"/>
          <w:sz w:val="20"/>
          <w:lang w:val="pt-BR"/>
        </w:rPr>
        <w:t xml:space="preserve">, sugerindo efeito da interação metal-óxido. Um estudo </w:t>
      </w:r>
      <w:proofErr w:type="spellStart"/>
      <w:r w:rsidR="00CD1E8D">
        <w:rPr>
          <w:rFonts w:ascii="Times New Roman" w:hAnsi="Times New Roman"/>
          <w:b w:val="0"/>
          <w:sz w:val="20"/>
          <w:lang w:val="pt-BR"/>
        </w:rPr>
        <w:t>mecanístico</w:t>
      </w:r>
      <w:proofErr w:type="spellEnd"/>
      <w:r w:rsidR="00CD1E8D">
        <w:rPr>
          <w:rFonts w:ascii="Times New Roman" w:hAnsi="Times New Roman"/>
          <w:b w:val="0"/>
          <w:sz w:val="20"/>
          <w:lang w:val="pt-BR"/>
        </w:rPr>
        <w:t xml:space="preserve"> foi realizado modificando condições reacionais. Os resultados indicam que o 1,3-BDO sofre desidratação a 2-Butanol e desidrogenação a 4-Hidróxi-2-Butanona, possivelmente intermediário na produção de 2-Propanol a partir da quebra C-C.</w:t>
      </w:r>
    </w:p>
    <w:p w14:paraId="589B24D0" w14:textId="63639F19" w:rsidR="00CB4DD5" w:rsidRPr="00CB4DD5" w:rsidRDefault="00CB4DD5" w:rsidP="00E10571">
      <w:pPr>
        <w:pStyle w:val="BDAbstract"/>
        <w:spacing w:before="0" w:after="0" w:line="240" w:lineRule="auto"/>
        <w:rPr>
          <w:rFonts w:ascii="Times New Roman" w:hAnsi="Times New Roman"/>
          <w:b w:val="0"/>
          <w:i/>
          <w:iCs/>
          <w:sz w:val="20"/>
          <w:lang w:val="pt-BR"/>
        </w:rPr>
      </w:pPr>
      <w:r w:rsidRPr="00CB4DD5">
        <w:rPr>
          <w:rFonts w:ascii="Times New Roman" w:hAnsi="Times New Roman"/>
          <w:b w:val="0"/>
          <w:i/>
          <w:iCs/>
          <w:sz w:val="20"/>
          <w:lang w:val="pt-BR"/>
        </w:rPr>
        <w:t xml:space="preserve">Palavras-chave: PHB, ácido 3-hidróxibutírico, </w:t>
      </w:r>
      <w:proofErr w:type="spellStart"/>
      <w:r w:rsidR="003B07F5">
        <w:rPr>
          <w:rFonts w:ascii="Times New Roman" w:hAnsi="Times New Roman"/>
          <w:b w:val="0"/>
          <w:i/>
          <w:iCs/>
          <w:sz w:val="20"/>
          <w:lang w:val="pt-BR"/>
        </w:rPr>
        <w:t>Butanodiol</w:t>
      </w:r>
      <w:proofErr w:type="spellEnd"/>
      <w:r w:rsidRPr="00CB4DD5">
        <w:rPr>
          <w:rFonts w:ascii="Times New Roman" w:hAnsi="Times New Roman"/>
          <w:b w:val="0"/>
          <w:i/>
          <w:iCs/>
          <w:sz w:val="20"/>
          <w:lang w:val="pt-BR"/>
        </w:rPr>
        <w:t>, catalisadores de Ru</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34D0EC6C" w:rsidR="00EA4E1B" w:rsidRPr="00B11144" w:rsidRDefault="00EA4E1B" w:rsidP="00EA4E1B">
      <w:pPr>
        <w:pStyle w:val="BDAbstract"/>
        <w:spacing w:before="0" w:after="0" w:line="240" w:lineRule="auto"/>
        <w:rPr>
          <w:rFonts w:ascii="Times New Roman" w:hAnsi="Times New Roman"/>
          <w:b w:val="0"/>
          <w:sz w:val="20"/>
        </w:rPr>
      </w:pPr>
      <w:r w:rsidRPr="00B708B1">
        <w:rPr>
          <w:rFonts w:ascii="Times New Roman" w:hAnsi="Times New Roman"/>
          <w:b w:val="0"/>
          <w:sz w:val="20"/>
        </w:rPr>
        <w:t xml:space="preserve">ABSTRACT </w:t>
      </w:r>
      <w:r w:rsidR="00B708B1" w:rsidRPr="00B708B1">
        <w:rPr>
          <w:rFonts w:ascii="Times New Roman" w:hAnsi="Times New Roman"/>
          <w:b w:val="0"/>
          <w:sz w:val="20"/>
        </w:rPr>
        <w:t>–</w:t>
      </w:r>
      <w:r w:rsidR="00135405">
        <w:rPr>
          <w:rFonts w:ascii="Times New Roman" w:hAnsi="Times New Roman"/>
          <w:b w:val="0"/>
          <w:sz w:val="20"/>
        </w:rPr>
        <w:t xml:space="preserve"> This contribution reports the aqueous-phase hydrogenation of the PHB monomer </w:t>
      </w:r>
      <w:r w:rsidR="00135405" w:rsidRPr="00135405">
        <w:rPr>
          <w:rFonts w:ascii="Times New Roman" w:hAnsi="Times New Roman"/>
          <w:b w:val="0"/>
          <w:sz w:val="20"/>
        </w:rPr>
        <w:t>β-hydroxybutyric acid (HBA)</w:t>
      </w:r>
      <w:r w:rsidR="0015529C">
        <w:rPr>
          <w:rFonts w:ascii="Times New Roman" w:hAnsi="Times New Roman"/>
          <w:b w:val="0"/>
          <w:sz w:val="20"/>
        </w:rPr>
        <w:t xml:space="preserve"> to 1,3-Butanediol (1,3-BDO</w:t>
      </w:r>
      <w:r w:rsidR="002B5024">
        <w:rPr>
          <w:rFonts w:ascii="Times New Roman" w:hAnsi="Times New Roman"/>
          <w:b w:val="0"/>
          <w:sz w:val="20"/>
        </w:rPr>
        <w:t>), a</w:t>
      </w:r>
      <w:r w:rsidR="000B2CFF">
        <w:rPr>
          <w:rFonts w:ascii="Times New Roman" w:hAnsi="Times New Roman"/>
          <w:b w:val="0"/>
          <w:sz w:val="20"/>
        </w:rPr>
        <w:t xml:space="preserve"> high value-added product</w:t>
      </w:r>
      <w:r w:rsidR="002B5024">
        <w:rPr>
          <w:rFonts w:ascii="Times New Roman" w:hAnsi="Times New Roman"/>
          <w:b w:val="0"/>
          <w:sz w:val="20"/>
        </w:rPr>
        <w:t>, over Ru catalysts</w:t>
      </w:r>
      <w:r w:rsidR="000B2CFF">
        <w:rPr>
          <w:rFonts w:ascii="Times New Roman" w:hAnsi="Times New Roman"/>
          <w:b w:val="0"/>
          <w:sz w:val="20"/>
        </w:rPr>
        <w:t xml:space="preserve">. </w:t>
      </w:r>
      <w:r w:rsidR="000B2CFF" w:rsidRPr="002B5024">
        <w:rPr>
          <w:rFonts w:ascii="Times New Roman" w:hAnsi="Times New Roman"/>
          <w:b w:val="0"/>
          <w:sz w:val="20"/>
        </w:rPr>
        <w:t xml:space="preserve">The </w:t>
      </w:r>
      <w:r w:rsidR="007551CE">
        <w:rPr>
          <w:rFonts w:ascii="Times New Roman" w:hAnsi="Times New Roman"/>
          <w:b w:val="0"/>
          <w:sz w:val="20"/>
        </w:rPr>
        <w:t>reaction was studied</w:t>
      </w:r>
      <w:r w:rsidR="002B5024">
        <w:rPr>
          <w:rFonts w:ascii="Times New Roman" w:hAnsi="Times New Roman"/>
          <w:b w:val="0"/>
          <w:sz w:val="20"/>
        </w:rPr>
        <w:t xml:space="preserve"> </w:t>
      </w:r>
      <w:r w:rsidR="007551CE">
        <w:rPr>
          <w:rFonts w:ascii="Times New Roman" w:hAnsi="Times New Roman"/>
          <w:b w:val="0"/>
          <w:sz w:val="20"/>
        </w:rPr>
        <w:t>with</w:t>
      </w:r>
      <w:r w:rsidR="002B5024">
        <w:rPr>
          <w:rFonts w:ascii="Times New Roman" w:hAnsi="Times New Roman"/>
          <w:b w:val="0"/>
          <w:sz w:val="20"/>
        </w:rPr>
        <w:t xml:space="preserve"> a </w:t>
      </w:r>
      <w:r w:rsidR="007A692D">
        <w:rPr>
          <w:rFonts w:ascii="Times New Roman" w:hAnsi="Times New Roman"/>
          <w:b w:val="0"/>
          <w:sz w:val="20"/>
        </w:rPr>
        <w:t xml:space="preserve">commercial </w:t>
      </w:r>
      <w:r w:rsidR="002B5024">
        <w:rPr>
          <w:rFonts w:ascii="Times New Roman" w:hAnsi="Times New Roman"/>
          <w:b w:val="0"/>
          <w:sz w:val="20"/>
        </w:rPr>
        <w:t>5.0%Ru/C</w:t>
      </w:r>
      <w:r w:rsidR="00FE3D51">
        <w:rPr>
          <w:rFonts w:ascii="Times New Roman" w:hAnsi="Times New Roman"/>
          <w:b w:val="0"/>
          <w:sz w:val="20"/>
        </w:rPr>
        <w:t xml:space="preserve"> </w:t>
      </w:r>
      <w:r w:rsidR="007A692D">
        <w:rPr>
          <w:rFonts w:ascii="Times New Roman" w:hAnsi="Times New Roman"/>
          <w:b w:val="0"/>
          <w:sz w:val="20"/>
        </w:rPr>
        <w:t xml:space="preserve">catalyst </w:t>
      </w:r>
      <w:r w:rsidR="00FE3D51">
        <w:rPr>
          <w:rFonts w:ascii="Times New Roman" w:hAnsi="Times New Roman"/>
          <w:b w:val="0"/>
          <w:sz w:val="20"/>
        </w:rPr>
        <w:t>and 0.3%Ru/TiO</w:t>
      </w:r>
      <w:r w:rsidR="00FE3D51">
        <w:rPr>
          <w:rFonts w:ascii="Times New Roman" w:hAnsi="Times New Roman"/>
          <w:b w:val="0"/>
          <w:sz w:val="20"/>
          <w:vertAlign w:val="subscript"/>
        </w:rPr>
        <w:t>2</w:t>
      </w:r>
      <w:r w:rsidR="00FE3D51">
        <w:rPr>
          <w:rFonts w:ascii="Times New Roman" w:hAnsi="Times New Roman"/>
          <w:b w:val="0"/>
          <w:sz w:val="20"/>
        </w:rPr>
        <w:t>, 1.7%Ru/TiO</w:t>
      </w:r>
      <w:r w:rsidR="00FE3D51">
        <w:rPr>
          <w:rFonts w:ascii="Times New Roman" w:hAnsi="Times New Roman"/>
          <w:b w:val="0"/>
          <w:sz w:val="20"/>
          <w:vertAlign w:val="subscript"/>
        </w:rPr>
        <w:t>2</w:t>
      </w:r>
      <w:r w:rsidR="00FE3D51">
        <w:rPr>
          <w:rFonts w:ascii="Times New Roman" w:hAnsi="Times New Roman"/>
          <w:b w:val="0"/>
          <w:sz w:val="20"/>
        </w:rPr>
        <w:t xml:space="preserve"> and 0.2%Ru/SiO</w:t>
      </w:r>
      <w:r w:rsidR="00FE3D51">
        <w:rPr>
          <w:rFonts w:ascii="Times New Roman" w:hAnsi="Times New Roman"/>
          <w:b w:val="0"/>
          <w:sz w:val="20"/>
          <w:vertAlign w:val="subscript"/>
        </w:rPr>
        <w:t>2</w:t>
      </w:r>
      <w:r w:rsidR="00FE3D51">
        <w:rPr>
          <w:rFonts w:ascii="Times New Roman" w:hAnsi="Times New Roman"/>
          <w:b w:val="0"/>
          <w:sz w:val="20"/>
        </w:rPr>
        <w:t xml:space="preserve"> </w:t>
      </w:r>
      <w:r w:rsidR="00E10571">
        <w:rPr>
          <w:rFonts w:ascii="Times New Roman" w:hAnsi="Times New Roman"/>
          <w:b w:val="0"/>
          <w:sz w:val="20"/>
        </w:rPr>
        <w:t xml:space="preserve">synthesized </w:t>
      </w:r>
      <w:r w:rsidR="00FE3D51">
        <w:rPr>
          <w:rFonts w:ascii="Times New Roman" w:hAnsi="Times New Roman"/>
          <w:b w:val="0"/>
          <w:sz w:val="20"/>
        </w:rPr>
        <w:t xml:space="preserve">catalysts. </w:t>
      </w:r>
      <w:r w:rsidR="00170CDB">
        <w:rPr>
          <w:rFonts w:ascii="Times New Roman" w:hAnsi="Times New Roman"/>
          <w:b w:val="0"/>
          <w:sz w:val="20"/>
        </w:rPr>
        <w:t>X-Ray Diffraction analyses suggest larger Ru particles on SiO</w:t>
      </w:r>
      <w:r w:rsidR="00170CDB">
        <w:rPr>
          <w:rFonts w:ascii="Times New Roman" w:hAnsi="Times New Roman"/>
          <w:b w:val="0"/>
          <w:sz w:val="20"/>
          <w:vertAlign w:val="subscript"/>
        </w:rPr>
        <w:t>2</w:t>
      </w:r>
      <w:r w:rsidR="00170CDB">
        <w:rPr>
          <w:rFonts w:ascii="Times New Roman" w:hAnsi="Times New Roman"/>
          <w:b w:val="0"/>
          <w:sz w:val="20"/>
        </w:rPr>
        <w:t xml:space="preserve"> than on TiO</w:t>
      </w:r>
      <w:r w:rsidR="00170CDB">
        <w:rPr>
          <w:rFonts w:ascii="Times New Roman" w:hAnsi="Times New Roman"/>
          <w:b w:val="0"/>
          <w:sz w:val="20"/>
          <w:vertAlign w:val="subscript"/>
        </w:rPr>
        <w:t>2</w:t>
      </w:r>
      <w:r w:rsidR="005118E1">
        <w:rPr>
          <w:rFonts w:ascii="Times New Roman" w:hAnsi="Times New Roman"/>
          <w:b w:val="0"/>
          <w:sz w:val="20"/>
        </w:rPr>
        <w:t xml:space="preserve">. </w:t>
      </w:r>
      <w:r w:rsidR="00C85F7B">
        <w:rPr>
          <w:rFonts w:ascii="Times New Roman" w:hAnsi="Times New Roman"/>
          <w:b w:val="0"/>
          <w:sz w:val="20"/>
        </w:rPr>
        <w:t>O</w:t>
      </w:r>
      <w:r w:rsidR="00074854">
        <w:rPr>
          <w:rFonts w:ascii="Times New Roman" w:hAnsi="Times New Roman"/>
          <w:b w:val="0"/>
          <w:sz w:val="20"/>
        </w:rPr>
        <w:t>ver Ru/C, HBA conversion and 1,3-BDO selectivity increased and decreased</w:t>
      </w:r>
      <w:r w:rsidR="002A569C">
        <w:rPr>
          <w:rFonts w:ascii="Times New Roman" w:hAnsi="Times New Roman"/>
          <w:b w:val="0"/>
          <w:sz w:val="20"/>
        </w:rPr>
        <w:t xml:space="preserve"> harshly</w:t>
      </w:r>
      <w:r w:rsidR="00074854">
        <w:rPr>
          <w:rFonts w:ascii="Times New Roman" w:hAnsi="Times New Roman"/>
          <w:b w:val="0"/>
          <w:sz w:val="20"/>
        </w:rPr>
        <w:t>, respectively, with temperature increase from 130 to 1</w:t>
      </w:r>
      <w:r w:rsidR="005727C7">
        <w:rPr>
          <w:rFonts w:ascii="Times New Roman" w:hAnsi="Times New Roman"/>
          <w:b w:val="0"/>
          <w:sz w:val="20"/>
        </w:rPr>
        <w:t>7</w:t>
      </w:r>
      <w:r w:rsidR="00074854">
        <w:rPr>
          <w:rFonts w:ascii="Times New Roman" w:hAnsi="Times New Roman"/>
          <w:b w:val="0"/>
          <w:sz w:val="20"/>
        </w:rPr>
        <w:t>0 ºC</w:t>
      </w:r>
      <w:r w:rsidR="002A569C">
        <w:rPr>
          <w:rFonts w:ascii="Times New Roman" w:hAnsi="Times New Roman"/>
          <w:b w:val="0"/>
          <w:sz w:val="20"/>
        </w:rPr>
        <w:t xml:space="preserve">. </w:t>
      </w:r>
      <w:r w:rsidR="00372237">
        <w:rPr>
          <w:rFonts w:ascii="Times New Roman" w:hAnsi="Times New Roman"/>
          <w:b w:val="0"/>
          <w:sz w:val="20"/>
        </w:rPr>
        <w:t>The synthesized catalysts presented improved selectivity in comparison to the commercial</w:t>
      </w:r>
      <w:r w:rsidR="007A692D">
        <w:rPr>
          <w:rFonts w:ascii="Times New Roman" w:hAnsi="Times New Roman"/>
          <w:b w:val="0"/>
          <w:sz w:val="20"/>
        </w:rPr>
        <w:t xml:space="preserve"> </w:t>
      </w:r>
      <w:r w:rsidR="00BD3F8C">
        <w:rPr>
          <w:rFonts w:ascii="Times New Roman" w:hAnsi="Times New Roman"/>
          <w:b w:val="0"/>
          <w:sz w:val="20"/>
        </w:rPr>
        <w:t>one</w:t>
      </w:r>
      <w:r w:rsidR="00372237">
        <w:rPr>
          <w:rFonts w:ascii="Times New Roman" w:hAnsi="Times New Roman"/>
          <w:b w:val="0"/>
          <w:sz w:val="20"/>
        </w:rPr>
        <w:t>, reaching 73.8% over 1.7%Ru/TiO</w:t>
      </w:r>
      <w:r w:rsidR="00372237">
        <w:rPr>
          <w:rFonts w:ascii="Times New Roman" w:hAnsi="Times New Roman"/>
          <w:b w:val="0"/>
          <w:sz w:val="20"/>
          <w:vertAlign w:val="subscript"/>
        </w:rPr>
        <w:t>2</w:t>
      </w:r>
      <w:r w:rsidR="00874383">
        <w:rPr>
          <w:rFonts w:ascii="Times New Roman" w:hAnsi="Times New Roman"/>
          <w:b w:val="0"/>
          <w:sz w:val="20"/>
        </w:rPr>
        <w:t xml:space="preserve">. </w:t>
      </w:r>
      <w:r w:rsidR="00907AAD">
        <w:rPr>
          <w:rFonts w:ascii="Times New Roman" w:hAnsi="Times New Roman"/>
          <w:b w:val="0"/>
          <w:sz w:val="20"/>
        </w:rPr>
        <w:t>Even though</w:t>
      </w:r>
      <w:r w:rsidR="00874726">
        <w:rPr>
          <w:rFonts w:ascii="Times New Roman" w:hAnsi="Times New Roman"/>
          <w:b w:val="0"/>
          <w:sz w:val="20"/>
        </w:rPr>
        <w:t xml:space="preserve"> the 0.2Ru%/SiO</w:t>
      </w:r>
      <w:r w:rsidR="00874726">
        <w:rPr>
          <w:rFonts w:ascii="Times New Roman" w:hAnsi="Times New Roman"/>
          <w:b w:val="0"/>
          <w:sz w:val="20"/>
          <w:vertAlign w:val="subscript"/>
        </w:rPr>
        <w:t>2</w:t>
      </w:r>
      <w:r w:rsidR="00874726">
        <w:rPr>
          <w:rFonts w:ascii="Times New Roman" w:hAnsi="Times New Roman"/>
          <w:b w:val="0"/>
          <w:sz w:val="20"/>
        </w:rPr>
        <w:t xml:space="preserve"> catalyst showed conversion turnover number about six times higher than the other samples, s</w:t>
      </w:r>
      <w:r w:rsidR="00D023CC">
        <w:rPr>
          <w:rFonts w:ascii="Times New Roman" w:hAnsi="Times New Roman"/>
          <w:b w:val="0"/>
          <w:sz w:val="20"/>
        </w:rPr>
        <w:t xml:space="preserve">ide reactions producing 2-Propanol and 2-Butanol in significant amounts, </w:t>
      </w:r>
      <w:r w:rsidR="00874726">
        <w:rPr>
          <w:rFonts w:ascii="Times New Roman" w:hAnsi="Times New Roman"/>
          <w:b w:val="0"/>
          <w:sz w:val="20"/>
        </w:rPr>
        <w:t>were</w:t>
      </w:r>
      <w:r w:rsidR="00D023CC">
        <w:rPr>
          <w:rFonts w:ascii="Times New Roman" w:hAnsi="Times New Roman"/>
          <w:b w:val="0"/>
          <w:sz w:val="20"/>
        </w:rPr>
        <w:t xml:space="preserve"> more pronounced on the SiO</w:t>
      </w:r>
      <w:r w:rsidR="00D023CC">
        <w:rPr>
          <w:rFonts w:ascii="Times New Roman" w:hAnsi="Times New Roman"/>
          <w:b w:val="0"/>
          <w:sz w:val="20"/>
          <w:vertAlign w:val="subscript"/>
        </w:rPr>
        <w:t>2</w:t>
      </w:r>
      <w:r w:rsidR="00D023CC">
        <w:rPr>
          <w:rFonts w:ascii="Times New Roman" w:hAnsi="Times New Roman"/>
          <w:b w:val="0"/>
          <w:sz w:val="20"/>
        </w:rPr>
        <w:t xml:space="preserve"> supported material, suggesting an effect of interaction metal-oxide. </w:t>
      </w:r>
      <w:r w:rsidR="009F151E">
        <w:rPr>
          <w:rFonts w:ascii="Times New Roman" w:hAnsi="Times New Roman"/>
          <w:b w:val="0"/>
          <w:sz w:val="20"/>
        </w:rPr>
        <w:t xml:space="preserve">A mechanistic study was conducted by modifying reaction conditions. </w:t>
      </w:r>
      <w:r w:rsidR="00B11144" w:rsidRPr="00B11144">
        <w:rPr>
          <w:rFonts w:ascii="Times New Roman" w:hAnsi="Times New Roman"/>
          <w:b w:val="0"/>
          <w:sz w:val="20"/>
        </w:rPr>
        <w:t>Results indicate that 1,3-BDO undergoes</w:t>
      </w:r>
      <w:r w:rsidR="00BB1EB3">
        <w:rPr>
          <w:rFonts w:ascii="Times New Roman" w:hAnsi="Times New Roman"/>
          <w:b w:val="0"/>
          <w:sz w:val="20"/>
        </w:rPr>
        <w:t xml:space="preserve"> dehydration to 2-Butanol</w:t>
      </w:r>
      <w:r w:rsidR="00B11144" w:rsidRPr="00B11144">
        <w:rPr>
          <w:rFonts w:ascii="Times New Roman" w:hAnsi="Times New Roman"/>
          <w:b w:val="0"/>
          <w:sz w:val="20"/>
        </w:rPr>
        <w:t xml:space="preserve"> </w:t>
      </w:r>
      <w:r w:rsidR="00BB1EB3">
        <w:rPr>
          <w:rFonts w:ascii="Times New Roman" w:hAnsi="Times New Roman"/>
          <w:b w:val="0"/>
          <w:sz w:val="20"/>
        </w:rPr>
        <w:t xml:space="preserve">and </w:t>
      </w:r>
      <w:r w:rsidR="00B11144" w:rsidRPr="00B11144">
        <w:rPr>
          <w:rFonts w:ascii="Times New Roman" w:hAnsi="Times New Roman"/>
          <w:b w:val="0"/>
          <w:sz w:val="20"/>
        </w:rPr>
        <w:t>dehydrogenation to 4-Hydroxy-2-Butanone</w:t>
      </w:r>
      <w:r w:rsidR="00BB1EB3">
        <w:rPr>
          <w:rFonts w:ascii="Times New Roman" w:hAnsi="Times New Roman"/>
          <w:b w:val="0"/>
          <w:sz w:val="20"/>
        </w:rPr>
        <w:t>,</w:t>
      </w:r>
      <w:r w:rsidR="00B11144">
        <w:rPr>
          <w:rFonts w:ascii="Times New Roman" w:hAnsi="Times New Roman"/>
          <w:b w:val="0"/>
          <w:sz w:val="20"/>
        </w:rPr>
        <w:t xml:space="preserve"> </w:t>
      </w:r>
      <w:r w:rsidR="00BB1EB3">
        <w:rPr>
          <w:rFonts w:ascii="Times New Roman" w:hAnsi="Times New Roman"/>
          <w:b w:val="0"/>
          <w:sz w:val="20"/>
        </w:rPr>
        <w:t>possibly</w:t>
      </w:r>
      <w:r w:rsidR="00B11144">
        <w:rPr>
          <w:rFonts w:ascii="Times New Roman" w:hAnsi="Times New Roman"/>
          <w:b w:val="0"/>
          <w:sz w:val="20"/>
        </w:rPr>
        <w:t xml:space="preserve"> an intermediate in the production of 2-Propanol by a C-C cleavage pathway. </w:t>
      </w:r>
    </w:p>
    <w:p w14:paraId="48D9B0C4" w14:textId="247B86C6" w:rsidR="00EA4E1B" w:rsidRPr="003A2ED1" w:rsidRDefault="00EA4E1B" w:rsidP="00C10335">
      <w:pPr>
        <w:pStyle w:val="BDAbstract"/>
        <w:spacing w:before="0" w:after="120" w:line="240" w:lineRule="auto"/>
        <w:rPr>
          <w:rFonts w:ascii="Times New Roman" w:hAnsi="Times New Roman"/>
          <w:b w:val="0"/>
          <w:i/>
          <w:sz w:val="20"/>
        </w:rPr>
        <w:sectPr w:rsidR="00EA4E1B" w:rsidRPr="003A2ED1" w:rsidSect="00EA4E1B">
          <w:headerReference w:type="default" r:id="rId8"/>
          <w:endnotePr>
            <w:numFmt w:val="decimal"/>
          </w:endnotePr>
          <w:pgSz w:w="11906" w:h="16838"/>
          <w:pgMar w:top="1418" w:right="1094" w:bottom="1418" w:left="567" w:header="709" w:footer="709" w:gutter="0"/>
          <w:cols w:space="708"/>
          <w:docGrid w:linePitch="360"/>
        </w:sectPr>
      </w:pPr>
      <w:r w:rsidRPr="003A2ED1">
        <w:rPr>
          <w:rFonts w:ascii="Times New Roman" w:hAnsi="Times New Roman"/>
          <w:b w:val="0"/>
          <w:i/>
          <w:sz w:val="20"/>
        </w:rPr>
        <w:t xml:space="preserve">Keywords: </w:t>
      </w:r>
      <w:bookmarkEnd w:id="1"/>
      <w:r w:rsidR="003A2ED1" w:rsidRPr="003A2ED1">
        <w:rPr>
          <w:rFonts w:ascii="Times New Roman" w:hAnsi="Times New Roman"/>
          <w:b w:val="0"/>
          <w:i/>
          <w:sz w:val="20"/>
        </w:rPr>
        <w:t xml:space="preserve">PHB, </w:t>
      </w:r>
      <w:r w:rsidR="00007EA4">
        <w:rPr>
          <w:rFonts w:ascii="Times New Roman" w:hAnsi="Times New Roman"/>
          <w:b w:val="0"/>
          <w:i/>
          <w:sz w:val="20"/>
        </w:rPr>
        <w:t>3-</w:t>
      </w:r>
      <w:r w:rsidR="003A2ED1" w:rsidRPr="003A2ED1">
        <w:rPr>
          <w:rFonts w:ascii="Times New Roman" w:hAnsi="Times New Roman"/>
          <w:b w:val="0"/>
          <w:i/>
          <w:sz w:val="20"/>
        </w:rPr>
        <w:t xml:space="preserve">hydroxybutyric acid, </w:t>
      </w:r>
      <w:r w:rsidR="003B07F5">
        <w:rPr>
          <w:rFonts w:ascii="Times New Roman" w:hAnsi="Times New Roman"/>
          <w:b w:val="0"/>
          <w:i/>
          <w:sz w:val="20"/>
        </w:rPr>
        <w:t>Butanediol</w:t>
      </w:r>
      <w:r w:rsidR="003A2ED1">
        <w:rPr>
          <w:rFonts w:ascii="Times New Roman" w:hAnsi="Times New Roman"/>
          <w:b w:val="0"/>
          <w:i/>
          <w:sz w:val="20"/>
        </w:rPr>
        <w:t>, Ru</w:t>
      </w:r>
      <w:r w:rsidR="00E33258">
        <w:rPr>
          <w:rFonts w:ascii="Times New Roman" w:hAnsi="Times New Roman"/>
          <w:b w:val="0"/>
          <w:i/>
          <w:sz w:val="20"/>
        </w:rPr>
        <w:t xml:space="preserve"> catalyst</w:t>
      </w:r>
      <w:r w:rsidR="00D02BA2">
        <w:rPr>
          <w:rFonts w:ascii="Times New Roman" w:hAnsi="Times New Roman"/>
          <w:b w:val="0"/>
          <w:i/>
          <w:sz w:val="20"/>
        </w:rPr>
        <w:t>s</w:t>
      </w:r>
    </w:p>
    <w:p w14:paraId="1D1284F5" w14:textId="34D3C8D2" w:rsidR="00910391" w:rsidRPr="003A2ED1" w:rsidRDefault="00910391">
      <w:pPr>
        <w:rPr>
          <w:rFonts w:ascii="Helvetica" w:eastAsiaTheme="majorEastAsia" w:hAnsi="Helvetica" w:cs="Helvetica"/>
          <w:sz w:val="24"/>
          <w:szCs w:val="24"/>
          <w:lang w:val="en-US"/>
        </w:rPr>
      </w:pPr>
    </w:p>
    <w:p w14:paraId="625F2C0A" w14:textId="72114F0C" w:rsidR="00EA4E1B" w:rsidRPr="005103DE" w:rsidRDefault="00EA4E1B" w:rsidP="00EA4E1B">
      <w:pPr>
        <w:pStyle w:val="Ttulo2"/>
        <w:spacing w:before="0"/>
        <w:rPr>
          <w:rFonts w:ascii="Helvetica" w:hAnsi="Helvetica" w:cs="Helvetica"/>
          <w:sz w:val="24"/>
          <w:szCs w:val="24"/>
          <w:lang w:val="en-US"/>
        </w:rPr>
      </w:pPr>
      <w:r w:rsidRPr="005103DE">
        <w:rPr>
          <w:rFonts w:ascii="Helvetica" w:hAnsi="Helvetica" w:cs="Helvetica"/>
          <w:sz w:val="24"/>
          <w:szCs w:val="24"/>
          <w:lang w:val="en-US"/>
        </w:rPr>
        <w:t>Introdu</w:t>
      </w:r>
      <w:r w:rsidR="00E64A28" w:rsidRPr="005103DE">
        <w:rPr>
          <w:rFonts w:ascii="Helvetica" w:hAnsi="Helvetica" w:cs="Helvetica"/>
          <w:sz w:val="24"/>
          <w:szCs w:val="24"/>
          <w:lang w:val="en-US"/>
        </w:rPr>
        <w:t>ction</w:t>
      </w:r>
    </w:p>
    <w:p w14:paraId="73A14826" w14:textId="30626C09" w:rsidR="00C30BA1" w:rsidRDefault="00C30BA1" w:rsidP="00EA4E1B">
      <w:pPr>
        <w:pStyle w:val="TAMainText"/>
        <w:rPr>
          <w:rFonts w:ascii="Times New Roman" w:hAnsi="Times New Roman"/>
        </w:rPr>
      </w:pPr>
      <w:r>
        <w:rPr>
          <w:rFonts w:ascii="Times New Roman" w:hAnsi="Times New Roman"/>
        </w:rPr>
        <w:t>Among the biodegradable polymers currently being studied, the Poly</w:t>
      </w:r>
      <w:r w:rsidR="0012016C">
        <w:rPr>
          <w:rFonts w:ascii="Times New Roman" w:hAnsi="Times New Roman"/>
        </w:rPr>
        <w:t>(</w:t>
      </w:r>
      <w:r>
        <w:rPr>
          <w:rFonts w:ascii="Times New Roman" w:hAnsi="Times New Roman"/>
        </w:rPr>
        <w:t>β-</w:t>
      </w:r>
      <w:proofErr w:type="spellStart"/>
      <w:r>
        <w:rPr>
          <w:rFonts w:ascii="Times New Roman" w:hAnsi="Times New Roman"/>
        </w:rPr>
        <w:t>hydroxybutirate</w:t>
      </w:r>
      <w:proofErr w:type="spellEnd"/>
      <w:r w:rsidR="0012016C">
        <w:rPr>
          <w:rFonts w:ascii="Times New Roman" w:hAnsi="Times New Roman"/>
        </w:rPr>
        <w:t>)</w:t>
      </w:r>
      <w:r>
        <w:rPr>
          <w:rFonts w:ascii="Times New Roman" w:hAnsi="Times New Roman"/>
        </w:rPr>
        <w:t xml:space="preserve"> (PHB)</w:t>
      </w:r>
      <w:r w:rsidR="001A0457">
        <w:rPr>
          <w:rFonts w:ascii="Times New Roman" w:hAnsi="Times New Roman"/>
        </w:rPr>
        <w:t xml:space="preserve"> rises as promising bioplastic, due to its ease of production from renewable sources and fast degradation on several environmental conditions. </w:t>
      </w:r>
      <w:r w:rsidR="00422956">
        <w:rPr>
          <w:rFonts w:ascii="Times New Roman" w:hAnsi="Times New Roman"/>
        </w:rPr>
        <w:t>In this sense, t</w:t>
      </w:r>
      <w:r w:rsidR="0012016C">
        <w:rPr>
          <w:rFonts w:ascii="Times New Roman" w:hAnsi="Times New Roman"/>
        </w:rPr>
        <w:t xml:space="preserve">he PHB monomer </w:t>
      </w:r>
      <w:bookmarkStart w:id="2" w:name="_Hlk133713408"/>
      <w:r w:rsidR="00422956">
        <w:rPr>
          <w:rFonts w:ascii="Times New Roman" w:hAnsi="Times New Roman"/>
        </w:rPr>
        <w:t>β-hydroxybutyric acid (HBA)</w:t>
      </w:r>
      <w:bookmarkEnd w:id="2"/>
      <w:r w:rsidR="00422956">
        <w:rPr>
          <w:rFonts w:ascii="Times New Roman" w:hAnsi="Times New Roman"/>
        </w:rPr>
        <w:t>, may be readily produced from the polymer through microbial,</w:t>
      </w:r>
      <w:r w:rsidR="00D337C5">
        <w:rPr>
          <w:rFonts w:ascii="Times New Roman" w:hAnsi="Times New Roman"/>
        </w:rPr>
        <w:t xml:space="preserve"> </w:t>
      </w:r>
      <w:r w:rsidR="007D17C7">
        <w:rPr>
          <w:rFonts w:ascii="Times New Roman" w:hAnsi="Times New Roman"/>
        </w:rPr>
        <w:t>enzymatic,</w:t>
      </w:r>
      <w:r w:rsidR="00422956">
        <w:rPr>
          <w:rFonts w:ascii="Times New Roman" w:hAnsi="Times New Roman"/>
        </w:rPr>
        <w:t xml:space="preserve"> and chemical methods (</w:t>
      </w:r>
      <w:r w:rsidR="008009A3" w:rsidRPr="008009A3">
        <w:rPr>
          <w:rFonts w:ascii="Times New Roman" w:hAnsi="Times New Roman"/>
        </w:rPr>
        <w:t>1</w:t>
      </w:r>
      <w:r w:rsidR="00422956">
        <w:rPr>
          <w:rFonts w:ascii="Times New Roman" w:hAnsi="Times New Roman"/>
        </w:rPr>
        <w:t xml:space="preserve">). </w:t>
      </w:r>
    </w:p>
    <w:p w14:paraId="43C98790" w14:textId="41DA7A54" w:rsidR="004E7D1A" w:rsidRDefault="007A48C7" w:rsidP="00EA4E1B">
      <w:pPr>
        <w:pStyle w:val="TAMainText"/>
        <w:rPr>
          <w:rFonts w:ascii="Times New Roman" w:hAnsi="Times New Roman"/>
        </w:rPr>
      </w:pPr>
      <w:r>
        <w:rPr>
          <w:rFonts w:ascii="Times New Roman" w:hAnsi="Times New Roman"/>
        </w:rPr>
        <w:t>HBA</w:t>
      </w:r>
      <w:r w:rsidR="00F6735E" w:rsidRPr="00F6735E">
        <w:rPr>
          <w:rFonts w:ascii="Times New Roman" w:hAnsi="Times New Roman"/>
        </w:rPr>
        <w:t xml:space="preserve"> possesses interesting </w:t>
      </w:r>
      <w:r w:rsidR="00F6735E">
        <w:rPr>
          <w:rFonts w:ascii="Times New Roman" w:hAnsi="Times New Roman"/>
        </w:rPr>
        <w:t>properties such as anti</w:t>
      </w:r>
      <w:r w:rsidR="00C5379A">
        <w:rPr>
          <w:rFonts w:ascii="Times New Roman" w:hAnsi="Times New Roman"/>
        </w:rPr>
        <w:t>viral</w:t>
      </w:r>
      <w:r w:rsidR="00F6735E">
        <w:rPr>
          <w:rFonts w:ascii="Times New Roman" w:hAnsi="Times New Roman"/>
        </w:rPr>
        <w:t xml:space="preserve"> activ</w:t>
      </w:r>
      <w:r w:rsidR="00A15944">
        <w:rPr>
          <w:rFonts w:ascii="Times New Roman" w:hAnsi="Times New Roman"/>
        </w:rPr>
        <w:t xml:space="preserve">ity, besides a wide range of applications in the synthesis of chemicals </w:t>
      </w:r>
      <w:r w:rsidR="00A72504">
        <w:rPr>
          <w:rFonts w:ascii="Times New Roman" w:hAnsi="Times New Roman"/>
        </w:rPr>
        <w:t>(</w:t>
      </w:r>
      <w:r w:rsidR="00A72504" w:rsidRPr="00C36779">
        <w:rPr>
          <w:rFonts w:ascii="Times New Roman" w:hAnsi="Times New Roman"/>
        </w:rPr>
        <w:t>2</w:t>
      </w:r>
      <w:r w:rsidR="00A72504">
        <w:rPr>
          <w:rFonts w:ascii="Times New Roman" w:hAnsi="Times New Roman"/>
        </w:rPr>
        <w:t>)</w:t>
      </w:r>
      <w:r w:rsidR="00A15944">
        <w:rPr>
          <w:rFonts w:ascii="Times New Roman" w:hAnsi="Times New Roman"/>
        </w:rPr>
        <w:t xml:space="preserve">. </w:t>
      </w:r>
      <w:r w:rsidR="00A15944" w:rsidRPr="002248F3">
        <w:rPr>
          <w:rFonts w:ascii="Times New Roman" w:hAnsi="Times New Roman"/>
        </w:rPr>
        <w:t xml:space="preserve">However, </w:t>
      </w:r>
      <w:r w:rsidR="00223436">
        <w:rPr>
          <w:rFonts w:ascii="Times New Roman" w:hAnsi="Times New Roman"/>
        </w:rPr>
        <w:t>studies on</w:t>
      </w:r>
      <w:r w:rsidR="002248F3" w:rsidRPr="002248F3">
        <w:rPr>
          <w:rFonts w:ascii="Times New Roman" w:hAnsi="Times New Roman"/>
        </w:rPr>
        <w:t xml:space="preserve"> the catalytic hydrogenation of </w:t>
      </w:r>
      <w:r>
        <w:rPr>
          <w:rFonts w:ascii="Times New Roman" w:hAnsi="Times New Roman"/>
        </w:rPr>
        <w:t>HBA</w:t>
      </w:r>
      <w:r w:rsidR="002248F3">
        <w:rPr>
          <w:rFonts w:ascii="Times New Roman" w:hAnsi="Times New Roman"/>
        </w:rPr>
        <w:t xml:space="preserve"> to 1,3-Butanediol (1,3-BDO)</w:t>
      </w:r>
      <w:r w:rsidR="00223436">
        <w:rPr>
          <w:rFonts w:ascii="Times New Roman" w:hAnsi="Times New Roman"/>
        </w:rPr>
        <w:t xml:space="preserve"> are scarce</w:t>
      </w:r>
      <w:r w:rsidR="00D75AE2">
        <w:rPr>
          <w:rFonts w:ascii="Times New Roman" w:hAnsi="Times New Roman"/>
        </w:rPr>
        <w:t xml:space="preserve"> (</w:t>
      </w:r>
      <w:r w:rsidR="00FC40DF" w:rsidRPr="00FC40DF">
        <w:rPr>
          <w:rFonts w:ascii="Times New Roman" w:hAnsi="Times New Roman"/>
        </w:rPr>
        <w:t>3</w:t>
      </w:r>
      <w:r w:rsidR="00D75AE2">
        <w:rPr>
          <w:rFonts w:ascii="Times New Roman" w:hAnsi="Times New Roman"/>
        </w:rPr>
        <w:t>)</w:t>
      </w:r>
      <w:r w:rsidR="00E56433">
        <w:rPr>
          <w:rFonts w:ascii="Times New Roman" w:hAnsi="Times New Roman"/>
        </w:rPr>
        <w:t>.</w:t>
      </w:r>
    </w:p>
    <w:p w14:paraId="176244D1" w14:textId="76FBE972" w:rsidR="00C94225" w:rsidRDefault="00B244D6" w:rsidP="00EA4E1B">
      <w:pPr>
        <w:pStyle w:val="TAMainText"/>
        <w:rPr>
          <w:rFonts w:ascii="Times New Roman" w:hAnsi="Times New Roman"/>
        </w:rPr>
      </w:pPr>
      <w:r>
        <w:rPr>
          <w:rFonts w:ascii="Times New Roman" w:hAnsi="Times New Roman"/>
        </w:rPr>
        <w:t>1,3-Butanediol</w:t>
      </w:r>
      <w:r w:rsidR="00971A84">
        <w:rPr>
          <w:rFonts w:ascii="Times New Roman" w:hAnsi="Times New Roman"/>
        </w:rPr>
        <w:t xml:space="preserve"> is a high value-added product</w:t>
      </w:r>
      <w:r w:rsidR="006F4CC4">
        <w:rPr>
          <w:rFonts w:ascii="Times New Roman" w:hAnsi="Times New Roman"/>
        </w:rPr>
        <w:t>, with known nutritional properties, being currently studied in food ingredient research. Furthermore,</w:t>
      </w:r>
      <w:r w:rsidR="00C66417">
        <w:rPr>
          <w:rFonts w:ascii="Times New Roman" w:hAnsi="Times New Roman"/>
        </w:rPr>
        <w:t xml:space="preserve"> it may be used as building block for several chemicals (</w:t>
      </w:r>
      <w:r w:rsidR="007D290A" w:rsidRPr="007D290A">
        <w:rPr>
          <w:rFonts w:ascii="Times New Roman" w:hAnsi="Times New Roman"/>
        </w:rPr>
        <w:t>4</w:t>
      </w:r>
      <w:r w:rsidR="00C66417">
        <w:rPr>
          <w:rFonts w:ascii="Times New Roman" w:hAnsi="Times New Roman"/>
        </w:rPr>
        <w:t>)</w:t>
      </w:r>
      <w:r w:rsidR="00FB016B">
        <w:rPr>
          <w:rFonts w:ascii="Times New Roman" w:hAnsi="Times New Roman"/>
        </w:rPr>
        <w:t xml:space="preserve">. </w:t>
      </w:r>
      <w:r w:rsidR="00FC5430" w:rsidRPr="00143C35">
        <w:rPr>
          <w:rFonts w:ascii="Times New Roman" w:hAnsi="Times New Roman"/>
        </w:rPr>
        <w:t>Thus,</w:t>
      </w:r>
      <w:r w:rsidR="00143C35" w:rsidRPr="00143C35">
        <w:rPr>
          <w:rFonts w:ascii="Times New Roman" w:hAnsi="Times New Roman"/>
        </w:rPr>
        <w:t xml:space="preserve"> given</w:t>
      </w:r>
      <w:r w:rsidR="00FC5430" w:rsidRPr="00143C35">
        <w:rPr>
          <w:rFonts w:ascii="Times New Roman" w:hAnsi="Times New Roman"/>
        </w:rPr>
        <w:t xml:space="preserve"> the </w:t>
      </w:r>
      <w:r w:rsidR="00143C35" w:rsidRPr="00143C35">
        <w:rPr>
          <w:rFonts w:ascii="Times New Roman" w:hAnsi="Times New Roman"/>
        </w:rPr>
        <w:t>environmental-friendly nature of PH</w:t>
      </w:r>
      <w:r w:rsidR="00143C35">
        <w:rPr>
          <w:rFonts w:ascii="Times New Roman" w:hAnsi="Times New Roman"/>
        </w:rPr>
        <w:t>B, the</w:t>
      </w:r>
      <w:r w:rsidR="00143C35" w:rsidRPr="00143C35">
        <w:rPr>
          <w:rFonts w:ascii="Times New Roman" w:hAnsi="Times New Roman"/>
        </w:rPr>
        <w:t xml:space="preserve"> </w:t>
      </w:r>
      <w:r w:rsidR="00FC5430" w:rsidRPr="00143C35">
        <w:rPr>
          <w:rFonts w:ascii="Times New Roman" w:hAnsi="Times New Roman"/>
        </w:rPr>
        <w:t>development of</w:t>
      </w:r>
      <w:r w:rsidR="001A44C7">
        <w:rPr>
          <w:rFonts w:ascii="Times New Roman" w:hAnsi="Times New Roman"/>
        </w:rPr>
        <w:t xml:space="preserve"> active and selective </w:t>
      </w:r>
      <w:r w:rsidR="0081231A">
        <w:rPr>
          <w:rFonts w:ascii="Times New Roman" w:hAnsi="Times New Roman"/>
        </w:rPr>
        <w:t xml:space="preserve">catalysts for the hydrogenation of </w:t>
      </w:r>
      <w:r w:rsidR="00AF073F">
        <w:rPr>
          <w:rFonts w:ascii="Times New Roman" w:hAnsi="Times New Roman"/>
        </w:rPr>
        <w:t>HBA</w:t>
      </w:r>
      <w:r w:rsidR="0081231A">
        <w:rPr>
          <w:rFonts w:ascii="Times New Roman" w:hAnsi="Times New Roman"/>
        </w:rPr>
        <w:t xml:space="preserve"> to 1,3-BDO is highly desirable (</w:t>
      </w:r>
      <w:r w:rsidR="00FC40DF">
        <w:rPr>
          <w:rFonts w:ascii="Times New Roman" w:hAnsi="Times New Roman"/>
        </w:rPr>
        <w:t>3</w:t>
      </w:r>
      <w:r w:rsidR="0081231A">
        <w:rPr>
          <w:rFonts w:ascii="Times New Roman" w:hAnsi="Times New Roman"/>
        </w:rPr>
        <w:t>)</w:t>
      </w:r>
      <w:r w:rsidR="00A330B3">
        <w:rPr>
          <w:rFonts w:ascii="Times New Roman" w:hAnsi="Times New Roman"/>
        </w:rPr>
        <w:t>.</w:t>
      </w:r>
    </w:p>
    <w:p w14:paraId="443EED9B" w14:textId="7EAFB603" w:rsidR="00B94209" w:rsidRDefault="00F75AA1" w:rsidP="00EA4E1B">
      <w:pPr>
        <w:pStyle w:val="TAMainText"/>
        <w:rPr>
          <w:rFonts w:ascii="Times New Roman" w:hAnsi="Times New Roman"/>
        </w:rPr>
      </w:pPr>
      <w:r>
        <w:rPr>
          <w:rFonts w:ascii="Times New Roman" w:hAnsi="Times New Roman"/>
        </w:rPr>
        <w:lastRenderedPageBreak/>
        <w:t>Considering</w:t>
      </w:r>
      <w:r w:rsidR="00B94209">
        <w:rPr>
          <w:rFonts w:ascii="Times New Roman" w:hAnsi="Times New Roman"/>
        </w:rPr>
        <w:t xml:space="preserve"> the above, this </w:t>
      </w:r>
      <w:r>
        <w:rPr>
          <w:rFonts w:ascii="Times New Roman" w:hAnsi="Times New Roman"/>
        </w:rPr>
        <w:t>contribution reports</w:t>
      </w:r>
      <w:r w:rsidR="00257619">
        <w:rPr>
          <w:rFonts w:ascii="Times New Roman" w:hAnsi="Times New Roman"/>
        </w:rPr>
        <w:t xml:space="preserve"> the aqueous-phase </w:t>
      </w:r>
      <w:r w:rsidR="001F3C30">
        <w:rPr>
          <w:rFonts w:ascii="Times New Roman" w:hAnsi="Times New Roman"/>
        </w:rPr>
        <w:t>hydrogenation</w:t>
      </w:r>
      <w:r w:rsidR="00124A5A">
        <w:rPr>
          <w:rFonts w:ascii="Times New Roman" w:hAnsi="Times New Roman"/>
        </w:rPr>
        <w:t xml:space="preserve"> of HBA to 1,3-BDO</w:t>
      </w:r>
      <w:r w:rsidR="006607B0">
        <w:rPr>
          <w:rFonts w:ascii="Times New Roman" w:hAnsi="Times New Roman"/>
        </w:rPr>
        <w:t xml:space="preserve"> over Ru catalysts supported on carbon, TiO</w:t>
      </w:r>
      <w:r w:rsidR="006607B0">
        <w:rPr>
          <w:rFonts w:ascii="Times New Roman" w:hAnsi="Times New Roman"/>
          <w:vertAlign w:val="subscript"/>
        </w:rPr>
        <w:t>2</w:t>
      </w:r>
      <w:r w:rsidR="006607B0">
        <w:rPr>
          <w:rFonts w:ascii="Times New Roman" w:hAnsi="Times New Roman"/>
        </w:rPr>
        <w:t xml:space="preserve"> and SiO</w:t>
      </w:r>
      <w:r w:rsidR="006607B0">
        <w:rPr>
          <w:rFonts w:ascii="Times New Roman" w:hAnsi="Times New Roman"/>
          <w:vertAlign w:val="subscript"/>
        </w:rPr>
        <w:t>2</w:t>
      </w:r>
      <w:r w:rsidR="006607B0">
        <w:rPr>
          <w:rFonts w:ascii="Times New Roman" w:hAnsi="Times New Roman"/>
        </w:rPr>
        <w:t>.</w:t>
      </w:r>
      <w:r w:rsidR="00C92D10">
        <w:rPr>
          <w:rFonts w:ascii="Times New Roman" w:hAnsi="Times New Roman"/>
        </w:rPr>
        <w:t xml:space="preserve"> </w:t>
      </w:r>
      <w:r w:rsidR="00F8254E">
        <w:rPr>
          <w:rFonts w:ascii="Times New Roman" w:hAnsi="Times New Roman"/>
        </w:rPr>
        <w:t>The effect of temperature, support and Ru content were evaluated</w:t>
      </w:r>
      <w:r w:rsidR="00727F0A">
        <w:rPr>
          <w:rFonts w:ascii="Times New Roman" w:hAnsi="Times New Roman"/>
        </w:rPr>
        <w:t xml:space="preserve">. Also, mechanistic insight </w:t>
      </w:r>
      <w:r w:rsidR="009B00F9">
        <w:rPr>
          <w:rFonts w:ascii="Times New Roman" w:hAnsi="Times New Roman"/>
        </w:rPr>
        <w:t xml:space="preserve">of side reactions </w:t>
      </w:r>
      <w:r w:rsidR="00727F0A">
        <w:rPr>
          <w:rFonts w:ascii="Times New Roman" w:hAnsi="Times New Roman"/>
        </w:rPr>
        <w:t xml:space="preserve">was obtained by </w:t>
      </w:r>
      <w:r w:rsidR="00EC43AA">
        <w:rPr>
          <w:rFonts w:ascii="Times New Roman" w:hAnsi="Times New Roman"/>
        </w:rPr>
        <w:t>modifying</w:t>
      </w:r>
      <w:r w:rsidR="00727F0A">
        <w:rPr>
          <w:rFonts w:ascii="Times New Roman" w:hAnsi="Times New Roman"/>
        </w:rPr>
        <w:t xml:space="preserve"> reactions conditions and HPLC analys</w:t>
      </w:r>
      <w:r w:rsidR="001172F8">
        <w:rPr>
          <w:rFonts w:ascii="Times New Roman" w:hAnsi="Times New Roman"/>
        </w:rPr>
        <w:t>e</w:t>
      </w:r>
      <w:r w:rsidR="00727F0A">
        <w:rPr>
          <w:rFonts w:ascii="Times New Roman" w:hAnsi="Times New Roman"/>
        </w:rPr>
        <w:t>s.</w:t>
      </w:r>
    </w:p>
    <w:p w14:paraId="1F3A07D6" w14:textId="77777777" w:rsidR="001172F8" w:rsidRPr="001172F8" w:rsidRDefault="001172F8" w:rsidP="00EA4E1B">
      <w:pPr>
        <w:pStyle w:val="Ttulo2"/>
        <w:rPr>
          <w:rFonts w:ascii="Helvetica" w:hAnsi="Helvetica" w:cs="Helvetica"/>
          <w:sz w:val="24"/>
          <w:szCs w:val="24"/>
          <w:lang w:val="en-US"/>
        </w:rPr>
      </w:pPr>
    </w:p>
    <w:p w14:paraId="52FFAC79" w14:textId="665D2AA6" w:rsidR="00EA4E1B" w:rsidRPr="005103DE" w:rsidRDefault="00EA4E1B" w:rsidP="00EA4E1B">
      <w:pPr>
        <w:pStyle w:val="Ttulo2"/>
        <w:rPr>
          <w:rFonts w:ascii="Helvetica" w:hAnsi="Helvetica" w:cs="Helvetica"/>
          <w:sz w:val="24"/>
          <w:szCs w:val="24"/>
          <w:lang w:val="en-US"/>
        </w:rPr>
      </w:pPr>
      <w:r w:rsidRPr="005103DE">
        <w:rPr>
          <w:rFonts w:ascii="Helvetica" w:hAnsi="Helvetica" w:cs="Helvetica"/>
          <w:sz w:val="24"/>
          <w:szCs w:val="24"/>
          <w:lang w:val="en-US"/>
        </w:rPr>
        <w:t>Experimental</w:t>
      </w:r>
    </w:p>
    <w:p w14:paraId="35887134" w14:textId="4B19846C" w:rsidR="00EA4E1B" w:rsidRPr="005103DE" w:rsidRDefault="000539F0" w:rsidP="00EA4E1B">
      <w:pPr>
        <w:pStyle w:val="TAMainText"/>
        <w:ind w:firstLine="0"/>
        <w:rPr>
          <w:rFonts w:ascii="Times New Roman" w:hAnsi="Times New Roman"/>
          <w:i/>
        </w:rPr>
      </w:pPr>
      <w:r w:rsidRPr="005103DE">
        <w:rPr>
          <w:rFonts w:ascii="Times New Roman" w:hAnsi="Times New Roman"/>
          <w:i/>
        </w:rPr>
        <w:t>Catalysts synthesis</w:t>
      </w:r>
    </w:p>
    <w:p w14:paraId="7BB8AA3B" w14:textId="39E5662E" w:rsidR="00CD2744" w:rsidRPr="005103DE" w:rsidRDefault="004470D3" w:rsidP="00EA4E1B">
      <w:pPr>
        <w:pStyle w:val="TAMainText"/>
        <w:rPr>
          <w:rFonts w:ascii="Times New Roman" w:hAnsi="Times New Roman"/>
        </w:rPr>
      </w:pPr>
      <w:r w:rsidRPr="005103DE">
        <w:rPr>
          <w:rFonts w:ascii="Times New Roman" w:hAnsi="Times New Roman"/>
        </w:rPr>
        <w:t>T</w:t>
      </w:r>
      <w:r w:rsidR="00CD2744" w:rsidRPr="005103DE">
        <w:rPr>
          <w:rFonts w:ascii="Times New Roman" w:hAnsi="Times New Roman"/>
        </w:rPr>
        <w:t>he Ru/TiO</w:t>
      </w:r>
      <w:r w:rsidR="00CD2744" w:rsidRPr="005103DE">
        <w:rPr>
          <w:rFonts w:ascii="Times New Roman" w:hAnsi="Times New Roman"/>
          <w:vertAlign w:val="subscript"/>
        </w:rPr>
        <w:t>2</w:t>
      </w:r>
      <w:r w:rsidR="00CD2744" w:rsidRPr="005103DE">
        <w:rPr>
          <w:rFonts w:ascii="Times New Roman" w:hAnsi="Times New Roman"/>
        </w:rPr>
        <w:t xml:space="preserve"> catalyst</w:t>
      </w:r>
      <w:r w:rsidR="00D54C05">
        <w:rPr>
          <w:rFonts w:ascii="Times New Roman" w:hAnsi="Times New Roman"/>
        </w:rPr>
        <w:t>s</w:t>
      </w:r>
      <w:r w:rsidRPr="005103DE">
        <w:rPr>
          <w:rFonts w:ascii="Times New Roman" w:hAnsi="Times New Roman"/>
        </w:rPr>
        <w:t xml:space="preserve"> w</w:t>
      </w:r>
      <w:r w:rsidR="00D54C05">
        <w:rPr>
          <w:rFonts w:ascii="Times New Roman" w:hAnsi="Times New Roman"/>
        </w:rPr>
        <w:t>ere</w:t>
      </w:r>
      <w:r w:rsidRPr="005103DE">
        <w:rPr>
          <w:rFonts w:ascii="Times New Roman" w:hAnsi="Times New Roman"/>
        </w:rPr>
        <w:t xml:space="preserve"> prepared by incipient</w:t>
      </w:r>
      <w:r w:rsidR="00BD6C2F">
        <w:rPr>
          <w:rFonts w:ascii="Times New Roman" w:hAnsi="Times New Roman"/>
        </w:rPr>
        <w:t xml:space="preserve"> wetness</w:t>
      </w:r>
      <w:r w:rsidRPr="005103DE">
        <w:rPr>
          <w:rFonts w:ascii="Times New Roman" w:hAnsi="Times New Roman"/>
        </w:rPr>
        <w:t xml:space="preserve"> impregnation</w:t>
      </w:r>
      <w:r w:rsidR="00BD6C2F">
        <w:rPr>
          <w:rFonts w:ascii="Times New Roman" w:hAnsi="Times New Roman"/>
        </w:rPr>
        <w:t>, following a protocol adapted from Liu et al</w:t>
      </w:r>
      <w:r w:rsidR="00CB11CF">
        <w:rPr>
          <w:rFonts w:ascii="Times New Roman" w:hAnsi="Times New Roman"/>
        </w:rPr>
        <w:t xml:space="preserve"> </w:t>
      </w:r>
      <w:r w:rsidR="00BD6C2F">
        <w:rPr>
          <w:rFonts w:ascii="Times New Roman" w:hAnsi="Times New Roman"/>
        </w:rPr>
        <w:t>(5)</w:t>
      </w:r>
      <w:r w:rsidRPr="005103DE">
        <w:rPr>
          <w:rFonts w:ascii="Times New Roman" w:hAnsi="Times New Roman"/>
        </w:rPr>
        <w:t>.</w:t>
      </w:r>
      <w:r w:rsidR="00CD2744" w:rsidRPr="005103DE">
        <w:rPr>
          <w:rFonts w:ascii="Times New Roman" w:hAnsi="Times New Roman"/>
        </w:rPr>
        <w:t xml:space="preserve"> </w:t>
      </w:r>
      <w:r w:rsidRPr="005103DE">
        <w:rPr>
          <w:rFonts w:ascii="Times New Roman" w:hAnsi="Times New Roman"/>
        </w:rPr>
        <w:t>I</w:t>
      </w:r>
      <w:r w:rsidR="00CD2744" w:rsidRPr="005103DE">
        <w:rPr>
          <w:rFonts w:ascii="Times New Roman" w:hAnsi="Times New Roman"/>
        </w:rPr>
        <w:t>nitially a commercial TiO</w:t>
      </w:r>
      <w:r w:rsidR="00CD2744" w:rsidRPr="005103DE">
        <w:rPr>
          <w:rFonts w:ascii="Times New Roman" w:hAnsi="Times New Roman"/>
          <w:vertAlign w:val="subscript"/>
        </w:rPr>
        <w:t>2</w:t>
      </w:r>
      <w:r w:rsidR="00CD2744" w:rsidRPr="005103DE">
        <w:rPr>
          <w:rFonts w:ascii="Times New Roman" w:hAnsi="Times New Roman"/>
        </w:rPr>
        <w:t xml:space="preserve"> (Degussa P25) was dried in oven at 110 ºC for 24 h. An aqueous solution of the precursor RuCl</w:t>
      </w:r>
      <w:r w:rsidR="00CD2744" w:rsidRPr="005103DE">
        <w:rPr>
          <w:rFonts w:ascii="Times New Roman" w:hAnsi="Times New Roman"/>
          <w:vertAlign w:val="subscript"/>
        </w:rPr>
        <w:t>3</w:t>
      </w:r>
      <w:r w:rsidR="00CD2744" w:rsidRPr="005103DE">
        <w:rPr>
          <w:rFonts w:ascii="Times New Roman" w:hAnsi="Times New Roman"/>
        </w:rPr>
        <w:t>.xH</w:t>
      </w:r>
      <w:r w:rsidR="00CD2744" w:rsidRPr="005103DE">
        <w:rPr>
          <w:rFonts w:ascii="Times New Roman" w:hAnsi="Times New Roman"/>
          <w:vertAlign w:val="subscript"/>
        </w:rPr>
        <w:t>2</w:t>
      </w:r>
      <w:r w:rsidR="00CD2744" w:rsidRPr="005103DE">
        <w:rPr>
          <w:rFonts w:ascii="Times New Roman" w:hAnsi="Times New Roman"/>
        </w:rPr>
        <w:t xml:space="preserve">O (Sigma) was then added to the dried support. The </w:t>
      </w:r>
      <w:r w:rsidR="0089368C">
        <w:rPr>
          <w:rFonts w:ascii="Times New Roman" w:hAnsi="Times New Roman"/>
        </w:rPr>
        <w:t xml:space="preserve">slurry </w:t>
      </w:r>
      <w:r w:rsidR="00CD2744" w:rsidRPr="005103DE">
        <w:rPr>
          <w:rFonts w:ascii="Times New Roman" w:hAnsi="Times New Roman"/>
        </w:rPr>
        <w:t>mixture was stirred at 250 rpm for 4</w:t>
      </w:r>
      <w:r w:rsidR="00E9766B">
        <w:rPr>
          <w:rFonts w:ascii="Times New Roman" w:hAnsi="Times New Roman"/>
        </w:rPr>
        <w:t>.</w:t>
      </w:r>
      <w:r w:rsidR="00CD2744" w:rsidRPr="005103DE">
        <w:rPr>
          <w:rFonts w:ascii="Times New Roman" w:hAnsi="Times New Roman"/>
        </w:rPr>
        <w:t xml:space="preserve">5 h. Afterwards, </w:t>
      </w:r>
      <w:r w:rsidR="00967BE6">
        <w:rPr>
          <w:rFonts w:ascii="Times New Roman" w:hAnsi="Times New Roman"/>
        </w:rPr>
        <w:t>the product</w:t>
      </w:r>
      <w:r w:rsidR="00CD2744" w:rsidRPr="005103DE">
        <w:rPr>
          <w:rFonts w:ascii="Times New Roman" w:hAnsi="Times New Roman"/>
        </w:rPr>
        <w:t xml:space="preserve"> was dried at 80 ºC for 2</w:t>
      </w:r>
      <w:r w:rsidR="00E9766B">
        <w:rPr>
          <w:rFonts w:ascii="Times New Roman" w:hAnsi="Times New Roman"/>
        </w:rPr>
        <w:t>.0</w:t>
      </w:r>
      <w:r w:rsidR="00CD2744" w:rsidRPr="005103DE">
        <w:rPr>
          <w:rFonts w:ascii="Times New Roman" w:hAnsi="Times New Roman"/>
        </w:rPr>
        <w:t xml:space="preserve"> h, then at 110 ºC overnight. The prepared material was activated under H</w:t>
      </w:r>
      <w:r w:rsidR="00CD2744" w:rsidRPr="005103DE">
        <w:rPr>
          <w:rFonts w:ascii="Times New Roman" w:hAnsi="Times New Roman"/>
          <w:vertAlign w:val="subscript"/>
        </w:rPr>
        <w:t>2</w:t>
      </w:r>
      <w:r w:rsidR="00CD2744" w:rsidRPr="005103DE">
        <w:rPr>
          <w:rFonts w:ascii="Times New Roman" w:hAnsi="Times New Roman"/>
        </w:rPr>
        <w:t xml:space="preserve"> flow (30 mL/min) for 2</w:t>
      </w:r>
      <w:r w:rsidR="00E9766B">
        <w:rPr>
          <w:rFonts w:ascii="Times New Roman" w:hAnsi="Times New Roman"/>
        </w:rPr>
        <w:t>.0</w:t>
      </w:r>
      <w:r w:rsidR="00CD2744" w:rsidRPr="005103DE">
        <w:rPr>
          <w:rFonts w:ascii="Times New Roman" w:hAnsi="Times New Roman"/>
        </w:rPr>
        <w:t xml:space="preserve"> h at 350 ºC.</w:t>
      </w:r>
    </w:p>
    <w:p w14:paraId="71F5FC00" w14:textId="1E951BD4" w:rsidR="00A56810" w:rsidRPr="005103DE" w:rsidRDefault="009F2CBA" w:rsidP="00EA4E1B">
      <w:pPr>
        <w:pStyle w:val="TAMainText"/>
        <w:rPr>
          <w:rFonts w:ascii="Times New Roman" w:hAnsi="Times New Roman"/>
        </w:rPr>
      </w:pPr>
      <w:r w:rsidRPr="005103DE">
        <w:rPr>
          <w:rFonts w:ascii="Times New Roman" w:hAnsi="Times New Roman"/>
        </w:rPr>
        <w:t>The SiO</w:t>
      </w:r>
      <w:r w:rsidRPr="005103DE">
        <w:rPr>
          <w:rFonts w:ascii="Times New Roman" w:hAnsi="Times New Roman"/>
          <w:vertAlign w:val="subscript"/>
        </w:rPr>
        <w:t>2</w:t>
      </w:r>
      <w:r w:rsidRPr="005103DE">
        <w:rPr>
          <w:rFonts w:ascii="Times New Roman" w:hAnsi="Times New Roman"/>
        </w:rPr>
        <w:t xml:space="preserve"> </w:t>
      </w:r>
      <w:r w:rsidR="004470D3" w:rsidRPr="005103DE">
        <w:rPr>
          <w:rFonts w:ascii="Times New Roman" w:hAnsi="Times New Roman"/>
        </w:rPr>
        <w:t xml:space="preserve">support was prepared from treatment of </w:t>
      </w:r>
      <w:proofErr w:type="spellStart"/>
      <w:r w:rsidR="004470D3" w:rsidRPr="005103DE">
        <w:rPr>
          <w:rFonts w:ascii="Times New Roman" w:hAnsi="Times New Roman"/>
        </w:rPr>
        <w:t>tetraethylorthosilicate</w:t>
      </w:r>
      <w:proofErr w:type="spellEnd"/>
      <w:r w:rsidR="004470D3" w:rsidRPr="005103DE">
        <w:rPr>
          <w:rFonts w:ascii="Times New Roman" w:hAnsi="Times New Roman"/>
        </w:rPr>
        <w:t xml:space="preserve"> with HNO</w:t>
      </w:r>
      <w:r w:rsidR="004470D3" w:rsidRPr="005103DE">
        <w:rPr>
          <w:rFonts w:ascii="Times New Roman" w:hAnsi="Times New Roman"/>
          <w:vertAlign w:val="subscript"/>
        </w:rPr>
        <w:t>3</w:t>
      </w:r>
      <w:r w:rsidR="004470D3" w:rsidRPr="005103DE">
        <w:rPr>
          <w:rFonts w:ascii="Times New Roman" w:hAnsi="Times New Roman"/>
        </w:rPr>
        <w:t xml:space="preserve">, followed by calcination under air at 500 ºC (3 ºC/min) for 5 h. </w:t>
      </w:r>
      <w:r w:rsidR="009E453E" w:rsidRPr="005103DE">
        <w:rPr>
          <w:rFonts w:ascii="Times New Roman" w:hAnsi="Times New Roman"/>
        </w:rPr>
        <w:t>The Ru/SiO</w:t>
      </w:r>
      <w:r w:rsidR="009E453E" w:rsidRPr="005103DE">
        <w:rPr>
          <w:rFonts w:ascii="Times New Roman" w:hAnsi="Times New Roman"/>
          <w:vertAlign w:val="subscript"/>
        </w:rPr>
        <w:t>2</w:t>
      </w:r>
      <w:r w:rsidR="009E453E" w:rsidRPr="005103DE">
        <w:rPr>
          <w:rFonts w:ascii="Times New Roman" w:hAnsi="Times New Roman"/>
        </w:rPr>
        <w:t xml:space="preserve"> catalyst was prepared by incipient impregnation, following the same protocol described.</w:t>
      </w:r>
      <w:r w:rsidR="00FA79C8" w:rsidRPr="005103DE">
        <w:rPr>
          <w:rFonts w:ascii="Times New Roman" w:hAnsi="Times New Roman"/>
        </w:rPr>
        <w:t xml:space="preserve"> The commercial 5</w:t>
      </w:r>
      <w:r w:rsidR="003F6A73">
        <w:rPr>
          <w:rFonts w:ascii="Times New Roman" w:hAnsi="Times New Roman"/>
        </w:rPr>
        <w:t>.0</w:t>
      </w:r>
      <w:r w:rsidR="00FA79C8" w:rsidRPr="005103DE">
        <w:rPr>
          <w:rFonts w:ascii="Times New Roman" w:hAnsi="Times New Roman"/>
        </w:rPr>
        <w:t>% Ru/C (Sigma)</w:t>
      </w:r>
      <w:r w:rsidR="00D54C05">
        <w:rPr>
          <w:rFonts w:ascii="Times New Roman" w:hAnsi="Times New Roman"/>
        </w:rPr>
        <w:t xml:space="preserve"> catalyst</w:t>
      </w:r>
      <w:r w:rsidR="00FA79C8" w:rsidRPr="005103DE">
        <w:rPr>
          <w:rFonts w:ascii="Times New Roman" w:hAnsi="Times New Roman"/>
        </w:rPr>
        <w:t xml:space="preserve"> was used without any pre-treatments. </w:t>
      </w:r>
    </w:p>
    <w:p w14:paraId="4E6BAA29" w14:textId="752522AC" w:rsidR="00EA4E1B" w:rsidRPr="005103DE" w:rsidRDefault="00EA4E1B" w:rsidP="00EA4E1B">
      <w:pPr>
        <w:pStyle w:val="TAMainText"/>
        <w:rPr>
          <w:rFonts w:ascii="Times New Roman" w:hAnsi="Times New Roman"/>
        </w:rPr>
      </w:pPr>
    </w:p>
    <w:p w14:paraId="431BB771" w14:textId="1B88A79C" w:rsidR="000539F0" w:rsidRPr="005103DE" w:rsidRDefault="000539F0" w:rsidP="000539F0">
      <w:pPr>
        <w:pStyle w:val="TAMainText"/>
        <w:ind w:firstLine="0"/>
        <w:rPr>
          <w:rFonts w:ascii="Times New Roman" w:hAnsi="Times New Roman"/>
          <w:i/>
        </w:rPr>
      </w:pPr>
      <w:r w:rsidRPr="005103DE">
        <w:rPr>
          <w:rFonts w:ascii="Times New Roman" w:hAnsi="Times New Roman"/>
          <w:i/>
        </w:rPr>
        <w:t>C</w:t>
      </w:r>
      <w:r w:rsidR="007D3740" w:rsidRPr="005103DE">
        <w:rPr>
          <w:rFonts w:ascii="Times New Roman" w:hAnsi="Times New Roman"/>
          <w:i/>
        </w:rPr>
        <w:t>haracterization</w:t>
      </w:r>
    </w:p>
    <w:p w14:paraId="77E40CD1" w14:textId="1EFFB4EB" w:rsidR="00523E12" w:rsidRPr="005103DE" w:rsidRDefault="00523E12" w:rsidP="000539F0">
      <w:pPr>
        <w:pStyle w:val="TAMainText"/>
        <w:rPr>
          <w:rFonts w:ascii="Times New Roman" w:hAnsi="Times New Roman"/>
        </w:rPr>
      </w:pPr>
      <w:r w:rsidRPr="005103DE">
        <w:rPr>
          <w:rFonts w:ascii="Times New Roman" w:hAnsi="Times New Roman"/>
        </w:rPr>
        <w:t xml:space="preserve">X-Ray Diffraction (XRD) analyses were performed using </w:t>
      </w:r>
      <w:proofErr w:type="spellStart"/>
      <w:r w:rsidRPr="005103DE">
        <w:rPr>
          <w:rFonts w:ascii="Times New Roman" w:hAnsi="Times New Roman"/>
        </w:rPr>
        <w:t>CuK</w:t>
      </w:r>
      <w:proofErr w:type="spellEnd"/>
      <w:r>
        <w:rPr>
          <w:rFonts w:ascii="Times New Roman" w:hAnsi="Times New Roman"/>
          <w:lang w:val="pt-BR"/>
        </w:rPr>
        <w:t>α</w:t>
      </w:r>
      <w:r w:rsidRPr="005103DE">
        <w:rPr>
          <w:rFonts w:ascii="Times New Roman" w:hAnsi="Times New Roman"/>
        </w:rPr>
        <w:t xml:space="preserve"> radiation with 2</w:t>
      </w:r>
      <w:r>
        <w:rPr>
          <w:rFonts w:ascii="Times New Roman" w:hAnsi="Times New Roman"/>
          <w:lang w:val="pt-BR"/>
        </w:rPr>
        <w:t>θ</w:t>
      </w:r>
      <w:r w:rsidRPr="005103DE">
        <w:rPr>
          <w:rFonts w:ascii="Times New Roman" w:hAnsi="Times New Roman"/>
        </w:rPr>
        <w:t xml:space="preserve"> = 10 – </w:t>
      </w:r>
      <w:r w:rsidR="00F07D39" w:rsidRPr="005103DE">
        <w:rPr>
          <w:rFonts w:ascii="Times New Roman" w:hAnsi="Times New Roman"/>
        </w:rPr>
        <w:t>8</w:t>
      </w:r>
      <w:r w:rsidRPr="005103DE">
        <w:rPr>
          <w:rFonts w:ascii="Times New Roman" w:hAnsi="Times New Roman"/>
        </w:rPr>
        <w:t>0º</w:t>
      </w:r>
      <w:r w:rsidR="00F07D39" w:rsidRPr="005103DE">
        <w:rPr>
          <w:rFonts w:ascii="Times New Roman" w:hAnsi="Times New Roman"/>
        </w:rPr>
        <w:t xml:space="preserve"> (2º step)</w:t>
      </w:r>
      <w:r w:rsidRPr="005103DE">
        <w:rPr>
          <w:rFonts w:ascii="Times New Roman" w:hAnsi="Times New Roman"/>
        </w:rPr>
        <w:t xml:space="preserve">, the diffractograms were collected </w:t>
      </w:r>
      <w:r w:rsidR="00F07D39" w:rsidRPr="005103DE">
        <w:rPr>
          <w:rFonts w:ascii="Times New Roman" w:hAnsi="Times New Roman"/>
        </w:rPr>
        <w:t>by an XRD 6000 (Shimadzu).</w:t>
      </w:r>
      <w:r w:rsidR="00DD1A56" w:rsidRPr="005103DE">
        <w:rPr>
          <w:rFonts w:ascii="Times New Roman" w:hAnsi="Times New Roman"/>
        </w:rPr>
        <w:t xml:space="preserve"> For the chemical composition analysis, X-Ray Fluorescence (XRF) was employed in an EDX-720 (Shimadzu).</w:t>
      </w:r>
    </w:p>
    <w:p w14:paraId="074F3A96" w14:textId="77777777" w:rsidR="00DD1A56" w:rsidRPr="005103DE" w:rsidRDefault="00DD1A56" w:rsidP="000539F0">
      <w:pPr>
        <w:pStyle w:val="TAMainText"/>
        <w:rPr>
          <w:rFonts w:ascii="Times New Roman" w:hAnsi="Times New Roman"/>
        </w:rPr>
      </w:pPr>
    </w:p>
    <w:p w14:paraId="0EEAC695" w14:textId="0EE8434E" w:rsidR="000539F0" w:rsidRPr="00F40A27" w:rsidRDefault="000539F0" w:rsidP="000539F0">
      <w:pPr>
        <w:pStyle w:val="TAMainText"/>
        <w:ind w:firstLine="0"/>
        <w:rPr>
          <w:rFonts w:ascii="Times New Roman" w:hAnsi="Times New Roman"/>
          <w:i/>
        </w:rPr>
      </w:pPr>
      <w:r w:rsidRPr="00F40A27">
        <w:rPr>
          <w:rFonts w:ascii="Times New Roman" w:hAnsi="Times New Roman"/>
          <w:i/>
        </w:rPr>
        <w:t>C</w:t>
      </w:r>
      <w:r w:rsidR="00416011" w:rsidRPr="00F40A27">
        <w:rPr>
          <w:rFonts w:ascii="Times New Roman" w:hAnsi="Times New Roman"/>
          <w:i/>
        </w:rPr>
        <w:t>atalytic tests</w:t>
      </w:r>
    </w:p>
    <w:p w14:paraId="04A3A2E7" w14:textId="40190EBD" w:rsidR="005348FA" w:rsidRPr="005103DE" w:rsidRDefault="005348FA" w:rsidP="0039244B">
      <w:pPr>
        <w:pStyle w:val="TAMainText"/>
        <w:ind w:firstLine="284"/>
        <w:rPr>
          <w:rFonts w:ascii="Times New Roman" w:hAnsi="Times New Roman"/>
        </w:rPr>
      </w:pPr>
      <w:r w:rsidRPr="005103DE">
        <w:rPr>
          <w:rFonts w:ascii="Times New Roman" w:hAnsi="Times New Roman"/>
        </w:rPr>
        <w:t xml:space="preserve">The experiments were conducted in a </w:t>
      </w:r>
      <w:r w:rsidR="005103DE" w:rsidRPr="005103DE">
        <w:rPr>
          <w:rFonts w:ascii="Times New Roman" w:hAnsi="Times New Roman"/>
        </w:rPr>
        <w:t>stainless-steel</w:t>
      </w:r>
      <w:r w:rsidRPr="005103DE">
        <w:rPr>
          <w:rFonts w:ascii="Times New Roman" w:hAnsi="Times New Roman"/>
        </w:rPr>
        <w:t xml:space="preserve"> batch reactor (</w:t>
      </w:r>
      <w:r w:rsidR="00CD280E">
        <w:rPr>
          <w:rFonts w:ascii="Times New Roman" w:hAnsi="Times New Roman"/>
        </w:rPr>
        <w:t>70</w:t>
      </w:r>
      <w:r w:rsidRPr="005103DE">
        <w:rPr>
          <w:rFonts w:ascii="Times New Roman" w:hAnsi="Times New Roman"/>
        </w:rPr>
        <w:t xml:space="preserve"> mL). In </w:t>
      </w:r>
      <w:r w:rsidR="00235F7D">
        <w:rPr>
          <w:rFonts w:ascii="Times New Roman" w:hAnsi="Times New Roman"/>
        </w:rPr>
        <w:t>a</w:t>
      </w:r>
      <w:r w:rsidR="005415D8">
        <w:rPr>
          <w:rFonts w:ascii="Times New Roman" w:hAnsi="Times New Roman"/>
        </w:rPr>
        <w:t>n</w:t>
      </w:r>
      <w:r w:rsidR="00235F7D">
        <w:rPr>
          <w:rFonts w:ascii="Times New Roman" w:hAnsi="Times New Roman"/>
        </w:rPr>
        <w:t xml:space="preserve"> usual experiment</w:t>
      </w:r>
      <w:r w:rsidRPr="005103DE">
        <w:rPr>
          <w:rFonts w:ascii="Times New Roman" w:hAnsi="Times New Roman"/>
        </w:rPr>
        <w:t xml:space="preserve">, the </w:t>
      </w:r>
      <w:r w:rsidR="00CD280E">
        <w:rPr>
          <w:rFonts w:ascii="Times New Roman" w:hAnsi="Times New Roman"/>
        </w:rPr>
        <w:t>equipment</w:t>
      </w:r>
      <w:r w:rsidRPr="005103DE">
        <w:rPr>
          <w:rFonts w:ascii="Times New Roman" w:hAnsi="Times New Roman"/>
        </w:rPr>
        <w:t xml:space="preserve"> was loaded with 20 mL of a reactant aqueous solution (0.1 </w:t>
      </w:r>
      <w:proofErr w:type="gramStart"/>
      <w:r w:rsidRPr="005103DE">
        <w:rPr>
          <w:rFonts w:ascii="Times New Roman" w:hAnsi="Times New Roman"/>
        </w:rPr>
        <w:t>mol.L</w:t>
      </w:r>
      <w:proofErr w:type="gramEnd"/>
      <w:r w:rsidRPr="0039244B">
        <w:rPr>
          <w:rFonts w:ascii="Times New Roman" w:hAnsi="Times New Roman"/>
          <w:vertAlign w:val="superscript"/>
        </w:rPr>
        <w:t>-1</w:t>
      </w:r>
      <w:r w:rsidRPr="005103DE">
        <w:rPr>
          <w:rFonts w:ascii="Times New Roman" w:hAnsi="Times New Roman"/>
        </w:rPr>
        <w:t xml:space="preserve">) and 150 mg of catalyst. The </w:t>
      </w:r>
      <w:r w:rsidR="00226161" w:rsidRPr="005103DE">
        <w:rPr>
          <w:rFonts w:ascii="Times New Roman" w:hAnsi="Times New Roman"/>
        </w:rPr>
        <w:t>reactor</w:t>
      </w:r>
      <w:r w:rsidRPr="005103DE">
        <w:rPr>
          <w:rFonts w:ascii="Times New Roman" w:hAnsi="Times New Roman"/>
        </w:rPr>
        <w:t xml:space="preserve"> was then pressurized</w:t>
      </w:r>
      <w:r w:rsidR="00EB626D">
        <w:rPr>
          <w:rFonts w:ascii="Times New Roman" w:hAnsi="Times New Roman"/>
        </w:rPr>
        <w:t xml:space="preserve"> </w:t>
      </w:r>
      <w:r w:rsidR="002D6C47">
        <w:rPr>
          <w:rFonts w:ascii="Times New Roman" w:hAnsi="Times New Roman"/>
        </w:rPr>
        <w:t xml:space="preserve">with </w:t>
      </w:r>
      <w:r w:rsidRPr="005103DE">
        <w:rPr>
          <w:rFonts w:ascii="Times New Roman" w:hAnsi="Times New Roman"/>
        </w:rPr>
        <w:t>pure H</w:t>
      </w:r>
      <w:r w:rsidRPr="005103DE">
        <w:rPr>
          <w:rFonts w:ascii="Times New Roman" w:hAnsi="Times New Roman"/>
          <w:vertAlign w:val="subscript"/>
        </w:rPr>
        <w:t>2</w:t>
      </w:r>
      <w:r w:rsidRPr="005103DE">
        <w:rPr>
          <w:rFonts w:ascii="Times New Roman" w:hAnsi="Times New Roman"/>
        </w:rPr>
        <w:t xml:space="preserve"> </w:t>
      </w:r>
      <w:r w:rsidR="002B5DD8" w:rsidRPr="005103DE">
        <w:rPr>
          <w:rFonts w:ascii="Times New Roman" w:hAnsi="Times New Roman"/>
        </w:rPr>
        <w:t>to</w:t>
      </w:r>
      <w:r w:rsidRPr="005103DE">
        <w:rPr>
          <w:rFonts w:ascii="Times New Roman" w:hAnsi="Times New Roman"/>
        </w:rPr>
        <w:t xml:space="preserve"> obtain </w:t>
      </w:r>
      <w:r w:rsidR="008700EA">
        <w:rPr>
          <w:rFonts w:ascii="Times New Roman" w:hAnsi="Times New Roman"/>
        </w:rPr>
        <w:t>reaction</w:t>
      </w:r>
      <w:r w:rsidRPr="005103DE">
        <w:rPr>
          <w:rFonts w:ascii="Times New Roman" w:hAnsi="Times New Roman"/>
        </w:rPr>
        <w:t xml:space="preserve"> pressure of 70 bar, according to the reaction temperature (130 – 170 ºC). The system was then inserted in thermal oil bath at the desired temperature. After the transient period, the </w:t>
      </w:r>
      <w:r w:rsidR="00642C52">
        <w:rPr>
          <w:rFonts w:ascii="Times New Roman" w:hAnsi="Times New Roman"/>
        </w:rPr>
        <w:t>reaction</w:t>
      </w:r>
      <w:r w:rsidRPr="005103DE">
        <w:rPr>
          <w:rFonts w:ascii="Times New Roman" w:hAnsi="Times New Roman"/>
        </w:rPr>
        <w:t xml:space="preserve"> was kept at this condition for 5h. Finally, the resulting mixture </w:t>
      </w:r>
      <w:r w:rsidR="00642C52">
        <w:rPr>
          <w:rFonts w:ascii="Times New Roman" w:hAnsi="Times New Roman"/>
        </w:rPr>
        <w:t xml:space="preserve">was </w:t>
      </w:r>
      <w:r w:rsidRPr="005103DE">
        <w:rPr>
          <w:rFonts w:ascii="Times New Roman" w:hAnsi="Times New Roman"/>
        </w:rPr>
        <w:t xml:space="preserve">analyzed by HPLC </w:t>
      </w:r>
      <w:r w:rsidR="005446DC">
        <w:rPr>
          <w:rFonts w:ascii="Times New Roman" w:hAnsi="Times New Roman"/>
        </w:rPr>
        <w:t>(</w:t>
      </w:r>
      <w:r w:rsidRPr="005103DE">
        <w:rPr>
          <w:rFonts w:ascii="Times New Roman" w:hAnsi="Times New Roman"/>
        </w:rPr>
        <w:t>Shimadzu) equipped with Refractive Index Detector (RID)</w:t>
      </w:r>
      <w:r w:rsidR="0063138D">
        <w:rPr>
          <w:rFonts w:ascii="Times New Roman" w:hAnsi="Times New Roman"/>
        </w:rPr>
        <w:t>, the usual analyses were performed with column oven at 65 ºC</w:t>
      </w:r>
      <w:r w:rsidRPr="005103DE">
        <w:rPr>
          <w:rFonts w:ascii="Times New Roman" w:hAnsi="Times New Roman"/>
        </w:rPr>
        <w:t>.</w:t>
      </w:r>
    </w:p>
    <w:p w14:paraId="3221508B" w14:textId="77777777" w:rsidR="000539F0" w:rsidRPr="005103DE" w:rsidRDefault="000539F0" w:rsidP="000539F0">
      <w:pPr>
        <w:pStyle w:val="TAMainText"/>
        <w:ind w:firstLine="0"/>
        <w:rPr>
          <w:rFonts w:ascii="Times New Roman" w:hAnsi="Times New Roman"/>
        </w:rPr>
      </w:pPr>
    </w:p>
    <w:p w14:paraId="136BD1AC" w14:textId="3A2B3DB8" w:rsidR="00EA4E1B" w:rsidRPr="005103DE" w:rsidRDefault="00EA4E1B" w:rsidP="00EA4E1B">
      <w:pPr>
        <w:pStyle w:val="Ttulo2"/>
        <w:rPr>
          <w:rFonts w:ascii="Helvetica" w:hAnsi="Helvetica" w:cs="Helvetica"/>
          <w:sz w:val="24"/>
          <w:szCs w:val="24"/>
          <w:lang w:val="en-US"/>
        </w:rPr>
      </w:pPr>
      <w:r w:rsidRPr="005103DE">
        <w:rPr>
          <w:rFonts w:ascii="Helvetica" w:hAnsi="Helvetica" w:cs="Helvetica"/>
          <w:sz w:val="24"/>
          <w:szCs w:val="24"/>
          <w:lang w:val="en-US"/>
        </w:rPr>
        <w:t xml:space="preserve">Results </w:t>
      </w:r>
      <w:r w:rsidR="00E64A28" w:rsidRPr="005103DE">
        <w:rPr>
          <w:rFonts w:ascii="Helvetica" w:hAnsi="Helvetica" w:cs="Helvetica"/>
          <w:sz w:val="24"/>
          <w:szCs w:val="24"/>
          <w:lang w:val="en-US"/>
        </w:rPr>
        <w:t>and</w:t>
      </w:r>
      <w:r w:rsidRPr="005103DE">
        <w:rPr>
          <w:rFonts w:ascii="Helvetica" w:hAnsi="Helvetica" w:cs="Helvetica"/>
          <w:sz w:val="24"/>
          <w:szCs w:val="24"/>
          <w:lang w:val="en-US"/>
        </w:rPr>
        <w:t xml:space="preserve"> Discuss</w:t>
      </w:r>
      <w:r w:rsidR="00E64A28" w:rsidRPr="005103DE">
        <w:rPr>
          <w:rFonts w:ascii="Helvetica" w:hAnsi="Helvetica" w:cs="Helvetica"/>
          <w:sz w:val="24"/>
          <w:szCs w:val="24"/>
          <w:lang w:val="en-US"/>
        </w:rPr>
        <w:t>i</w:t>
      </w:r>
      <w:r w:rsidRPr="005103DE">
        <w:rPr>
          <w:rFonts w:ascii="Helvetica" w:hAnsi="Helvetica" w:cs="Helvetica"/>
          <w:sz w:val="24"/>
          <w:szCs w:val="24"/>
          <w:lang w:val="en-US"/>
        </w:rPr>
        <w:t>o</w:t>
      </w:r>
      <w:r w:rsidR="00E64A28" w:rsidRPr="005103DE">
        <w:rPr>
          <w:rFonts w:ascii="Helvetica" w:hAnsi="Helvetica" w:cs="Helvetica"/>
          <w:sz w:val="24"/>
          <w:szCs w:val="24"/>
          <w:lang w:val="en-US"/>
        </w:rPr>
        <w:t>n</w:t>
      </w:r>
    </w:p>
    <w:p w14:paraId="6015C72A" w14:textId="47BE8D1E" w:rsidR="003245E1" w:rsidRPr="005103DE" w:rsidRDefault="003245E1" w:rsidP="003245E1">
      <w:pPr>
        <w:pStyle w:val="TAMainText"/>
        <w:ind w:firstLine="0"/>
        <w:rPr>
          <w:rFonts w:ascii="Times New Roman" w:hAnsi="Times New Roman"/>
          <w:i/>
          <w:iCs/>
        </w:rPr>
      </w:pPr>
      <w:r w:rsidRPr="005103DE">
        <w:rPr>
          <w:rFonts w:ascii="Times New Roman" w:hAnsi="Times New Roman"/>
          <w:i/>
          <w:iCs/>
        </w:rPr>
        <w:t>Characterization</w:t>
      </w:r>
    </w:p>
    <w:p w14:paraId="307595D3" w14:textId="1977EB36" w:rsidR="00E038AF" w:rsidRDefault="00A56712" w:rsidP="00EA4E1B">
      <w:pPr>
        <w:pStyle w:val="TAMainText"/>
        <w:ind w:firstLine="187"/>
        <w:rPr>
          <w:rFonts w:ascii="Times New Roman" w:hAnsi="Times New Roman"/>
        </w:rPr>
      </w:pPr>
      <w:r>
        <w:rPr>
          <w:rFonts w:ascii="Times New Roman" w:hAnsi="Times New Roman"/>
        </w:rPr>
        <w:t xml:space="preserve">Phase identification </w:t>
      </w:r>
      <w:r w:rsidR="00D72C4C">
        <w:rPr>
          <w:rFonts w:ascii="Times New Roman" w:hAnsi="Times New Roman"/>
        </w:rPr>
        <w:t>and chemical</w:t>
      </w:r>
      <w:r>
        <w:rPr>
          <w:rFonts w:ascii="Times New Roman" w:hAnsi="Times New Roman"/>
        </w:rPr>
        <w:t xml:space="preserve"> composition analyses were performed through XRD and XRF, respectively, the results are presented in Figure 1.</w:t>
      </w:r>
      <w:r w:rsidR="007D5AD2">
        <w:rPr>
          <w:rFonts w:ascii="Times New Roman" w:hAnsi="Times New Roman"/>
        </w:rPr>
        <w:t xml:space="preserve"> TiO</w:t>
      </w:r>
      <w:r w:rsidR="007D5AD2">
        <w:rPr>
          <w:rFonts w:ascii="Times New Roman" w:hAnsi="Times New Roman"/>
          <w:vertAlign w:val="subscript"/>
        </w:rPr>
        <w:t>2</w:t>
      </w:r>
      <w:r w:rsidR="007D5AD2">
        <w:rPr>
          <w:rFonts w:ascii="Times New Roman" w:hAnsi="Times New Roman"/>
        </w:rPr>
        <w:t xml:space="preserve"> presents high </w:t>
      </w:r>
      <w:r w:rsidR="007D5AD2">
        <w:rPr>
          <w:rFonts w:ascii="Times New Roman" w:hAnsi="Times New Roman"/>
        </w:rPr>
        <w:t>crystallinity and contains the Anatase and Rutile phases.</w:t>
      </w:r>
      <w:r w:rsidR="005103DE" w:rsidRPr="005F6DC1">
        <w:rPr>
          <w:rFonts w:ascii="Times New Roman" w:hAnsi="Times New Roman"/>
        </w:rPr>
        <w:t xml:space="preserve"> </w:t>
      </w:r>
      <w:r w:rsidR="009E715E">
        <w:rPr>
          <w:rFonts w:ascii="Times New Roman" w:hAnsi="Times New Roman"/>
        </w:rPr>
        <w:t>Incorporating Ru on TiO</w:t>
      </w:r>
      <w:r w:rsidR="009E715E">
        <w:rPr>
          <w:rFonts w:ascii="Times New Roman" w:hAnsi="Times New Roman"/>
          <w:vertAlign w:val="subscript"/>
        </w:rPr>
        <w:t>2</w:t>
      </w:r>
      <w:r w:rsidR="009E715E">
        <w:rPr>
          <w:rFonts w:ascii="Times New Roman" w:hAnsi="Times New Roman"/>
        </w:rPr>
        <w:t xml:space="preserve"> did not cause any observable changes in the diffractogram</w:t>
      </w:r>
      <w:r w:rsidR="002066D6">
        <w:rPr>
          <w:rFonts w:ascii="Times New Roman" w:hAnsi="Times New Roman"/>
        </w:rPr>
        <w:t>,</w:t>
      </w:r>
      <w:r w:rsidR="001B42B0">
        <w:rPr>
          <w:rFonts w:ascii="Times New Roman" w:hAnsi="Times New Roman"/>
        </w:rPr>
        <w:t xml:space="preserve"> regardless of Ru </w:t>
      </w:r>
      <w:r w:rsidR="002F3E4F">
        <w:rPr>
          <w:rFonts w:ascii="Times New Roman" w:hAnsi="Times New Roman"/>
        </w:rPr>
        <w:t>amount</w:t>
      </w:r>
      <w:r w:rsidR="001B42B0">
        <w:rPr>
          <w:rFonts w:ascii="Times New Roman" w:hAnsi="Times New Roman"/>
        </w:rPr>
        <w:t>,</w:t>
      </w:r>
      <w:r w:rsidR="002066D6">
        <w:rPr>
          <w:rFonts w:ascii="Times New Roman" w:hAnsi="Times New Roman"/>
        </w:rPr>
        <w:t xml:space="preserve"> which suggest</w:t>
      </w:r>
      <w:r w:rsidR="0043567B">
        <w:rPr>
          <w:rFonts w:ascii="Times New Roman" w:hAnsi="Times New Roman"/>
        </w:rPr>
        <w:t>s</w:t>
      </w:r>
      <w:r w:rsidR="002066D6">
        <w:rPr>
          <w:rFonts w:ascii="Times New Roman" w:hAnsi="Times New Roman"/>
        </w:rPr>
        <w:t xml:space="preserve"> highly dispersed nanoparticles, or simply the crystalline lines of Rutile overlap Ru peaks.</w:t>
      </w:r>
      <w:r w:rsidR="00BD27E2">
        <w:rPr>
          <w:rFonts w:ascii="Times New Roman" w:hAnsi="Times New Roman"/>
        </w:rPr>
        <w:t xml:space="preserve"> The Ru/C diffractogram is characteristic of activated carbon, with no peaks attributable to Ru</w:t>
      </w:r>
      <w:r w:rsidR="002E6E6E">
        <w:rPr>
          <w:rFonts w:ascii="Times New Roman" w:hAnsi="Times New Roman"/>
        </w:rPr>
        <w:t xml:space="preserve"> as well</w:t>
      </w:r>
      <w:r w:rsidR="00BD27E2">
        <w:rPr>
          <w:rFonts w:ascii="Times New Roman" w:hAnsi="Times New Roman"/>
        </w:rPr>
        <w:t>.</w:t>
      </w:r>
      <w:r w:rsidR="007D5AD2">
        <w:rPr>
          <w:rFonts w:ascii="Times New Roman" w:hAnsi="Times New Roman"/>
        </w:rPr>
        <w:t xml:space="preserve"> Conversely, metallic Ru (2θ = 43.5º) was identified </w:t>
      </w:r>
      <w:r w:rsidR="003D1121">
        <w:rPr>
          <w:rFonts w:ascii="Times New Roman" w:hAnsi="Times New Roman"/>
        </w:rPr>
        <w:t>on 0.2%Ru/SiO</w:t>
      </w:r>
      <w:r w:rsidR="003D1121">
        <w:rPr>
          <w:rFonts w:ascii="Times New Roman" w:hAnsi="Times New Roman"/>
          <w:vertAlign w:val="subscript"/>
        </w:rPr>
        <w:t>2</w:t>
      </w:r>
      <w:r w:rsidR="001B42B0">
        <w:rPr>
          <w:rFonts w:ascii="Times New Roman" w:hAnsi="Times New Roman"/>
        </w:rPr>
        <w:t xml:space="preserve">, </w:t>
      </w:r>
      <w:r w:rsidR="00E30F56">
        <w:rPr>
          <w:rFonts w:ascii="Times New Roman" w:hAnsi="Times New Roman"/>
        </w:rPr>
        <w:t>indicating larger Ru particle size than on TiO</w:t>
      </w:r>
      <w:r w:rsidR="00E30F56">
        <w:rPr>
          <w:rFonts w:ascii="Times New Roman" w:hAnsi="Times New Roman"/>
          <w:vertAlign w:val="subscript"/>
        </w:rPr>
        <w:t>2</w:t>
      </w:r>
      <w:r w:rsidR="00E30F56">
        <w:rPr>
          <w:rFonts w:ascii="Times New Roman" w:hAnsi="Times New Roman"/>
        </w:rPr>
        <w:t xml:space="preserve">, </w:t>
      </w:r>
      <w:r w:rsidR="001B42B0">
        <w:rPr>
          <w:rFonts w:ascii="Times New Roman" w:hAnsi="Times New Roman"/>
        </w:rPr>
        <w:t>possibly caused by lower specific surface area of SiO</w:t>
      </w:r>
      <w:r w:rsidR="001B42B0">
        <w:rPr>
          <w:rFonts w:ascii="Times New Roman" w:hAnsi="Times New Roman"/>
          <w:vertAlign w:val="subscript"/>
        </w:rPr>
        <w:t>2</w:t>
      </w:r>
      <w:r w:rsidR="001B42B0">
        <w:rPr>
          <w:rFonts w:ascii="Times New Roman" w:hAnsi="Times New Roman"/>
        </w:rPr>
        <w:t>, however</w:t>
      </w:r>
      <w:r w:rsidR="002F3E4F">
        <w:rPr>
          <w:rFonts w:ascii="Times New Roman" w:hAnsi="Times New Roman"/>
        </w:rPr>
        <w:t>, N</w:t>
      </w:r>
      <w:r w:rsidR="002F3E4F">
        <w:rPr>
          <w:rFonts w:ascii="Times New Roman" w:hAnsi="Times New Roman"/>
          <w:vertAlign w:val="subscript"/>
        </w:rPr>
        <w:t>2</w:t>
      </w:r>
      <w:r w:rsidR="002F3E4F">
        <w:rPr>
          <w:rFonts w:ascii="Times New Roman" w:hAnsi="Times New Roman"/>
        </w:rPr>
        <w:t xml:space="preserve"> physisorption analyses are yet to be performed to confirm the effect.</w:t>
      </w:r>
    </w:p>
    <w:p w14:paraId="3D603E90" w14:textId="266294B9" w:rsidR="00D433EE" w:rsidRPr="00D433EE" w:rsidRDefault="00D433EE" w:rsidP="00D433EE">
      <w:pPr>
        <w:spacing w:line="240" w:lineRule="auto"/>
        <w:ind w:firstLine="284"/>
        <w:jc w:val="both"/>
        <w:rPr>
          <w:rFonts w:ascii="Times New Roman" w:hAnsi="Times New Roman" w:cs="Times New Roman"/>
          <w:sz w:val="20"/>
          <w:szCs w:val="20"/>
          <w:lang w:val="en-US" w:eastAsia="pt-BR"/>
        </w:rPr>
      </w:pPr>
      <w:r>
        <w:rPr>
          <w:rFonts w:ascii="Times New Roman" w:hAnsi="Times New Roman" w:cs="Times New Roman"/>
          <w:sz w:val="20"/>
          <w:szCs w:val="20"/>
          <w:lang w:val="en-US" w:eastAsia="pt-BR"/>
        </w:rPr>
        <w:t>No lines related to Ru oxides were detected, pointing that reduction occurred successfully, and the metallic phase is stable at storage conditions.</w:t>
      </w:r>
    </w:p>
    <w:p w14:paraId="72248ED4" w14:textId="27F42EE9" w:rsidR="00F44E42" w:rsidRDefault="002766AA" w:rsidP="00EA4E1B">
      <w:pPr>
        <w:jc w:val="center"/>
        <w:rPr>
          <w:rFonts w:ascii="Times New Roman" w:hAnsi="Times New Roman" w:cs="Times New Roman"/>
        </w:rPr>
      </w:pPr>
      <w:r>
        <w:rPr>
          <w:rFonts w:ascii="Times New Roman" w:hAnsi="Times New Roman" w:cs="Times New Roman"/>
          <w:noProof/>
        </w:rPr>
        <w:drawing>
          <wp:inline distT="0" distB="0" distL="0" distR="0" wp14:anchorId="650D9478" wp14:editId="162336CD">
            <wp:extent cx="2700000" cy="2368163"/>
            <wp:effectExtent l="0" t="0" r="5715" b="0"/>
            <wp:docPr id="18" name="Imagem 18"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8" descr="Gráfico, Histograma&#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l="10947" t="9340" r="12421" b="3021"/>
                    <a:stretch>
                      <a:fillRect/>
                    </a:stretch>
                  </pic:blipFill>
                  <pic:spPr bwMode="auto">
                    <a:xfrm>
                      <a:off x="0" y="0"/>
                      <a:ext cx="2700000" cy="2368163"/>
                    </a:xfrm>
                    <a:prstGeom prst="rect">
                      <a:avLst/>
                    </a:prstGeom>
                    <a:noFill/>
                    <a:ln>
                      <a:noFill/>
                    </a:ln>
                  </pic:spPr>
                </pic:pic>
              </a:graphicData>
            </a:graphic>
          </wp:inline>
        </w:drawing>
      </w:r>
    </w:p>
    <w:p w14:paraId="699FBE71" w14:textId="68252E84" w:rsidR="00BB62AD" w:rsidRDefault="00836210" w:rsidP="00E62406">
      <w:pPr>
        <w:pStyle w:val="VAFigureCaption"/>
      </w:pPr>
      <w:r w:rsidRPr="005103DE">
        <w:rPr>
          <w:b/>
          <w:bCs/>
        </w:rPr>
        <w:t xml:space="preserve">Figure 1. </w:t>
      </w:r>
      <w:r w:rsidR="005103DE">
        <w:rPr>
          <w:b/>
          <w:bCs/>
        </w:rPr>
        <w:t xml:space="preserve"> </w:t>
      </w:r>
      <w:r w:rsidR="00D72C4C">
        <w:t>XRD patterns</w:t>
      </w:r>
      <w:r w:rsidRPr="005103DE">
        <w:t xml:space="preserve"> obtained for </w:t>
      </w:r>
      <w:r w:rsidR="0037098F">
        <w:t>the</w:t>
      </w:r>
      <w:r w:rsidRPr="005103DE">
        <w:t xml:space="preserve"> samples </w:t>
      </w:r>
      <w:r w:rsidR="00D72C4C">
        <w:t xml:space="preserve">and chemical composition </w:t>
      </w:r>
      <w:r w:rsidR="00006858">
        <w:t>estimated by XRF</w:t>
      </w:r>
      <w:r w:rsidR="00D72C4C">
        <w:t>.</w:t>
      </w:r>
    </w:p>
    <w:p w14:paraId="5B5D1286" w14:textId="77777777" w:rsidR="00E62406" w:rsidRPr="00E62406" w:rsidRDefault="00E62406" w:rsidP="00E62406">
      <w:pPr>
        <w:rPr>
          <w:lang w:val="en-US" w:eastAsia="pt-BR"/>
        </w:rPr>
      </w:pPr>
    </w:p>
    <w:p w14:paraId="0115A87E" w14:textId="6CE16C1D" w:rsidR="002766AA" w:rsidRPr="00122193" w:rsidRDefault="002766AA" w:rsidP="002766AA">
      <w:pPr>
        <w:pStyle w:val="TAMainText"/>
        <w:ind w:firstLine="0"/>
        <w:rPr>
          <w:rFonts w:ascii="Times New Roman" w:hAnsi="Times New Roman"/>
          <w:i/>
          <w:iCs/>
        </w:rPr>
      </w:pPr>
      <w:r w:rsidRPr="00122193">
        <w:rPr>
          <w:rFonts w:ascii="Times New Roman" w:hAnsi="Times New Roman"/>
          <w:i/>
          <w:iCs/>
        </w:rPr>
        <w:t xml:space="preserve">Effect of temperature, </w:t>
      </w:r>
      <w:r w:rsidR="0057432D" w:rsidRPr="00122193">
        <w:rPr>
          <w:rFonts w:ascii="Times New Roman" w:hAnsi="Times New Roman"/>
          <w:i/>
          <w:iCs/>
        </w:rPr>
        <w:t>support,</w:t>
      </w:r>
      <w:r w:rsidRPr="00122193">
        <w:rPr>
          <w:rFonts w:ascii="Times New Roman" w:hAnsi="Times New Roman"/>
          <w:i/>
          <w:iCs/>
        </w:rPr>
        <w:t xml:space="preserve"> a</w:t>
      </w:r>
      <w:r>
        <w:rPr>
          <w:rFonts w:ascii="Times New Roman" w:hAnsi="Times New Roman"/>
          <w:i/>
          <w:iCs/>
        </w:rPr>
        <w:t>nd Ru content</w:t>
      </w:r>
    </w:p>
    <w:p w14:paraId="53E61559" w14:textId="3812ABD6" w:rsidR="004B7CC0" w:rsidRDefault="002766AA" w:rsidP="002766AA">
      <w:pPr>
        <w:pStyle w:val="TAMainText"/>
        <w:ind w:firstLine="187"/>
        <w:rPr>
          <w:rFonts w:ascii="Times New Roman" w:hAnsi="Times New Roman"/>
        </w:rPr>
      </w:pPr>
      <w:r w:rsidRPr="00454F7E">
        <w:rPr>
          <w:rFonts w:ascii="Times New Roman" w:hAnsi="Times New Roman"/>
        </w:rPr>
        <w:t>Initially, the effect of r</w:t>
      </w:r>
      <w:r>
        <w:rPr>
          <w:rFonts w:ascii="Times New Roman" w:hAnsi="Times New Roman"/>
        </w:rPr>
        <w:t>eaction temperature on HBA conversion and 1,3-BDO selectivity and yield was evaluated with the commercial 5.0%Ru/C catalyst, the results are exhibited in Figure 2.</w:t>
      </w:r>
      <w:r w:rsidR="00EF1F32">
        <w:rPr>
          <w:rFonts w:ascii="Times New Roman" w:hAnsi="Times New Roman"/>
        </w:rPr>
        <w:t xml:space="preserve"> </w:t>
      </w:r>
      <w:r w:rsidR="00BA7EDE">
        <w:rPr>
          <w:rFonts w:ascii="Times New Roman" w:hAnsi="Times New Roman"/>
        </w:rPr>
        <w:t>Increasing reaction temperature had a positive effect on HBA conversion, as expected, however, it was observed drastic 1,3-BDO selectivity drop</w:t>
      </w:r>
      <w:r w:rsidR="001603EE">
        <w:rPr>
          <w:rFonts w:ascii="Times New Roman" w:hAnsi="Times New Roman"/>
        </w:rPr>
        <w:t>, resulting in poor yields.</w:t>
      </w:r>
      <w:r w:rsidR="00F470F6">
        <w:rPr>
          <w:rFonts w:ascii="Times New Roman" w:hAnsi="Times New Roman"/>
        </w:rPr>
        <w:t xml:space="preserve"> </w:t>
      </w:r>
      <w:r w:rsidR="00F72634">
        <w:rPr>
          <w:rFonts w:ascii="Times New Roman" w:hAnsi="Times New Roman"/>
        </w:rPr>
        <w:t>In all experiments, the main subproducts detected were 2-Propanol and 2-Butanol</w:t>
      </w:r>
      <w:r w:rsidR="00CE1425">
        <w:rPr>
          <w:rFonts w:ascii="Times New Roman" w:hAnsi="Times New Roman"/>
        </w:rPr>
        <w:t>, with concentration increasing with temperature</w:t>
      </w:r>
      <w:r w:rsidR="00F72634">
        <w:rPr>
          <w:rFonts w:ascii="Times New Roman" w:hAnsi="Times New Roman"/>
        </w:rPr>
        <w:t xml:space="preserve">. </w:t>
      </w:r>
      <w:r w:rsidR="006F007B">
        <w:rPr>
          <w:rFonts w:ascii="Times New Roman" w:hAnsi="Times New Roman"/>
        </w:rPr>
        <w:t>2-Butanol is known to be formed through 1,3-BDO dehydration</w:t>
      </w:r>
      <w:r w:rsidR="00021D37">
        <w:rPr>
          <w:rFonts w:ascii="Times New Roman" w:hAnsi="Times New Roman"/>
        </w:rPr>
        <w:t xml:space="preserve"> (</w:t>
      </w:r>
      <w:r w:rsidR="00E8329D">
        <w:rPr>
          <w:rFonts w:ascii="Times New Roman" w:hAnsi="Times New Roman"/>
        </w:rPr>
        <w:t>6</w:t>
      </w:r>
      <w:r w:rsidR="00021D37">
        <w:rPr>
          <w:rFonts w:ascii="Times New Roman" w:hAnsi="Times New Roman"/>
        </w:rPr>
        <w:t>)</w:t>
      </w:r>
      <w:r w:rsidR="006F007B">
        <w:rPr>
          <w:rFonts w:ascii="Times New Roman" w:hAnsi="Times New Roman"/>
        </w:rPr>
        <w:t xml:space="preserve">, </w:t>
      </w:r>
      <w:r w:rsidR="006D799A">
        <w:rPr>
          <w:rFonts w:ascii="Times New Roman" w:hAnsi="Times New Roman"/>
        </w:rPr>
        <w:t xml:space="preserve">and 2-Propanol </w:t>
      </w:r>
      <w:r w:rsidR="00F15396">
        <w:rPr>
          <w:rFonts w:ascii="Times New Roman" w:hAnsi="Times New Roman"/>
        </w:rPr>
        <w:t>was detected in small amounts in the conversion of 1,3-BDO over rare earth oxides (</w:t>
      </w:r>
      <w:r w:rsidR="00E8329D">
        <w:rPr>
          <w:rFonts w:ascii="Times New Roman" w:hAnsi="Times New Roman"/>
        </w:rPr>
        <w:t>7</w:t>
      </w:r>
      <w:r w:rsidR="00F15396">
        <w:rPr>
          <w:rFonts w:ascii="Times New Roman" w:hAnsi="Times New Roman"/>
        </w:rPr>
        <w:t>), in small amounts and at much higher temperature</w:t>
      </w:r>
      <w:r w:rsidR="006006AC">
        <w:rPr>
          <w:rFonts w:ascii="Times New Roman" w:hAnsi="Times New Roman"/>
        </w:rPr>
        <w:t>s</w:t>
      </w:r>
      <w:r w:rsidR="00F15396">
        <w:rPr>
          <w:rFonts w:ascii="Times New Roman" w:hAnsi="Times New Roman"/>
        </w:rPr>
        <w:t xml:space="preserve"> (</w:t>
      </w:r>
      <w:r w:rsidR="006006AC">
        <w:rPr>
          <w:rFonts w:ascii="Times New Roman" w:hAnsi="Times New Roman"/>
        </w:rPr>
        <w:t>~</w:t>
      </w:r>
      <w:r w:rsidR="00F15396">
        <w:rPr>
          <w:rFonts w:ascii="Times New Roman" w:hAnsi="Times New Roman"/>
        </w:rPr>
        <w:t xml:space="preserve">300 ºC) though. </w:t>
      </w:r>
    </w:p>
    <w:p w14:paraId="59D9F04C" w14:textId="1A373B2E" w:rsidR="000A5D53" w:rsidRDefault="00F15396" w:rsidP="002766AA">
      <w:pPr>
        <w:pStyle w:val="TAMainText"/>
        <w:ind w:firstLine="187"/>
        <w:rPr>
          <w:rFonts w:ascii="Times New Roman" w:hAnsi="Times New Roman"/>
        </w:rPr>
      </w:pPr>
      <w:r>
        <w:rPr>
          <w:rFonts w:ascii="Times New Roman" w:hAnsi="Times New Roman"/>
        </w:rPr>
        <w:t xml:space="preserve">The results indicate that 1,3-BDO is </w:t>
      </w:r>
      <w:r w:rsidR="000A5D53">
        <w:rPr>
          <w:rFonts w:ascii="Times New Roman" w:hAnsi="Times New Roman"/>
        </w:rPr>
        <w:t>produced but</w:t>
      </w:r>
      <w:r>
        <w:rPr>
          <w:rFonts w:ascii="Times New Roman" w:hAnsi="Times New Roman"/>
        </w:rPr>
        <w:t xml:space="preserve"> undergoes </w:t>
      </w:r>
      <w:r w:rsidR="003909BD">
        <w:rPr>
          <w:rFonts w:ascii="Times New Roman" w:hAnsi="Times New Roman"/>
        </w:rPr>
        <w:t>side reactions</w:t>
      </w:r>
      <w:r w:rsidR="00E00BCC">
        <w:rPr>
          <w:rFonts w:ascii="Times New Roman" w:hAnsi="Times New Roman"/>
        </w:rPr>
        <w:t xml:space="preserve"> that are promoted by temperature increase</w:t>
      </w:r>
      <w:r w:rsidR="00FD7410">
        <w:rPr>
          <w:rFonts w:ascii="Times New Roman" w:hAnsi="Times New Roman"/>
        </w:rPr>
        <w:t>, thus causing the selectivity loss observed.</w:t>
      </w:r>
      <w:r w:rsidR="00F470F6">
        <w:rPr>
          <w:rFonts w:ascii="Times New Roman" w:hAnsi="Times New Roman"/>
        </w:rPr>
        <w:t xml:space="preserve"> At 170 ºC, almost no 1,3-BDO was detected, hence </w:t>
      </w:r>
      <w:r w:rsidR="00872D1C">
        <w:rPr>
          <w:rFonts w:ascii="Times New Roman" w:hAnsi="Times New Roman"/>
        </w:rPr>
        <w:t>this condition</w:t>
      </w:r>
      <w:r w:rsidR="00F470F6">
        <w:rPr>
          <w:rFonts w:ascii="Times New Roman" w:hAnsi="Times New Roman"/>
        </w:rPr>
        <w:t xml:space="preserve"> may not be suited for the reaction.</w:t>
      </w:r>
      <w:r w:rsidR="000A5D53">
        <w:rPr>
          <w:rFonts w:ascii="Times New Roman" w:hAnsi="Times New Roman"/>
        </w:rPr>
        <w:t xml:space="preserve"> HBA may have also </w:t>
      </w:r>
      <w:r w:rsidR="000A5D53">
        <w:rPr>
          <w:rFonts w:ascii="Times New Roman" w:hAnsi="Times New Roman"/>
        </w:rPr>
        <w:lastRenderedPageBreak/>
        <w:t>undergone side reaction</w:t>
      </w:r>
      <w:r w:rsidR="001518F1">
        <w:rPr>
          <w:rFonts w:ascii="Times New Roman" w:hAnsi="Times New Roman"/>
        </w:rPr>
        <w:t>, but the mechanisms are unknown.</w:t>
      </w:r>
      <w:r w:rsidR="00F470F6">
        <w:rPr>
          <w:rFonts w:ascii="Times New Roman" w:hAnsi="Times New Roman"/>
        </w:rPr>
        <w:t xml:space="preserve"> </w:t>
      </w:r>
      <w:r w:rsidR="00034309">
        <w:rPr>
          <w:rFonts w:ascii="Times New Roman" w:hAnsi="Times New Roman"/>
        </w:rPr>
        <w:t>With an initial knowledge of suitable reaction conditions, the performance of the synthesized catalysts was evaluated.</w:t>
      </w:r>
    </w:p>
    <w:p w14:paraId="78B955E2" w14:textId="0FBE228A" w:rsidR="00095D62" w:rsidRDefault="00095D62" w:rsidP="00095D62">
      <w:pPr>
        <w:pStyle w:val="TAMainText"/>
        <w:ind w:firstLine="187"/>
        <w:rPr>
          <w:rFonts w:ascii="Times New Roman" w:hAnsi="Times New Roman"/>
        </w:rPr>
      </w:pPr>
      <w:r>
        <w:rPr>
          <w:rFonts w:ascii="Times New Roman" w:hAnsi="Times New Roman"/>
        </w:rPr>
        <w:t>The HBA conversion (X</w:t>
      </w:r>
      <w:r>
        <w:rPr>
          <w:rFonts w:ascii="Times New Roman" w:hAnsi="Times New Roman"/>
          <w:vertAlign w:val="subscript"/>
        </w:rPr>
        <w:t>HBA</w:t>
      </w:r>
      <w:r>
        <w:rPr>
          <w:rFonts w:ascii="Times New Roman" w:hAnsi="Times New Roman"/>
        </w:rPr>
        <w:t>) and 1,3-BDO selectivity (S</w:t>
      </w:r>
      <w:r>
        <w:rPr>
          <w:rFonts w:ascii="Times New Roman" w:hAnsi="Times New Roman"/>
          <w:vertAlign w:val="subscript"/>
        </w:rPr>
        <w:t>1,3-BDO</w:t>
      </w:r>
      <w:r>
        <w:rPr>
          <w:rFonts w:ascii="Times New Roman" w:hAnsi="Times New Roman"/>
        </w:rPr>
        <w:t>) obtained with the Ru/TiO</w:t>
      </w:r>
      <w:r>
        <w:rPr>
          <w:rFonts w:ascii="Times New Roman" w:hAnsi="Times New Roman"/>
          <w:vertAlign w:val="subscript"/>
        </w:rPr>
        <w:t>2</w:t>
      </w:r>
      <w:r>
        <w:rPr>
          <w:rFonts w:ascii="Times New Roman" w:hAnsi="Times New Roman"/>
        </w:rPr>
        <w:t xml:space="preserve"> and Ru/SiO</w:t>
      </w:r>
      <w:r>
        <w:rPr>
          <w:rFonts w:ascii="Times New Roman" w:hAnsi="Times New Roman"/>
          <w:vertAlign w:val="subscript"/>
        </w:rPr>
        <w:t>2</w:t>
      </w:r>
      <w:r>
        <w:rPr>
          <w:rFonts w:ascii="Times New Roman" w:hAnsi="Times New Roman"/>
        </w:rPr>
        <w:t xml:space="preserve"> catalysts highlight the effect of Ru content and nature of support</w:t>
      </w:r>
      <w:r w:rsidR="002177F8">
        <w:rPr>
          <w:rFonts w:ascii="Times New Roman" w:hAnsi="Times New Roman"/>
        </w:rPr>
        <w:t>.</w:t>
      </w:r>
      <w:r>
        <w:rPr>
          <w:rFonts w:ascii="Times New Roman" w:hAnsi="Times New Roman"/>
        </w:rPr>
        <w:t xml:space="preserve"> </w:t>
      </w:r>
      <w:r w:rsidR="002177F8">
        <w:rPr>
          <w:rFonts w:ascii="Times New Roman" w:hAnsi="Times New Roman"/>
        </w:rPr>
        <w:t>T</w:t>
      </w:r>
      <w:r>
        <w:rPr>
          <w:rFonts w:ascii="Times New Roman" w:hAnsi="Times New Roman"/>
        </w:rPr>
        <w:t>he results are presented in Figure 3. The TiO</w:t>
      </w:r>
      <w:r>
        <w:rPr>
          <w:rFonts w:ascii="Times New Roman" w:hAnsi="Times New Roman"/>
          <w:vertAlign w:val="subscript"/>
        </w:rPr>
        <w:t>2</w:t>
      </w:r>
      <w:r>
        <w:rPr>
          <w:rFonts w:ascii="Times New Roman" w:hAnsi="Times New Roman"/>
        </w:rPr>
        <w:t xml:space="preserve"> supported materials presented increasing X</w:t>
      </w:r>
      <w:r>
        <w:rPr>
          <w:rFonts w:ascii="Times New Roman" w:hAnsi="Times New Roman"/>
          <w:vertAlign w:val="subscript"/>
        </w:rPr>
        <w:t>HBA</w:t>
      </w:r>
      <w:r>
        <w:rPr>
          <w:rFonts w:ascii="Times New Roman" w:hAnsi="Times New Roman"/>
        </w:rPr>
        <w:t xml:space="preserve"> and S</w:t>
      </w:r>
      <w:r>
        <w:rPr>
          <w:rFonts w:ascii="Times New Roman" w:hAnsi="Times New Roman"/>
          <w:vertAlign w:val="subscript"/>
        </w:rPr>
        <w:t>1,3-BDO</w:t>
      </w:r>
      <w:r>
        <w:rPr>
          <w:rFonts w:ascii="Times New Roman" w:hAnsi="Times New Roman"/>
        </w:rPr>
        <w:t xml:space="preserve"> with Ru content, reaching 17.1 and 73.8% with the 1.7%Ru/TiO</w:t>
      </w:r>
      <w:r>
        <w:rPr>
          <w:rFonts w:ascii="Times New Roman" w:hAnsi="Times New Roman"/>
          <w:vertAlign w:val="subscript"/>
        </w:rPr>
        <w:t>2</w:t>
      </w:r>
      <w:r>
        <w:rPr>
          <w:rFonts w:ascii="Times New Roman" w:hAnsi="Times New Roman"/>
        </w:rPr>
        <w:t xml:space="preserve"> sample, respectively at 130 ºC (Fig. 3a). The Ru/SiO</w:t>
      </w:r>
      <w:r>
        <w:rPr>
          <w:rFonts w:ascii="Times New Roman" w:hAnsi="Times New Roman"/>
          <w:vertAlign w:val="subscript"/>
        </w:rPr>
        <w:t>2</w:t>
      </w:r>
      <w:r>
        <w:rPr>
          <w:rFonts w:ascii="Times New Roman" w:hAnsi="Times New Roman"/>
        </w:rPr>
        <w:t xml:space="preserve"> catalyst showed similar activity to 1.7%Ru/TiO</w:t>
      </w:r>
      <w:r>
        <w:rPr>
          <w:rFonts w:ascii="Times New Roman" w:hAnsi="Times New Roman"/>
          <w:vertAlign w:val="subscript"/>
        </w:rPr>
        <w:t>2</w:t>
      </w:r>
      <w:r>
        <w:rPr>
          <w:rFonts w:ascii="Times New Roman" w:hAnsi="Times New Roman"/>
        </w:rPr>
        <w:t xml:space="preserve">, even with much lower Ru content, even though it was less selective towards 1,3-BDO. </w:t>
      </w:r>
    </w:p>
    <w:p w14:paraId="36ED9C20" w14:textId="3ED65505" w:rsidR="002766AA" w:rsidRDefault="002766AA" w:rsidP="002766AA">
      <w:pPr>
        <w:pStyle w:val="TAMainText"/>
        <w:ind w:firstLine="187"/>
        <w:rPr>
          <w:rFonts w:ascii="Times New Roman" w:hAnsi="Times New Roman"/>
        </w:rPr>
      </w:pPr>
    </w:p>
    <w:p w14:paraId="73F12C35" w14:textId="77777777" w:rsidR="008C13C8" w:rsidRDefault="008C13C8" w:rsidP="008C13C8">
      <w:pPr>
        <w:jc w:val="center"/>
        <w:rPr>
          <w:rFonts w:ascii="Times New Roman" w:hAnsi="Times New Roman" w:cs="Times New Roman"/>
        </w:rPr>
      </w:pPr>
      <w:r w:rsidRPr="005F6DC1">
        <w:rPr>
          <w:noProof/>
        </w:rPr>
        <w:drawing>
          <wp:inline distT="0" distB="0" distL="0" distR="0" wp14:anchorId="782669F0" wp14:editId="0561F5CB">
            <wp:extent cx="2340000" cy="188768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a:extLst>
                        <a:ext uri="{28A0092B-C50C-407E-A947-70E740481C1C}">
                          <a14:useLocalDpi xmlns:a14="http://schemas.microsoft.com/office/drawing/2010/main" val="0"/>
                        </a:ext>
                      </a:extLst>
                    </a:blip>
                    <a:srcRect l="6291" t="9333" r="12333" b="4749"/>
                    <a:stretch/>
                  </pic:blipFill>
                  <pic:spPr bwMode="auto">
                    <a:xfrm>
                      <a:off x="0" y="0"/>
                      <a:ext cx="2340000" cy="1887687"/>
                    </a:xfrm>
                    <a:prstGeom prst="rect">
                      <a:avLst/>
                    </a:prstGeom>
                    <a:noFill/>
                    <a:ln>
                      <a:noFill/>
                    </a:ln>
                    <a:extLst>
                      <a:ext uri="{53640926-AAD7-44D8-BBD7-CCE9431645EC}">
                        <a14:shadowObscured xmlns:a14="http://schemas.microsoft.com/office/drawing/2010/main"/>
                      </a:ext>
                    </a:extLst>
                  </pic:spPr>
                </pic:pic>
              </a:graphicData>
            </a:graphic>
          </wp:inline>
        </w:drawing>
      </w:r>
    </w:p>
    <w:p w14:paraId="1FBC9518" w14:textId="3802B32E" w:rsidR="00825A27" w:rsidRDefault="008C13C8" w:rsidP="003F24EC">
      <w:pPr>
        <w:pStyle w:val="VAFigureCaption"/>
        <w:spacing w:line="240" w:lineRule="auto"/>
      </w:pPr>
      <w:r w:rsidRPr="00E61AA8">
        <w:rPr>
          <w:b/>
          <w:bCs/>
        </w:rPr>
        <w:t>Figure 2.</w:t>
      </w:r>
      <w:r w:rsidRPr="00E61AA8">
        <w:t xml:space="preserve"> Effect of reaction temperature on HBA conversion (X</w:t>
      </w:r>
      <w:r w:rsidRPr="00825A27">
        <w:rPr>
          <w:vertAlign w:val="subscript"/>
        </w:rPr>
        <w:t>HBA</w:t>
      </w:r>
      <w:r w:rsidRPr="00E61AA8">
        <w:t>), 1,3-BDO selectivity (S</w:t>
      </w:r>
      <w:r w:rsidRPr="00825A27">
        <w:rPr>
          <w:vertAlign w:val="subscript"/>
        </w:rPr>
        <w:t>1,3-BDO</w:t>
      </w:r>
      <w:r w:rsidRPr="00E61AA8">
        <w:t>) and 1,3-BDO yield (Y</w:t>
      </w:r>
      <w:r w:rsidRPr="00825A27">
        <w:rPr>
          <w:vertAlign w:val="subscript"/>
        </w:rPr>
        <w:t>1,3-BDO</w:t>
      </w:r>
      <w:r w:rsidRPr="00E61AA8">
        <w:t>) over 5</w:t>
      </w:r>
      <w:r w:rsidR="00631D0B">
        <w:t>.0</w:t>
      </w:r>
      <w:r w:rsidRPr="00E61AA8">
        <w:t xml:space="preserve">%Ru/C. Parameters: P = 70 bar, </w:t>
      </w:r>
      <w:proofErr w:type="spellStart"/>
      <w:r w:rsidRPr="00E61AA8">
        <w:t>m</w:t>
      </w:r>
      <w:r w:rsidRPr="00825A27">
        <w:rPr>
          <w:vertAlign w:val="subscript"/>
        </w:rPr>
        <w:t>cat</w:t>
      </w:r>
      <w:proofErr w:type="spellEnd"/>
      <w:r w:rsidRPr="00E61AA8">
        <w:t xml:space="preserve"> = 150 mg, t = 5 h.</w:t>
      </w:r>
    </w:p>
    <w:p w14:paraId="7BCD7702" w14:textId="77777777" w:rsidR="003F24EC" w:rsidRPr="003F24EC" w:rsidRDefault="003F24EC" w:rsidP="003F24EC">
      <w:pPr>
        <w:rPr>
          <w:lang w:val="en-US" w:eastAsia="pt-BR"/>
        </w:rPr>
      </w:pPr>
    </w:p>
    <w:p w14:paraId="044BB9D7" w14:textId="2BF8C035" w:rsidR="00E62406" w:rsidRDefault="00095D62" w:rsidP="00651573">
      <w:pPr>
        <w:pStyle w:val="TAMainText"/>
        <w:ind w:firstLine="187"/>
        <w:rPr>
          <w:rFonts w:ascii="Times New Roman" w:hAnsi="Times New Roman"/>
        </w:rPr>
      </w:pPr>
      <w:r>
        <w:rPr>
          <w:rFonts w:ascii="Times New Roman" w:hAnsi="Times New Roman"/>
        </w:rPr>
        <w:t>By increasing the reaction temperature to 150 ºC (Fig. 3b), conversion rose almost proportionally in all samples, as was observed with Ru/C, but the selectivity profile changed significantly. In this case, the highest selectivity obtained was 51.8% with 0.3%Ru/TiO</w:t>
      </w:r>
      <w:r>
        <w:rPr>
          <w:rFonts w:ascii="Times New Roman" w:hAnsi="Times New Roman"/>
          <w:vertAlign w:val="subscript"/>
        </w:rPr>
        <w:t>2</w:t>
      </w:r>
      <w:r>
        <w:rPr>
          <w:rFonts w:ascii="Times New Roman" w:hAnsi="Times New Roman"/>
        </w:rPr>
        <w:t>, while in the other samples it dropped harshly. Considering all tests at 150 ºC, a pattern was observed in which the most active samples were also the least selective, further indicating side reactions taking place during the experiments. At both temperatures, the main subproducts detected were also 2-Propanol and 2-Butanol.</w:t>
      </w:r>
    </w:p>
    <w:p w14:paraId="7EB316E6" w14:textId="73139AC3" w:rsidR="001F699C" w:rsidRDefault="001F699C" w:rsidP="001F699C">
      <w:pPr>
        <w:pStyle w:val="TAMainText"/>
        <w:ind w:firstLine="187"/>
        <w:rPr>
          <w:rFonts w:ascii="Times New Roman" w:hAnsi="Times New Roman"/>
        </w:rPr>
      </w:pPr>
      <w:r>
        <w:rPr>
          <w:rFonts w:ascii="Times New Roman" w:hAnsi="Times New Roman"/>
        </w:rPr>
        <w:t>In addition, blank tests confirmed the stability of HBA in the reaction conditions in the absence of catalysts</w:t>
      </w:r>
      <w:r w:rsidR="00C53B4A">
        <w:rPr>
          <w:rFonts w:ascii="Times New Roman" w:hAnsi="Times New Roman"/>
        </w:rPr>
        <w:t>.</w:t>
      </w:r>
      <w:r>
        <w:rPr>
          <w:rFonts w:ascii="Times New Roman" w:hAnsi="Times New Roman"/>
        </w:rPr>
        <w:t xml:space="preserve"> </w:t>
      </w:r>
      <w:r w:rsidR="00C53B4A">
        <w:rPr>
          <w:rFonts w:ascii="Times New Roman" w:hAnsi="Times New Roman"/>
        </w:rPr>
        <w:t>E</w:t>
      </w:r>
      <w:r>
        <w:rPr>
          <w:rFonts w:ascii="Times New Roman" w:hAnsi="Times New Roman"/>
        </w:rPr>
        <w:t>xperiments with the supports TiO</w:t>
      </w:r>
      <w:r>
        <w:rPr>
          <w:rFonts w:ascii="Times New Roman" w:hAnsi="Times New Roman"/>
          <w:vertAlign w:val="subscript"/>
        </w:rPr>
        <w:t>2</w:t>
      </w:r>
      <w:r>
        <w:rPr>
          <w:rFonts w:ascii="Times New Roman" w:hAnsi="Times New Roman"/>
        </w:rPr>
        <w:t xml:space="preserve"> and SiO</w:t>
      </w:r>
      <w:r>
        <w:rPr>
          <w:rFonts w:ascii="Times New Roman" w:hAnsi="Times New Roman"/>
          <w:vertAlign w:val="subscript"/>
        </w:rPr>
        <w:t>2</w:t>
      </w:r>
      <w:r>
        <w:rPr>
          <w:rFonts w:ascii="Times New Roman" w:hAnsi="Times New Roman"/>
        </w:rPr>
        <w:t xml:space="preserve"> were also performed, showing no effect on HBA. Therefore, it appears that metallic Ru is the active site in the hydrogenation of 1,3-BDO but is also participating in the side reactions. Comparing the results obtained with the 0.2%Ru/SiO</w:t>
      </w:r>
      <w:r>
        <w:rPr>
          <w:rFonts w:ascii="Times New Roman" w:hAnsi="Times New Roman"/>
          <w:vertAlign w:val="subscript"/>
        </w:rPr>
        <w:t>2</w:t>
      </w:r>
      <w:r>
        <w:rPr>
          <w:rFonts w:ascii="Times New Roman" w:hAnsi="Times New Roman"/>
        </w:rPr>
        <w:t xml:space="preserve"> and 0.3%Ru/TiO</w:t>
      </w:r>
      <w:r>
        <w:rPr>
          <w:rFonts w:ascii="Times New Roman" w:hAnsi="Times New Roman"/>
          <w:vertAlign w:val="subscript"/>
        </w:rPr>
        <w:t>2</w:t>
      </w:r>
      <w:r>
        <w:rPr>
          <w:rFonts w:ascii="Times New Roman" w:hAnsi="Times New Roman"/>
        </w:rPr>
        <w:t xml:space="preserve"> samples, possessing very similar Ru content, the support may also influence HBA hydrogenation, possibly due to the interaction of Ru and oxide, which may </w:t>
      </w:r>
      <w:r>
        <w:rPr>
          <w:rFonts w:ascii="Times New Roman" w:hAnsi="Times New Roman"/>
        </w:rPr>
        <w:t>generate different sites according to the support nature. At both temperatures, Ru on SiO</w:t>
      </w:r>
      <w:r>
        <w:rPr>
          <w:rFonts w:ascii="Times New Roman" w:hAnsi="Times New Roman"/>
          <w:vertAlign w:val="subscript"/>
        </w:rPr>
        <w:t>2</w:t>
      </w:r>
      <w:r>
        <w:rPr>
          <w:rFonts w:ascii="Times New Roman" w:hAnsi="Times New Roman"/>
        </w:rPr>
        <w:t xml:space="preserve"> seems to be more active than on TiO</w:t>
      </w:r>
      <w:r>
        <w:rPr>
          <w:rFonts w:ascii="Times New Roman" w:hAnsi="Times New Roman"/>
          <w:vertAlign w:val="subscript"/>
        </w:rPr>
        <w:t>2</w:t>
      </w:r>
      <w:r>
        <w:rPr>
          <w:rFonts w:ascii="Times New Roman" w:hAnsi="Times New Roman"/>
        </w:rPr>
        <w:t>. Nonetheless, the selectivity drop with temperature was much more significant in the SiO</w:t>
      </w:r>
      <w:r>
        <w:rPr>
          <w:rFonts w:ascii="Times New Roman" w:hAnsi="Times New Roman"/>
          <w:vertAlign w:val="subscript"/>
        </w:rPr>
        <w:t>2</w:t>
      </w:r>
      <w:r>
        <w:rPr>
          <w:rFonts w:ascii="Times New Roman" w:hAnsi="Times New Roman"/>
        </w:rPr>
        <w:t xml:space="preserve"> supported catalysts, pointing that the material promotes side reactions to a greater extent than Ru/TiO</w:t>
      </w:r>
      <w:r>
        <w:rPr>
          <w:rFonts w:ascii="Times New Roman" w:hAnsi="Times New Roman"/>
          <w:vertAlign w:val="subscript"/>
        </w:rPr>
        <w:t>2</w:t>
      </w:r>
      <w:r>
        <w:rPr>
          <w:rFonts w:ascii="Times New Roman" w:hAnsi="Times New Roman"/>
        </w:rPr>
        <w:t xml:space="preserve">. </w:t>
      </w:r>
    </w:p>
    <w:p w14:paraId="06601E0F" w14:textId="77777777" w:rsidR="00C55B86" w:rsidRDefault="00C55B86" w:rsidP="00651573">
      <w:pPr>
        <w:pStyle w:val="TAMainText"/>
        <w:ind w:firstLine="187"/>
        <w:rPr>
          <w:rFonts w:ascii="Times New Roman" w:hAnsi="Times New Roman"/>
        </w:rPr>
      </w:pPr>
    </w:p>
    <w:p w14:paraId="24DB58B2" w14:textId="77777777" w:rsidR="00E62406" w:rsidRDefault="00E62406" w:rsidP="00E62406">
      <w:pPr>
        <w:jc w:val="center"/>
        <w:rPr>
          <w:rFonts w:ascii="Times New Roman" w:hAnsi="Times New Roman" w:cs="Times New Roman"/>
          <w:lang w:val="en-US"/>
        </w:rPr>
      </w:pPr>
      <w:r w:rsidRPr="00936724">
        <w:rPr>
          <w:noProof/>
        </w:rPr>
        <w:drawing>
          <wp:inline distT="0" distB="0" distL="0" distR="0" wp14:anchorId="5E3110CD" wp14:editId="2EE5EEC1">
            <wp:extent cx="2520000" cy="2345964"/>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3776" t="9094" r="5117" b="5768"/>
                    <a:stretch/>
                  </pic:blipFill>
                  <pic:spPr bwMode="auto">
                    <a:xfrm>
                      <a:off x="0" y="0"/>
                      <a:ext cx="2520000" cy="2345964"/>
                    </a:xfrm>
                    <a:prstGeom prst="rect">
                      <a:avLst/>
                    </a:prstGeom>
                    <a:noFill/>
                    <a:ln>
                      <a:noFill/>
                    </a:ln>
                    <a:extLst>
                      <a:ext uri="{53640926-AAD7-44D8-BBD7-CCE9431645EC}">
                        <a14:shadowObscured xmlns:a14="http://schemas.microsoft.com/office/drawing/2010/main"/>
                      </a:ext>
                    </a:extLst>
                  </pic:spPr>
                </pic:pic>
              </a:graphicData>
            </a:graphic>
          </wp:inline>
        </w:drawing>
      </w:r>
    </w:p>
    <w:p w14:paraId="1610FD8A" w14:textId="709B557F" w:rsidR="00E62406" w:rsidRDefault="00E62406" w:rsidP="00E62406">
      <w:pPr>
        <w:pStyle w:val="VAFigureCaption"/>
      </w:pPr>
      <w:bookmarkStart w:id="3" w:name="_Hlk133619521"/>
      <w:r w:rsidRPr="005103DE">
        <w:rPr>
          <w:b/>
          <w:bCs/>
        </w:rPr>
        <w:t xml:space="preserve">Figure </w:t>
      </w:r>
      <w:r>
        <w:rPr>
          <w:b/>
          <w:bCs/>
        </w:rPr>
        <w:t>3</w:t>
      </w:r>
      <w:r w:rsidRPr="005103DE">
        <w:rPr>
          <w:b/>
          <w:bCs/>
        </w:rPr>
        <w:t xml:space="preserve">. </w:t>
      </w:r>
      <w:r w:rsidRPr="005103DE">
        <w:t xml:space="preserve">Effect of </w:t>
      </w:r>
      <w:r>
        <w:t xml:space="preserve">Ru content </w:t>
      </w:r>
      <w:r w:rsidRPr="005103DE">
        <w:t xml:space="preserve">on </w:t>
      </w:r>
      <w:r>
        <w:t>HBA</w:t>
      </w:r>
      <w:r w:rsidRPr="005103DE">
        <w:t xml:space="preserve"> conversion (X</w:t>
      </w:r>
      <w:r>
        <w:rPr>
          <w:vertAlign w:val="subscript"/>
        </w:rPr>
        <w:t>HBA</w:t>
      </w:r>
      <w:r w:rsidRPr="005103DE">
        <w:t>), 1,3-BDO selectivity (S</w:t>
      </w:r>
      <w:r>
        <w:rPr>
          <w:vertAlign w:val="subscript"/>
        </w:rPr>
        <w:t>1,3-BDO</w:t>
      </w:r>
      <w:r w:rsidRPr="005103DE">
        <w:t>) and 1,3-BDO yield (Y</w:t>
      </w:r>
      <w:r>
        <w:rPr>
          <w:vertAlign w:val="subscript"/>
        </w:rPr>
        <w:t>1,3-BDO</w:t>
      </w:r>
      <w:r w:rsidRPr="005103DE">
        <w:t>) over 5</w:t>
      </w:r>
      <w:r w:rsidR="00631D0B">
        <w:t>.0</w:t>
      </w:r>
      <w:r w:rsidRPr="005103DE">
        <w:t>%Ru/C</w:t>
      </w:r>
      <w:r>
        <w:t xml:space="preserve"> at a) 130 ºC and b) 150 ºC</w:t>
      </w:r>
      <w:r w:rsidRPr="005103DE">
        <w:t>. Parameters: P</w:t>
      </w:r>
      <w:r>
        <w:rPr>
          <w:vertAlign w:val="subscript"/>
        </w:rPr>
        <w:t xml:space="preserve"> </w:t>
      </w:r>
      <w:r w:rsidRPr="005103DE">
        <w:t xml:space="preserve">= 70 bar, </w:t>
      </w:r>
      <w:proofErr w:type="spellStart"/>
      <w:r w:rsidRPr="005103DE">
        <w:t>m</w:t>
      </w:r>
      <w:r w:rsidRPr="005103DE">
        <w:rPr>
          <w:vertAlign w:val="subscript"/>
        </w:rPr>
        <w:t>cat</w:t>
      </w:r>
      <w:proofErr w:type="spellEnd"/>
      <w:r w:rsidRPr="005103DE">
        <w:t xml:space="preserve"> = </w:t>
      </w:r>
      <w:r>
        <w:t>150</w:t>
      </w:r>
      <w:r w:rsidRPr="005103DE">
        <w:t xml:space="preserve"> mg, t = 5 h.</w:t>
      </w:r>
      <w:bookmarkEnd w:id="3"/>
    </w:p>
    <w:p w14:paraId="287B3DDE" w14:textId="77777777" w:rsidR="00095D62" w:rsidRPr="00095D62" w:rsidRDefault="00095D62" w:rsidP="00095D62">
      <w:pPr>
        <w:rPr>
          <w:lang w:val="en-US" w:eastAsia="pt-BR"/>
        </w:rPr>
      </w:pPr>
    </w:p>
    <w:p w14:paraId="0D157E37" w14:textId="156D8F99" w:rsidR="008C13C8" w:rsidRDefault="00CC27CD" w:rsidP="0039244B">
      <w:pPr>
        <w:pStyle w:val="TAMainText"/>
        <w:ind w:firstLine="284"/>
        <w:rPr>
          <w:rFonts w:ascii="Times New Roman" w:hAnsi="Times New Roman"/>
        </w:rPr>
      </w:pPr>
      <w:r>
        <w:rPr>
          <w:rFonts w:ascii="Times New Roman" w:hAnsi="Times New Roman"/>
        </w:rPr>
        <w:t>To</w:t>
      </w:r>
      <w:r w:rsidR="00C527C8">
        <w:rPr>
          <w:rFonts w:ascii="Times New Roman" w:hAnsi="Times New Roman"/>
        </w:rPr>
        <w:t xml:space="preserve"> </w:t>
      </w:r>
      <w:r>
        <w:rPr>
          <w:rFonts w:ascii="Times New Roman" w:hAnsi="Times New Roman"/>
        </w:rPr>
        <w:t>investigate side reactions</w:t>
      </w:r>
      <w:r w:rsidR="00C527C8">
        <w:rPr>
          <w:rFonts w:ascii="Times New Roman" w:hAnsi="Times New Roman"/>
        </w:rPr>
        <w:t xml:space="preserve"> occurring with 1,3-BDO</w:t>
      </w:r>
      <w:r>
        <w:rPr>
          <w:rFonts w:ascii="Times New Roman" w:hAnsi="Times New Roman"/>
        </w:rPr>
        <w:t>,</w:t>
      </w:r>
      <w:r w:rsidR="00521705">
        <w:rPr>
          <w:rFonts w:ascii="Times New Roman" w:hAnsi="Times New Roman"/>
        </w:rPr>
        <w:t xml:space="preserve"> </w:t>
      </w:r>
      <w:r w:rsidR="002766AA" w:rsidRPr="008C13C8">
        <w:rPr>
          <w:rFonts w:ascii="Times New Roman" w:hAnsi="Times New Roman"/>
        </w:rPr>
        <w:t>product degradation experiments over</w:t>
      </w:r>
      <w:r w:rsidR="008C13C8">
        <w:rPr>
          <w:rFonts w:ascii="Times New Roman" w:hAnsi="Times New Roman"/>
        </w:rPr>
        <w:t xml:space="preserve"> </w:t>
      </w:r>
      <w:r w:rsidR="002766AA" w:rsidRPr="008C13C8">
        <w:rPr>
          <w:rFonts w:ascii="Times New Roman" w:hAnsi="Times New Roman"/>
        </w:rPr>
        <w:t xml:space="preserve">the supports and catalysts were performed by 1,3-BDO </w:t>
      </w:r>
      <w:r w:rsidR="000F5F44">
        <w:rPr>
          <w:rFonts w:ascii="Times New Roman" w:hAnsi="Times New Roman"/>
        </w:rPr>
        <w:t>hydrogenation</w:t>
      </w:r>
      <w:r w:rsidR="002766AA" w:rsidRPr="008C13C8">
        <w:rPr>
          <w:rFonts w:ascii="Times New Roman" w:hAnsi="Times New Roman"/>
        </w:rPr>
        <w:t xml:space="preserve"> maintaining the reaction parameters, the results are shown in Figure 4.</w:t>
      </w:r>
      <w:r w:rsidR="008C13C8" w:rsidRPr="008C13C8">
        <w:rPr>
          <w:rFonts w:ascii="Times New Roman" w:hAnsi="Times New Roman"/>
        </w:rPr>
        <w:t xml:space="preserve"> </w:t>
      </w:r>
      <w:r w:rsidR="00B64191">
        <w:rPr>
          <w:rFonts w:ascii="Times New Roman" w:hAnsi="Times New Roman"/>
        </w:rPr>
        <w:t>In the absence of catalyst or support (blank tests), 1,3-BDO showed high stability in the reaction conditions, even at 200 ºC.</w:t>
      </w:r>
      <w:r w:rsidR="00F2591F">
        <w:rPr>
          <w:rFonts w:ascii="Times New Roman" w:hAnsi="Times New Roman"/>
        </w:rPr>
        <w:t xml:space="preserve"> Curiously</w:t>
      </w:r>
      <w:r w:rsidR="00F72D89">
        <w:rPr>
          <w:rFonts w:ascii="Times New Roman" w:hAnsi="Times New Roman"/>
        </w:rPr>
        <w:t>, while pure SiO</w:t>
      </w:r>
      <w:r w:rsidR="00F72D89">
        <w:rPr>
          <w:rFonts w:ascii="Times New Roman" w:hAnsi="Times New Roman"/>
          <w:vertAlign w:val="subscript"/>
        </w:rPr>
        <w:t>2</w:t>
      </w:r>
      <w:r w:rsidR="00F72D89">
        <w:rPr>
          <w:rFonts w:ascii="Times New Roman" w:hAnsi="Times New Roman"/>
        </w:rPr>
        <w:t xml:space="preserve"> had no effect, TiO</w:t>
      </w:r>
      <w:r w:rsidR="00F72D89">
        <w:rPr>
          <w:rFonts w:ascii="Times New Roman" w:hAnsi="Times New Roman"/>
          <w:vertAlign w:val="subscript"/>
        </w:rPr>
        <w:t>2</w:t>
      </w:r>
      <w:r w:rsidR="00F72D89">
        <w:rPr>
          <w:rFonts w:ascii="Times New Roman" w:hAnsi="Times New Roman"/>
        </w:rPr>
        <w:t xml:space="preserve"> converted approximately 10% of 1,3-BDO</w:t>
      </w:r>
      <w:r w:rsidR="00943B13">
        <w:rPr>
          <w:rFonts w:ascii="Times New Roman" w:hAnsi="Times New Roman"/>
        </w:rPr>
        <w:t>, which is the opposite effect than the observed in the catalysts (Fig</w:t>
      </w:r>
      <w:r w:rsidR="00A82020">
        <w:rPr>
          <w:rFonts w:ascii="Times New Roman" w:hAnsi="Times New Roman"/>
        </w:rPr>
        <w:t>.</w:t>
      </w:r>
      <w:r w:rsidR="00943B13">
        <w:rPr>
          <w:rFonts w:ascii="Times New Roman" w:hAnsi="Times New Roman"/>
        </w:rPr>
        <w:t xml:space="preserve"> </w:t>
      </w:r>
      <w:r w:rsidR="00A82020">
        <w:rPr>
          <w:rFonts w:ascii="Times New Roman" w:hAnsi="Times New Roman"/>
        </w:rPr>
        <w:t>3</w:t>
      </w:r>
      <w:r w:rsidR="00943B13">
        <w:rPr>
          <w:rFonts w:ascii="Times New Roman" w:hAnsi="Times New Roman"/>
        </w:rPr>
        <w:t>)</w:t>
      </w:r>
      <w:r w:rsidR="00F72D89">
        <w:rPr>
          <w:rFonts w:ascii="Times New Roman" w:hAnsi="Times New Roman"/>
        </w:rPr>
        <w:t xml:space="preserve">. This suggests </w:t>
      </w:r>
      <w:r w:rsidR="00793C75">
        <w:rPr>
          <w:rFonts w:ascii="Times New Roman" w:hAnsi="Times New Roman"/>
        </w:rPr>
        <w:t>that over 0.2%Ru/SiO</w:t>
      </w:r>
      <w:r w:rsidR="00793C75">
        <w:rPr>
          <w:rFonts w:ascii="Times New Roman" w:hAnsi="Times New Roman"/>
          <w:vertAlign w:val="subscript"/>
        </w:rPr>
        <w:t>2</w:t>
      </w:r>
      <w:r w:rsidR="00793C75">
        <w:rPr>
          <w:rFonts w:ascii="Times New Roman" w:hAnsi="Times New Roman"/>
        </w:rPr>
        <w:t xml:space="preserve"> </w:t>
      </w:r>
      <w:r w:rsidR="005A24FD">
        <w:rPr>
          <w:rFonts w:ascii="Times New Roman" w:hAnsi="Times New Roman"/>
        </w:rPr>
        <w:t xml:space="preserve">the formation of subproducts </w:t>
      </w:r>
      <w:r w:rsidR="00E05CF7">
        <w:rPr>
          <w:rFonts w:ascii="Times New Roman" w:hAnsi="Times New Roman"/>
        </w:rPr>
        <w:t>originates</w:t>
      </w:r>
      <w:r w:rsidR="006270AE">
        <w:rPr>
          <w:rFonts w:ascii="Times New Roman" w:hAnsi="Times New Roman"/>
        </w:rPr>
        <w:t xml:space="preserve"> only</w:t>
      </w:r>
      <w:r w:rsidR="00E05CF7">
        <w:rPr>
          <w:rFonts w:ascii="Times New Roman" w:hAnsi="Times New Roman"/>
        </w:rPr>
        <w:t xml:space="preserve"> from the cooperation of Ru and SiO</w:t>
      </w:r>
      <w:r w:rsidR="00E05CF7">
        <w:rPr>
          <w:rFonts w:ascii="Times New Roman" w:hAnsi="Times New Roman"/>
          <w:vertAlign w:val="subscript"/>
        </w:rPr>
        <w:t>2</w:t>
      </w:r>
      <w:r w:rsidR="006270AE">
        <w:rPr>
          <w:rFonts w:ascii="Times New Roman" w:hAnsi="Times New Roman"/>
        </w:rPr>
        <w:t>.</w:t>
      </w:r>
      <w:r w:rsidR="00A82020">
        <w:rPr>
          <w:rFonts w:ascii="Times New Roman" w:hAnsi="Times New Roman"/>
        </w:rPr>
        <w:t xml:space="preserve"> On the other hand, impregnation of small amount of Ru (0.3%) on TiO</w:t>
      </w:r>
      <w:r w:rsidR="00A82020">
        <w:rPr>
          <w:rFonts w:ascii="Times New Roman" w:hAnsi="Times New Roman"/>
          <w:vertAlign w:val="subscript"/>
        </w:rPr>
        <w:t>2</w:t>
      </w:r>
      <w:r w:rsidR="00A82020">
        <w:rPr>
          <w:rFonts w:ascii="Times New Roman" w:hAnsi="Times New Roman"/>
        </w:rPr>
        <w:t xml:space="preserve"> only caused a slight increase (7%) in 1,3-BDO degradation (Fig. 4)</w:t>
      </w:r>
      <w:r w:rsidR="00E04F3C">
        <w:rPr>
          <w:rFonts w:ascii="Times New Roman" w:hAnsi="Times New Roman"/>
        </w:rPr>
        <w:t>, corroborating the hypothesis of different active sites according to the support.</w:t>
      </w:r>
    </w:p>
    <w:p w14:paraId="7E655B61" w14:textId="11A4B4AD" w:rsidR="000D7DDA" w:rsidRDefault="000D7DDA" w:rsidP="008C13C8">
      <w:pPr>
        <w:pStyle w:val="TAMainText"/>
        <w:rPr>
          <w:rFonts w:ascii="Times New Roman" w:hAnsi="Times New Roman"/>
        </w:rPr>
      </w:pPr>
      <w:r>
        <w:rPr>
          <w:rFonts w:ascii="Times New Roman" w:hAnsi="Times New Roman"/>
        </w:rPr>
        <w:t>Nevertheless, the catalysts 1.7%Ru/TiO</w:t>
      </w:r>
      <w:r>
        <w:rPr>
          <w:rFonts w:ascii="Times New Roman" w:hAnsi="Times New Roman"/>
          <w:vertAlign w:val="subscript"/>
        </w:rPr>
        <w:t>2</w:t>
      </w:r>
      <w:r>
        <w:rPr>
          <w:rFonts w:ascii="Times New Roman" w:hAnsi="Times New Roman"/>
        </w:rPr>
        <w:t>, 0.2%Ru/SiO</w:t>
      </w:r>
      <w:r>
        <w:rPr>
          <w:rFonts w:ascii="Times New Roman" w:hAnsi="Times New Roman"/>
          <w:vertAlign w:val="subscript"/>
        </w:rPr>
        <w:t>2</w:t>
      </w:r>
      <w:r>
        <w:rPr>
          <w:rFonts w:ascii="Times New Roman" w:hAnsi="Times New Roman"/>
        </w:rPr>
        <w:t xml:space="preserve"> and 5.0%Ru/C presented striking activity on 1,3-BDO degradation, reaching almost 100% conversion at 150 ºC</w:t>
      </w:r>
      <w:r w:rsidR="00CB4E26">
        <w:rPr>
          <w:rFonts w:ascii="Times New Roman" w:hAnsi="Times New Roman"/>
        </w:rPr>
        <w:t xml:space="preserve">. </w:t>
      </w:r>
      <w:r w:rsidR="00950F2B">
        <w:rPr>
          <w:rFonts w:ascii="Times New Roman" w:hAnsi="Times New Roman"/>
        </w:rPr>
        <w:t xml:space="preserve">The significant difference between the tests </w:t>
      </w:r>
      <w:r w:rsidR="001C16D0">
        <w:rPr>
          <w:rFonts w:ascii="Times New Roman" w:hAnsi="Times New Roman"/>
        </w:rPr>
        <w:t>with 0.2</w:t>
      </w:r>
      <w:r w:rsidR="00950F2B">
        <w:rPr>
          <w:rFonts w:ascii="Times New Roman" w:hAnsi="Times New Roman"/>
        </w:rPr>
        <w:t>%Ru/SiO</w:t>
      </w:r>
      <w:r w:rsidR="00950F2B">
        <w:rPr>
          <w:rFonts w:ascii="Times New Roman" w:hAnsi="Times New Roman"/>
          <w:vertAlign w:val="subscript"/>
        </w:rPr>
        <w:t>2</w:t>
      </w:r>
      <w:r w:rsidR="00950F2B">
        <w:rPr>
          <w:rFonts w:ascii="Times New Roman" w:hAnsi="Times New Roman"/>
        </w:rPr>
        <w:t xml:space="preserve"> and 0.3%Ru/TiO</w:t>
      </w:r>
      <w:r w:rsidR="00950F2B">
        <w:rPr>
          <w:rFonts w:ascii="Times New Roman" w:hAnsi="Times New Roman"/>
          <w:vertAlign w:val="subscript"/>
        </w:rPr>
        <w:t>2</w:t>
      </w:r>
      <w:r w:rsidR="00950F2B">
        <w:rPr>
          <w:rFonts w:ascii="Times New Roman" w:hAnsi="Times New Roman"/>
        </w:rPr>
        <w:t xml:space="preserve"> once again suggests the Ru incorporation on SiO</w:t>
      </w:r>
      <w:r w:rsidR="00950F2B">
        <w:rPr>
          <w:rFonts w:ascii="Times New Roman" w:hAnsi="Times New Roman"/>
          <w:vertAlign w:val="subscript"/>
        </w:rPr>
        <w:t>2</w:t>
      </w:r>
      <w:r w:rsidR="00950F2B">
        <w:rPr>
          <w:rFonts w:ascii="Times New Roman" w:hAnsi="Times New Roman"/>
        </w:rPr>
        <w:t xml:space="preserve"> has a predominant effect on side reactions with 1,3-BDO, even in small </w:t>
      </w:r>
      <w:r w:rsidR="00B80553">
        <w:rPr>
          <w:rFonts w:ascii="Times New Roman" w:hAnsi="Times New Roman"/>
        </w:rPr>
        <w:t xml:space="preserve">Ru </w:t>
      </w:r>
      <w:r w:rsidR="00950F2B">
        <w:rPr>
          <w:rFonts w:ascii="Times New Roman" w:hAnsi="Times New Roman"/>
        </w:rPr>
        <w:t>amounts.</w:t>
      </w:r>
      <w:r w:rsidR="001C16D0">
        <w:rPr>
          <w:rFonts w:ascii="Times New Roman" w:hAnsi="Times New Roman"/>
        </w:rPr>
        <w:t xml:space="preserve"> Regarding the TiO</w:t>
      </w:r>
      <w:r w:rsidR="001C16D0">
        <w:rPr>
          <w:rFonts w:ascii="Times New Roman" w:hAnsi="Times New Roman"/>
          <w:vertAlign w:val="subscript"/>
        </w:rPr>
        <w:t>2</w:t>
      </w:r>
      <w:r w:rsidR="001C16D0">
        <w:rPr>
          <w:rFonts w:ascii="Times New Roman" w:hAnsi="Times New Roman"/>
        </w:rPr>
        <w:t xml:space="preserve"> supported samples, increasing the Ru content from 0.3 to 1.7% had a remarkable effect on </w:t>
      </w:r>
      <w:r w:rsidR="00B80553">
        <w:rPr>
          <w:rFonts w:ascii="Times New Roman" w:hAnsi="Times New Roman"/>
        </w:rPr>
        <w:t>1,3-</w:t>
      </w:r>
      <w:r w:rsidR="00B80553">
        <w:rPr>
          <w:rFonts w:ascii="Times New Roman" w:hAnsi="Times New Roman"/>
        </w:rPr>
        <w:lastRenderedPageBreak/>
        <w:t>BDO conversion</w:t>
      </w:r>
      <w:r w:rsidR="001C16D0">
        <w:rPr>
          <w:rFonts w:ascii="Times New Roman" w:hAnsi="Times New Roman"/>
        </w:rPr>
        <w:t xml:space="preserve">, </w:t>
      </w:r>
      <w:r w:rsidR="00B80553">
        <w:rPr>
          <w:rFonts w:ascii="Times New Roman" w:hAnsi="Times New Roman"/>
        </w:rPr>
        <w:t>showing that metallic sites are the main cause for product degradation</w:t>
      </w:r>
      <w:r w:rsidR="001A4069">
        <w:rPr>
          <w:rFonts w:ascii="Times New Roman" w:hAnsi="Times New Roman"/>
        </w:rPr>
        <w:t>, and the Ru amount should be selected carefully, if one aims at maximizing 1,3-BDO yield.</w:t>
      </w:r>
    </w:p>
    <w:p w14:paraId="4B2BE63D" w14:textId="590E1CC8" w:rsidR="0003288B" w:rsidRPr="001C16D0" w:rsidRDefault="0003288B" w:rsidP="008C13C8">
      <w:pPr>
        <w:pStyle w:val="TAMainText"/>
        <w:rPr>
          <w:rFonts w:ascii="Times New Roman" w:hAnsi="Times New Roman"/>
        </w:rPr>
      </w:pPr>
      <w:r>
        <w:rPr>
          <w:rFonts w:ascii="Times New Roman" w:hAnsi="Times New Roman"/>
        </w:rPr>
        <w:t xml:space="preserve">It is noteworthy that </w:t>
      </w:r>
      <w:r w:rsidR="002A3D79">
        <w:rPr>
          <w:rFonts w:ascii="Times New Roman" w:hAnsi="Times New Roman"/>
        </w:rPr>
        <w:t xml:space="preserve">the main subproducts detected were once again 2-Propanol and 2-Butanol, suggesting that </w:t>
      </w:r>
      <w:r w:rsidR="00614533">
        <w:rPr>
          <w:rFonts w:ascii="Times New Roman" w:hAnsi="Times New Roman"/>
        </w:rPr>
        <w:t>the side reactions involving 1,3-BDO have significant impact on the selectivity loss during HBA hydrogenation. Nonetheless, for now nothing can be said regarding side reactions with HBA, which may also be occurring.</w:t>
      </w:r>
    </w:p>
    <w:p w14:paraId="57CAF764" w14:textId="77777777" w:rsidR="00307D4A" w:rsidRDefault="00307D4A" w:rsidP="008C13C8">
      <w:pPr>
        <w:pStyle w:val="TAMainText"/>
        <w:rPr>
          <w:rFonts w:ascii="Times New Roman" w:hAnsi="Times New Roman"/>
        </w:rPr>
      </w:pPr>
    </w:p>
    <w:p w14:paraId="0B39018B" w14:textId="5ED3E6E7" w:rsidR="008C13C8" w:rsidRPr="008C13C8" w:rsidRDefault="008D3C4A" w:rsidP="008D3C4A">
      <w:pPr>
        <w:jc w:val="center"/>
        <w:rPr>
          <w:rFonts w:ascii="Times New Roman" w:hAnsi="Times New Roman" w:cs="Times New Roman"/>
          <w:lang w:val="en-US"/>
        </w:rPr>
      </w:pPr>
      <w:r w:rsidRPr="008D3C4A">
        <w:rPr>
          <w:noProof/>
        </w:rPr>
        <w:drawing>
          <wp:inline distT="0" distB="0" distL="0" distR="0" wp14:anchorId="0FCE9A5F" wp14:editId="50299D9D">
            <wp:extent cx="2340000" cy="2092633"/>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3236" t="5052" r="3689" b="4996"/>
                    <a:stretch/>
                  </pic:blipFill>
                  <pic:spPr bwMode="auto">
                    <a:xfrm>
                      <a:off x="0" y="0"/>
                      <a:ext cx="2340000" cy="2092633"/>
                    </a:xfrm>
                    <a:prstGeom prst="rect">
                      <a:avLst/>
                    </a:prstGeom>
                    <a:noFill/>
                    <a:ln>
                      <a:noFill/>
                    </a:ln>
                    <a:extLst>
                      <a:ext uri="{53640926-AAD7-44D8-BBD7-CCE9431645EC}">
                        <a14:shadowObscured xmlns:a14="http://schemas.microsoft.com/office/drawing/2010/main"/>
                      </a:ext>
                    </a:extLst>
                  </pic:spPr>
                </pic:pic>
              </a:graphicData>
            </a:graphic>
          </wp:inline>
        </w:drawing>
      </w:r>
    </w:p>
    <w:p w14:paraId="24FCD8D6" w14:textId="77777777" w:rsidR="008C13C8" w:rsidRPr="003A14D5" w:rsidRDefault="008C13C8" w:rsidP="00140C7B">
      <w:pPr>
        <w:pStyle w:val="VAFigureCaption"/>
      </w:pPr>
      <w:r w:rsidRPr="005103DE">
        <w:rPr>
          <w:b/>
          <w:bCs/>
        </w:rPr>
        <w:t xml:space="preserve">Figure </w:t>
      </w:r>
      <w:r>
        <w:rPr>
          <w:b/>
          <w:bCs/>
        </w:rPr>
        <w:t>4</w:t>
      </w:r>
      <w:r w:rsidRPr="005103DE">
        <w:rPr>
          <w:b/>
          <w:bCs/>
        </w:rPr>
        <w:t xml:space="preserve">. </w:t>
      </w:r>
      <w:r>
        <w:t xml:space="preserve">1,3-BDO conversion over the supports and catalysts on the product degradation experiments. </w:t>
      </w:r>
      <w:r w:rsidRPr="005103DE">
        <w:t xml:space="preserve"> Parameters: </w:t>
      </w:r>
      <w:r>
        <w:t xml:space="preserve">T = 150 ºC (except for the blank tests), </w:t>
      </w:r>
      <w:r w:rsidRPr="005103DE">
        <w:t>P</w:t>
      </w:r>
      <w:r>
        <w:rPr>
          <w:vertAlign w:val="subscript"/>
        </w:rPr>
        <w:t xml:space="preserve"> </w:t>
      </w:r>
      <w:r w:rsidRPr="005103DE">
        <w:t xml:space="preserve">= 70 bar, </w:t>
      </w:r>
      <w:proofErr w:type="spellStart"/>
      <w:r w:rsidRPr="005103DE">
        <w:t>m</w:t>
      </w:r>
      <w:r w:rsidRPr="005103DE">
        <w:rPr>
          <w:vertAlign w:val="subscript"/>
        </w:rPr>
        <w:t>cat</w:t>
      </w:r>
      <w:proofErr w:type="spellEnd"/>
      <w:r w:rsidRPr="005103DE">
        <w:t xml:space="preserve"> = </w:t>
      </w:r>
      <w:r>
        <w:t>150</w:t>
      </w:r>
      <w:r w:rsidRPr="005103DE">
        <w:t xml:space="preserve"> mg, t = 5 h.</w:t>
      </w:r>
    </w:p>
    <w:p w14:paraId="001D1B3B" w14:textId="13174B15" w:rsidR="002766AA" w:rsidRDefault="002766AA" w:rsidP="002766AA">
      <w:pPr>
        <w:pStyle w:val="TAMainText"/>
        <w:ind w:firstLine="187"/>
        <w:rPr>
          <w:rFonts w:ascii="Times New Roman" w:hAnsi="Times New Roman"/>
        </w:rPr>
      </w:pPr>
    </w:p>
    <w:p w14:paraId="12CDC5D6" w14:textId="032F4035" w:rsidR="0039244B" w:rsidRDefault="0006691D" w:rsidP="0039244B">
      <w:pPr>
        <w:pStyle w:val="TAMainText"/>
        <w:ind w:firstLine="284"/>
        <w:rPr>
          <w:rFonts w:ascii="Times New Roman" w:hAnsi="Times New Roman"/>
        </w:rPr>
      </w:pPr>
      <w:r w:rsidRPr="0006691D">
        <w:rPr>
          <w:rFonts w:ascii="Times New Roman" w:hAnsi="Times New Roman"/>
        </w:rPr>
        <w:t>The d</w:t>
      </w:r>
      <w:r>
        <w:rPr>
          <w:rFonts w:ascii="Times New Roman" w:hAnsi="Times New Roman"/>
        </w:rPr>
        <w:t>ata discussed so far point that metallic Ru particles are the only active sites in the HBA hydrogenation</w:t>
      </w:r>
      <w:r w:rsidR="00E83A5B">
        <w:rPr>
          <w:rFonts w:ascii="Times New Roman" w:hAnsi="Times New Roman"/>
        </w:rPr>
        <w:t>, given that the supports had no activity by themselves</w:t>
      </w:r>
      <w:r>
        <w:rPr>
          <w:rFonts w:ascii="Times New Roman" w:hAnsi="Times New Roman"/>
        </w:rPr>
        <w:t xml:space="preserve">. </w:t>
      </w:r>
      <w:r w:rsidR="002766AA">
        <w:rPr>
          <w:rFonts w:ascii="Times New Roman" w:hAnsi="Times New Roman"/>
        </w:rPr>
        <w:t>With th</w:t>
      </w:r>
      <w:r w:rsidR="00655605">
        <w:rPr>
          <w:rFonts w:ascii="Times New Roman" w:hAnsi="Times New Roman"/>
        </w:rPr>
        <w:t>is</w:t>
      </w:r>
      <w:r w:rsidR="002766AA">
        <w:rPr>
          <w:rFonts w:ascii="Times New Roman" w:hAnsi="Times New Roman"/>
        </w:rPr>
        <w:t xml:space="preserve"> assumption</w:t>
      </w:r>
      <w:r w:rsidR="00C55B86">
        <w:rPr>
          <w:rFonts w:ascii="Times New Roman" w:hAnsi="Times New Roman"/>
        </w:rPr>
        <w:t xml:space="preserve"> and using the Ru content estimated by XRF</w:t>
      </w:r>
      <w:r w:rsidR="00655605">
        <w:rPr>
          <w:rFonts w:ascii="Times New Roman" w:hAnsi="Times New Roman"/>
        </w:rPr>
        <w:t>,</w:t>
      </w:r>
      <w:r w:rsidR="002766AA">
        <w:rPr>
          <w:rFonts w:ascii="Times New Roman" w:hAnsi="Times New Roman"/>
        </w:rPr>
        <w:t xml:space="preserve"> the HBA conversion and 1,3-BDO production Turnover Numbers, given by TON</w:t>
      </w:r>
      <w:r w:rsidR="002766AA">
        <w:rPr>
          <w:rFonts w:ascii="Times New Roman" w:hAnsi="Times New Roman"/>
          <w:vertAlign w:val="subscript"/>
        </w:rPr>
        <w:t>X</w:t>
      </w:r>
      <w:r w:rsidR="002766AA">
        <w:rPr>
          <w:rFonts w:ascii="Times New Roman" w:hAnsi="Times New Roman"/>
        </w:rPr>
        <w:t xml:space="preserve"> and TON</w:t>
      </w:r>
      <w:r w:rsidR="002766AA">
        <w:rPr>
          <w:rFonts w:ascii="Times New Roman" w:hAnsi="Times New Roman"/>
          <w:vertAlign w:val="subscript"/>
        </w:rPr>
        <w:t>P</w:t>
      </w:r>
      <w:r w:rsidR="002766AA">
        <w:rPr>
          <w:rFonts w:ascii="Times New Roman" w:hAnsi="Times New Roman"/>
        </w:rPr>
        <w:t>, respectively, were determined for the catalysts (Figure 5).</w:t>
      </w:r>
      <w:r w:rsidR="0042107D">
        <w:rPr>
          <w:rFonts w:ascii="Times New Roman" w:hAnsi="Times New Roman"/>
        </w:rPr>
        <w:t xml:space="preserve"> TON</w:t>
      </w:r>
      <w:r w:rsidR="0042107D">
        <w:rPr>
          <w:rFonts w:ascii="Times New Roman" w:hAnsi="Times New Roman"/>
          <w:vertAlign w:val="subscript"/>
        </w:rPr>
        <w:t>X</w:t>
      </w:r>
      <w:r w:rsidR="0042107D">
        <w:rPr>
          <w:rFonts w:ascii="Times New Roman" w:hAnsi="Times New Roman"/>
        </w:rPr>
        <w:t xml:space="preserve"> and TON</w:t>
      </w:r>
      <w:r w:rsidR="0042107D">
        <w:rPr>
          <w:rFonts w:ascii="Times New Roman" w:hAnsi="Times New Roman"/>
        </w:rPr>
        <w:softHyphen/>
      </w:r>
      <w:r w:rsidR="0042107D">
        <w:rPr>
          <w:rFonts w:ascii="Times New Roman" w:hAnsi="Times New Roman"/>
          <w:vertAlign w:val="subscript"/>
        </w:rPr>
        <w:t>P</w:t>
      </w:r>
      <w:r w:rsidR="0042107D">
        <w:rPr>
          <w:rFonts w:ascii="Times New Roman" w:hAnsi="Times New Roman"/>
        </w:rPr>
        <w:t xml:space="preserve"> relate to mols of HBA converted and mols of 1,3-BDO produced, respectively</w:t>
      </w:r>
      <w:r w:rsidR="00F2463A">
        <w:rPr>
          <w:rFonts w:ascii="Times New Roman" w:hAnsi="Times New Roman"/>
        </w:rPr>
        <w:t xml:space="preserve"> per active site</w:t>
      </w:r>
      <w:r w:rsidR="0042107D">
        <w:rPr>
          <w:rFonts w:ascii="Times New Roman" w:hAnsi="Times New Roman"/>
        </w:rPr>
        <w:t>.</w:t>
      </w:r>
      <w:r w:rsidR="00AE6B95">
        <w:rPr>
          <w:rFonts w:ascii="Times New Roman" w:hAnsi="Times New Roman"/>
        </w:rPr>
        <w:t xml:space="preserve"> </w:t>
      </w:r>
      <w:r w:rsidR="00A9775F">
        <w:rPr>
          <w:rFonts w:ascii="Times New Roman" w:hAnsi="Times New Roman"/>
        </w:rPr>
        <w:t>TON</w:t>
      </w:r>
      <w:r w:rsidR="00A9775F">
        <w:rPr>
          <w:rFonts w:ascii="Times New Roman" w:hAnsi="Times New Roman"/>
          <w:vertAlign w:val="subscript"/>
        </w:rPr>
        <w:t>X</w:t>
      </w:r>
      <w:r w:rsidR="00A9775F">
        <w:rPr>
          <w:rFonts w:ascii="Times New Roman" w:hAnsi="Times New Roman"/>
        </w:rPr>
        <w:t xml:space="preserve"> and TON</w:t>
      </w:r>
      <w:r w:rsidR="00A9775F">
        <w:rPr>
          <w:rFonts w:ascii="Times New Roman" w:hAnsi="Times New Roman"/>
          <w:vertAlign w:val="subscript"/>
        </w:rPr>
        <w:t>P</w:t>
      </w:r>
      <w:r w:rsidR="00A9775F">
        <w:rPr>
          <w:rFonts w:ascii="Times New Roman" w:hAnsi="Times New Roman"/>
        </w:rPr>
        <w:t xml:space="preserve"> increased with decreasing Ru content</w:t>
      </w:r>
      <w:r w:rsidR="00FE78E2">
        <w:rPr>
          <w:rFonts w:ascii="Times New Roman" w:hAnsi="Times New Roman"/>
        </w:rPr>
        <w:t>, pointing that small amounts of metallic sites are desirable to maximize 1,3-BDO yield</w:t>
      </w:r>
      <w:r w:rsidR="00A9775F">
        <w:rPr>
          <w:rFonts w:ascii="Times New Roman" w:hAnsi="Times New Roman"/>
        </w:rPr>
        <w:t xml:space="preserve">. </w:t>
      </w:r>
      <w:r w:rsidR="00AE6B95">
        <w:rPr>
          <w:rFonts w:ascii="Times New Roman" w:hAnsi="Times New Roman"/>
        </w:rPr>
        <w:t xml:space="preserve">The TONs </w:t>
      </w:r>
      <w:r w:rsidR="00FB1324">
        <w:rPr>
          <w:rFonts w:ascii="Times New Roman" w:hAnsi="Times New Roman"/>
        </w:rPr>
        <w:t xml:space="preserve">also </w:t>
      </w:r>
      <w:r w:rsidR="00AE6B95">
        <w:rPr>
          <w:rFonts w:ascii="Times New Roman" w:hAnsi="Times New Roman"/>
        </w:rPr>
        <w:t>highlight the effect of Ru particles supported on SiO</w:t>
      </w:r>
      <w:r w:rsidR="00AE6B95">
        <w:rPr>
          <w:rFonts w:ascii="Times New Roman" w:hAnsi="Times New Roman"/>
          <w:vertAlign w:val="subscript"/>
        </w:rPr>
        <w:t>2</w:t>
      </w:r>
      <w:r w:rsidR="00AE6B95">
        <w:rPr>
          <w:rFonts w:ascii="Times New Roman" w:hAnsi="Times New Roman"/>
        </w:rPr>
        <w:t>, being about six times more active than the other materials</w:t>
      </w:r>
      <w:r w:rsidR="00E07741">
        <w:rPr>
          <w:rFonts w:ascii="Times New Roman" w:hAnsi="Times New Roman"/>
        </w:rPr>
        <w:t xml:space="preserve"> at 150 ºC, the sample also presented the highest TON</w:t>
      </w:r>
      <w:r w:rsidR="00E07741">
        <w:rPr>
          <w:rFonts w:ascii="Times New Roman" w:hAnsi="Times New Roman"/>
          <w:vertAlign w:val="subscript"/>
        </w:rPr>
        <w:t>P</w:t>
      </w:r>
      <w:r w:rsidR="00E07741">
        <w:rPr>
          <w:rFonts w:ascii="Times New Roman" w:hAnsi="Times New Roman"/>
        </w:rPr>
        <w:t xml:space="preserve"> among the studied catalysts</w:t>
      </w:r>
      <w:r w:rsidR="008059DD">
        <w:rPr>
          <w:rFonts w:ascii="Times New Roman" w:hAnsi="Times New Roman"/>
        </w:rPr>
        <w:t xml:space="preserve"> at both temperatures</w:t>
      </w:r>
      <w:r w:rsidR="0042107D">
        <w:rPr>
          <w:rFonts w:ascii="Times New Roman" w:hAnsi="Times New Roman"/>
        </w:rPr>
        <w:t>.</w:t>
      </w:r>
      <w:r w:rsidR="00EC673A">
        <w:rPr>
          <w:rFonts w:ascii="Times New Roman" w:hAnsi="Times New Roman"/>
        </w:rPr>
        <w:t xml:space="preserve"> </w:t>
      </w:r>
      <w:r w:rsidR="004679FF">
        <w:rPr>
          <w:rFonts w:ascii="Times New Roman" w:hAnsi="Times New Roman"/>
        </w:rPr>
        <w:t>Overall, r</w:t>
      </w:r>
      <w:r w:rsidR="00EC673A">
        <w:rPr>
          <w:rFonts w:ascii="Times New Roman" w:hAnsi="Times New Roman"/>
        </w:rPr>
        <w:t>aising reaction temperature from 130 to 150 ºC caused TON</w:t>
      </w:r>
      <w:r w:rsidR="00EC673A">
        <w:rPr>
          <w:rFonts w:ascii="Times New Roman" w:hAnsi="Times New Roman"/>
          <w:vertAlign w:val="subscript"/>
        </w:rPr>
        <w:t>P</w:t>
      </w:r>
      <w:r w:rsidR="00EC673A">
        <w:rPr>
          <w:rFonts w:ascii="Times New Roman" w:hAnsi="Times New Roman"/>
        </w:rPr>
        <w:t xml:space="preserve"> </w:t>
      </w:r>
      <w:r w:rsidR="004679FF">
        <w:rPr>
          <w:rFonts w:ascii="Times New Roman" w:hAnsi="Times New Roman"/>
        </w:rPr>
        <w:t xml:space="preserve">values </w:t>
      </w:r>
      <w:r w:rsidR="00EC673A">
        <w:rPr>
          <w:rFonts w:ascii="Times New Roman" w:hAnsi="Times New Roman"/>
        </w:rPr>
        <w:t>to decrease</w:t>
      </w:r>
      <w:r w:rsidR="004679FF">
        <w:rPr>
          <w:rFonts w:ascii="Times New Roman" w:hAnsi="Times New Roman"/>
        </w:rPr>
        <w:t>, except with the 0.3%Ru/TiO</w:t>
      </w:r>
      <w:r w:rsidR="004679FF">
        <w:rPr>
          <w:rFonts w:ascii="Times New Roman" w:hAnsi="Times New Roman"/>
          <w:vertAlign w:val="subscript"/>
        </w:rPr>
        <w:t>2</w:t>
      </w:r>
      <w:r w:rsidR="004679FF">
        <w:rPr>
          <w:rFonts w:ascii="Times New Roman" w:hAnsi="Times New Roman"/>
        </w:rPr>
        <w:t xml:space="preserve"> catalyst, reaching production turnover </w:t>
      </w:r>
      <w:proofErr w:type="gramStart"/>
      <w:r w:rsidR="004679FF">
        <w:rPr>
          <w:rFonts w:ascii="Times New Roman" w:hAnsi="Times New Roman"/>
        </w:rPr>
        <w:t>similar to</w:t>
      </w:r>
      <w:proofErr w:type="gramEnd"/>
      <w:r w:rsidR="004679FF">
        <w:rPr>
          <w:rFonts w:ascii="Times New Roman" w:hAnsi="Times New Roman"/>
        </w:rPr>
        <w:t xml:space="preserve"> the SiO</w:t>
      </w:r>
      <w:r w:rsidR="004679FF">
        <w:rPr>
          <w:rFonts w:ascii="Times New Roman" w:hAnsi="Times New Roman"/>
          <w:vertAlign w:val="subscript"/>
        </w:rPr>
        <w:t>2</w:t>
      </w:r>
      <w:r w:rsidR="004679FF">
        <w:rPr>
          <w:rFonts w:ascii="Times New Roman" w:hAnsi="Times New Roman"/>
        </w:rPr>
        <w:t xml:space="preserve"> supported sample (about 40 mol</w:t>
      </w:r>
      <w:r w:rsidR="004679FF">
        <w:rPr>
          <w:rFonts w:ascii="Times New Roman" w:hAnsi="Times New Roman"/>
          <w:vertAlign w:val="subscript"/>
        </w:rPr>
        <w:t>1,3-BDO</w:t>
      </w:r>
      <w:r w:rsidR="004679FF">
        <w:rPr>
          <w:rFonts w:ascii="Times New Roman" w:hAnsi="Times New Roman"/>
        </w:rPr>
        <w:t>/</w:t>
      </w:r>
      <w:proofErr w:type="spellStart"/>
      <w:r w:rsidR="004679FF">
        <w:rPr>
          <w:rFonts w:ascii="Times New Roman" w:hAnsi="Times New Roman"/>
        </w:rPr>
        <w:t>mol</w:t>
      </w:r>
      <w:r w:rsidR="004679FF">
        <w:rPr>
          <w:rFonts w:ascii="Times New Roman" w:hAnsi="Times New Roman"/>
          <w:vertAlign w:val="subscript"/>
        </w:rPr>
        <w:t>Ru</w:t>
      </w:r>
      <w:proofErr w:type="spellEnd"/>
      <w:r w:rsidR="004679FF">
        <w:rPr>
          <w:rFonts w:ascii="Times New Roman" w:hAnsi="Times New Roman"/>
        </w:rPr>
        <w:t>)</w:t>
      </w:r>
      <w:r w:rsidR="00CE62A2">
        <w:rPr>
          <w:rFonts w:ascii="Times New Roman" w:hAnsi="Times New Roman"/>
        </w:rPr>
        <w:t>.</w:t>
      </w:r>
    </w:p>
    <w:p w14:paraId="3008F4F0" w14:textId="11EC5942" w:rsidR="000C6861" w:rsidRDefault="00883708" w:rsidP="0039244B">
      <w:pPr>
        <w:pStyle w:val="TAMainText"/>
        <w:ind w:firstLine="284"/>
        <w:rPr>
          <w:rFonts w:ascii="Times New Roman" w:hAnsi="Times New Roman"/>
        </w:rPr>
      </w:pPr>
      <w:r>
        <w:rPr>
          <w:rFonts w:ascii="Times New Roman" w:hAnsi="Times New Roman"/>
        </w:rPr>
        <w:t>Due to lack of characterization of the synthesized catalysts, the only assumption</w:t>
      </w:r>
      <w:r w:rsidR="00E30F56">
        <w:rPr>
          <w:rFonts w:ascii="Times New Roman" w:hAnsi="Times New Roman"/>
        </w:rPr>
        <w:t xml:space="preserve"> that can be made </w:t>
      </w:r>
      <w:proofErr w:type="gramStart"/>
      <w:r w:rsidR="00E30F56">
        <w:rPr>
          <w:rFonts w:ascii="Times New Roman" w:hAnsi="Times New Roman"/>
        </w:rPr>
        <w:t>at the moment</w:t>
      </w:r>
      <w:proofErr w:type="gramEnd"/>
      <w:r w:rsidR="00E30F56">
        <w:rPr>
          <w:rFonts w:ascii="Times New Roman" w:hAnsi="Times New Roman"/>
        </w:rPr>
        <w:t xml:space="preserve"> is that the observed activity effect of Ru on SiO</w:t>
      </w:r>
      <w:r w:rsidR="00E30F56">
        <w:rPr>
          <w:rFonts w:ascii="Times New Roman" w:hAnsi="Times New Roman"/>
          <w:vertAlign w:val="subscript"/>
        </w:rPr>
        <w:t>2</w:t>
      </w:r>
      <w:r w:rsidR="00E30F56">
        <w:rPr>
          <w:rFonts w:ascii="Times New Roman" w:hAnsi="Times New Roman"/>
        </w:rPr>
        <w:t xml:space="preserve"> may be caused by larger particle size</w:t>
      </w:r>
      <w:r w:rsidR="00F57397">
        <w:rPr>
          <w:rFonts w:ascii="Times New Roman" w:hAnsi="Times New Roman"/>
        </w:rPr>
        <w:t>s</w:t>
      </w:r>
      <w:r w:rsidR="00E30F56">
        <w:rPr>
          <w:rFonts w:ascii="Times New Roman" w:hAnsi="Times New Roman"/>
        </w:rPr>
        <w:t xml:space="preserve"> (Fig. 1)</w:t>
      </w:r>
      <w:r w:rsidR="00F57397">
        <w:rPr>
          <w:rFonts w:ascii="Times New Roman" w:hAnsi="Times New Roman"/>
        </w:rPr>
        <w:t>.</w:t>
      </w:r>
    </w:p>
    <w:p w14:paraId="1405EA21" w14:textId="77777777" w:rsidR="00D927B9" w:rsidRPr="00107C0F" w:rsidRDefault="00D927B9" w:rsidP="00D927B9">
      <w:pPr>
        <w:spacing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Hence, understanding the mechanisms of HBA hydrogenation to 1,3-BDO and side reactions occurring is critical for the development of more selective catalysts. With the current equipment available, a mechanistic study of reactions involving 1,3-BDO was carried out. The next section details the procedures employed and results obtained.</w:t>
      </w:r>
    </w:p>
    <w:p w14:paraId="325E14FC" w14:textId="0B93AA5B" w:rsidR="0044657C" w:rsidRPr="00EC673A" w:rsidRDefault="0044657C" w:rsidP="00A85F41">
      <w:pPr>
        <w:pStyle w:val="TAMainText"/>
        <w:ind w:firstLine="0"/>
        <w:rPr>
          <w:rFonts w:ascii="Times New Roman" w:hAnsi="Times New Roman"/>
        </w:rPr>
      </w:pPr>
    </w:p>
    <w:p w14:paraId="6CC5594C" w14:textId="77777777" w:rsidR="00936724" w:rsidRPr="005103DE" w:rsidRDefault="00936724" w:rsidP="00936724">
      <w:pPr>
        <w:jc w:val="both"/>
        <w:rPr>
          <w:rFonts w:ascii="Times New Roman" w:hAnsi="Times New Roman" w:cs="Times New Roman"/>
          <w:lang w:val="en-US"/>
        </w:rPr>
      </w:pPr>
    </w:p>
    <w:p w14:paraId="7958BCB7" w14:textId="151F70C0" w:rsidR="00D5664C" w:rsidRDefault="00FF03D8" w:rsidP="00EA4E1B">
      <w:pPr>
        <w:jc w:val="center"/>
        <w:rPr>
          <w:rFonts w:ascii="Times New Roman" w:hAnsi="Times New Roman" w:cs="Times New Roman"/>
        </w:rPr>
      </w:pPr>
      <w:r w:rsidRPr="00FF03D8">
        <w:rPr>
          <w:noProof/>
        </w:rPr>
        <w:drawing>
          <wp:inline distT="0" distB="0" distL="0" distR="0" wp14:anchorId="49198938" wp14:editId="4783280A">
            <wp:extent cx="2880000" cy="2320138"/>
            <wp:effectExtent l="0" t="0" r="0" b="444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l="1845" t="3911" r="2349" b="1415"/>
                    <a:stretch/>
                  </pic:blipFill>
                  <pic:spPr bwMode="auto">
                    <a:xfrm>
                      <a:off x="0" y="0"/>
                      <a:ext cx="2880000" cy="2320138"/>
                    </a:xfrm>
                    <a:prstGeom prst="rect">
                      <a:avLst/>
                    </a:prstGeom>
                    <a:noFill/>
                    <a:ln>
                      <a:noFill/>
                    </a:ln>
                    <a:extLst>
                      <a:ext uri="{53640926-AAD7-44D8-BBD7-CCE9431645EC}">
                        <a14:shadowObscured xmlns:a14="http://schemas.microsoft.com/office/drawing/2010/main"/>
                      </a:ext>
                    </a:extLst>
                  </pic:spPr>
                </pic:pic>
              </a:graphicData>
            </a:graphic>
          </wp:inline>
        </w:drawing>
      </w:r>
    </w:p>
    <w:p w14:paraId="370C4B8E" w14:textId="7C36D046" w:rsidR="000B5323" w:rsidRDefault="000B5323" w:rsidP="00140C7B">
      <w:pPr>
        <w:pStyle w:val="VAFigureCaption"/>
      </w:pPr>
      <w:r w:rsidRPr="005103DE">
        <w:rPr>
          <w:b/>
          <w:bCs/>
        </w:rPr>
        <w:t xml:space="preserve">Figure </w:t>
      </w:r>
      <w:r w:rsidR="008F242A">
        <w:rPr>
          <w:b/>
          <w:bCs/>
        </w:rPr>
        <w:t>5</w:t>
      </w:r>
      <w:r w:rsidRPr="005103DE">
        <w:rPr>
          <w:b/>
          <w:bCs/>
        </w:rPr>
        <w:t xml:space="preserve">. </w:t>
      </w:r>
      <w:r w:rsidR="005B0B7C" w:rsidRPr="005B0B7C">
        <w:t>T</w:t>
      </w:r>
      <w:r w:rsidR="005B0B7C">
        <w:t>urnover numbers of HBA conversion (TON</w:t>
      </w:r>
      <w:r w:rsidR="005B0B7C">
        <w:rPr>
          <w:vertAlign w:val="subscript"/>
        </w:rPr>
        <w:t>X</w:t>
      </w:r>
      <w:r w:rsidR="005B0B7C">
        <w:t>) and 1,3-BDO production (TON</w:t>
      </w:r>
      <w:r w:rsidR="005B0B7C">
        <w:rPr>
          <w:vertAlign w:val="subscript"/>
        </w:rPr>
        <w:t>P</w:t>
      </w:r>
      <w:r w:rsidR="005B0B7C">
        <w:t>) determined at 130 and 150 ºC.</w:t>
      </w:r>
      <w:r w:rsidRPr="005103DE">
        <w:t xml:space="preserve"> Parameters: P</w:t>
      </w:r>
      <w:r>
        <w:rPr>
          <w:vertAlign w:val="subscript"/>
        </w:rPr>
        <w:t xml:space="preserve"> </w:t>
      </w:r>
      <w:r w:rsidRPr="005103DE">
        <w:t xml:space="preserve">= 70 bar, </w:t>
      </w:r>
      <w:proofErr w:type="spellStart"/>
      <w:r w:rsidRPr="005103DE">
        <w:t>m</w:t>
      </w:r>
      <w:r w:rsidRPr="005103DE">
        <w:rPr>
          <w:vertAlign w:val="subscript"/>
        </w:rPr>
        <w:t>cat</w:t>
      </w:r>
      <w:proofErr w:type="spellEnd"/>
      <w:r w:rsidRPr="005103DE">
        <w:t xml:space="preserve"> = </w:t>
      </w:r>
      <w:r>
        <w:t>150</w:t>
      </w:r>
      <w:r w:rsidRPr="005103DE">
        <w:t xml:space="preserve"> mg, t = 5 h.</w:t>
      </w:r>
    </w:p>
    <w:p w14:paraId="0D80BF6A" w14:textId="77777777" w:rsidR="002766AA" w:rsidRDefault="002766AA" w:rsidP="000B5323">
      <w:pPr>
        <w:spacing w:line="240" w:lineRule="auto"/>
        <w:jc w:val="both"/>
        <w:rPr>
          <w:rFonts w:ascii="Times New Roman" w:hAnsi="Times New Roman" w:cs="Times New Roman"/>
          <w:sz w:val="18"/>
          <w:szCs w:val="18"/>
          <w:lang w:val="en-US"/>
        </w:rPr>
      </w:pPr>
    </w:p>
    <w:p w14:paraId="5DE1ECD6" w14:textId="77777777" w:rsidR="002766AA" w:rsidRPr="009B00F9" w:rsidRDefault="002766AA" w:rsidP="002766AA">
      <w:pPr>
        <w:pStyle w:val="TAMainText"/>
        <w:ind w:firstLine="0"/>
        <w:rPr>
          <w:rFonts w:ascii="Times New Roman" w:hAnsi="Times New Roman"/>
          <w:i/>
          <w:iCs/>
        </w:rPr>
      </w:pPr>
      <w:r w:rsidRPr="009B00F9">
        <w:rPr>
          <w:rFonts w:ascii="Times New Roman" w:hAnsi="Times New Roman"/>
          <w:i/>
          <w:iCs/>
        </w:rPr>
        <w:t>Mechanistic investigation o</w:t>
      </w:r>
      <w:r>
        <w:rPr>
          <w:rFonts w:ascii="Times New Roman" w:hAnsi="Times New Roman"/>
          <w:i/>
          <w:iCs/>
        </w:rPr>
        <w:t>f 1,3-BDO side reactions</w:t>
      </w:r>
    </w:p>
    <w:p w14:paraId="4DA2C85C" w14:textId="77777777" w:rsidR="008749F4" w:rsidRDefault="003618BD" w:rsidP="0061746D">
      <w:pPr>
        <w:pStyle w:val="TAMainText"/>
        <w:ind w:firstLine="187"/>
        <w:rPr>
          <w:rFonts w:ascii="Times New Roman" w:hAnsi="Times New Roman"/>
        </w:rPr>
      </w:pPr>
      <w:bookmarkStart w:id="4" w:name="_Hlk133688158"/>
      <w:r>
        <w:rPr>
          <w:rFonts w:ascii="Times New Roman" w:hAnsi="Times New Roman"/>
        </w:rPr>
        <w:t>The investigation consist</w:t>
      </w:r>
      <w:r w:rsidR="00785107">
        <w:rPr>
          <w:rFonts w:ascii="Times New Roman" w:hAnsi="Times New Roman"/>
        </w:rPr>
        <w:t>ed</w:t>
      </w:r>
      <w:r>
        <w:rPr>
          <w:rFonts w:ascii="Times New Roman" w:hAnsi="Times New Roman"/>
        </w:rPr>
        <w:t xml:space="preserve"> in modifying</w:t>
      </w:r>
      <w:r w:rsidR="0003288B">
        <w:rPr>
          <w:rFonts w:ascii="Times New Roman" w:hAnsi="Times New Roman"/>
        </w:rPr>
        <w:t xml:space="preserve"> reaction conditions </w:t>
      </w:r>
      <w:r w:rsidR="00DD181A">
        <w:rPr>
          <w:rFonts w:ascii="Times New Roman" w:hAnsi="Times New Roman"/>
        </w:rPr>
        <w:t>to</w:t>
      </w:r>
      <w:r w:rsidR="0003288B">
        <w:rPr>
          <w:rFonts w:ascii="Times New Roman" w:hAnsi="Times New Roman"/>
        </w:rPr>
        <w:t xml:space="preserve"> control 1,3-BDO degradation and prevent intermediates to be further converted. The goal </w:t>
      </w:r>
      <w:r w:rsidR="00785107">
        <w:rPr>
          <w:rFonts w:ascii="Times New Roman" w:hAnsi="Times New Roman"/>
        </w:rPr>
        <w:t>was</w:t>
      </w:r>
      <w:r w:rsidR="0003288B">
        <w:rPr>
          <w:rFonts w:ascii="Times New Roman" w:hAnsi="Times New Roman"/>
        </w:rPr>
        <w:t xml:space="preserve"> to identify the path</w:t>
      </w:r>
      <w:r w:rsidR="00DD181A">
        <w:rPr>
          <w:rFonts w:ascii="Times New Roman" w:hAnsi="Times New Roman"/>
        </w:rPr>
        <w:t xml:space="preserve">way leading </w:t>
      </w:r>
      <w:r w:rsidR="00832F6A">
        <w:rPr>
          <w:rFonts w:ascii="Times New Roman" w:hAnsi="Times New Roman"/>
        </w:rPr>
        <w:t>1,3-BDO</w:t>
      </w:r>
      <w:r w:rsidR="00DD181A">
        <w:rPr>
          <w:rFonts w:ascii="Times New Roman" w:hAnsi="Times New Roman"/>
        </w:rPr>
        <w:t xml:space="preserve"> to 2-Propanol and 2-Butanol.</w:t>
      </w:r>
      <w:r w:rsidR="00407937">
        <w:rPr>
          <w:rFonts w:ascii="Times New Roman" w:hAnsi="Times New Roman"/>
        </w:rPr>
        <w:t xml:space="preserve"> Ideally, the identification of unknown substances should be conducted with mass spectrometry, however, at the time of research, only the HPLC equipment was available</w:t>
      </w:r>
      <w:r w:rsidR="006F2ED1">
        <w:rPr>
          <w:rFonts w:ascii="Times New Roman" w:hAnsi="Times New Roman"/>
        </w:rPr>
        <w:t xml:space="preserve">. </w:t>
      </w:r>
    </w:p>
    <w:p w14:paraId="33A2F74F" w14:textId="10C32D73" w:rsidR="003618BD" w:rsidRDefault="006F2ED1" w:rsidP="0061746D">
      <w:pPr>
        <w:pStyle w:val="TAMainText"/>
        <w:ind w:firstLine="187"/>
        <w:rPr>
          <w:rFonts w:ascii="Times New Roman" w:hAnsi="Times New Roman"/>
        </w:rPr>
      </w:pPr>
      <w:r>
        <w:rPr>
          <w:rFonts w:ascii="Times New Roman" w:hAnsi="Times New Roman"/>
        </w:rPr>
        <w:t xml:space="preserve">Thus, </w:t>
      </w:r>
      <w:r w:rsidR="005F1ABA">
        <w:rPr>
          <w:rFonts w:ascii="Times New Roman" w:hAnsi="Times New Roman"/>
        </w:rPr>
        <w:t xml:space="preserve">from theory and literature on </w:t>
      </w:r>
      <w:r w:rsidR="00473546">
        <w:rPr>
          <w:rFonts w:ascii="Times New Roman" w:hAnsi="Times New Roman"/>
        </w:rPr>
        <w:t>1,3-BDO</w:t>
      </w:r>
      <w:r>
        <w:rPr>
          <w:rFonts w:ascii="Times New Roman" w:hAnsi="Times New Roman"/>
        </w:rPr>
        <w:t xml:space="preserve"> </w:t>
      </w:r>
      <w:r w:rsidR="00473546">
        <w:rPr>
          <w:rFonts w:ascii="Times New Roman" w:hAnsi="Times New Roman"/>
        </w:rPr>
        <w:t>conversion</w:t>
      </w:r>
      <w:r w:rsidR="005329F8">
        <w:rPr>
          <w:rFonts w:ascii="Times New Roman" w:hAnsi="Times New Roman"/>
        </w:rPr>
        <w:t xml:space="preserve"> (</w:t>
      </w:r>
      <w:r w:rsidR="00E8329D">
        <w:rPr>
          <w:rFonts w:ascii="Times New Roman" w:hAnsi="Times New Roman"/>
        </w:rPr>
        <w:t>7</w:t>
      </w:r>
      <w:r w:rsidR="00C012C8" w:rsidRPr="00C012C8">
        <w:rPr>
          <w:rFonts w:ascii="Times New Roman" w:hAnsi="Times New Roman"/>
        </w:rPr>
        <w:t>-</w:t>
      </w:r>
      <w:r w:rsidR="00E8329D">
        <w:rPr>
          <w:rFonts w:ascii="Times New Roman" w:hAnsi="Times New Roman"/>
        </w:rPr>
        <w:t>9</w:t>
      </w:r>
      <w:r w:rsidR="005329F8">
        <w:rPr>
          <w:rFonts w:ascii="Times New Roman" w:hAnsi="Times New Roman"/>
        </w:rPr>
        <w:t>)</w:t>
      </w:r>
      <w:r w:rsidR="00473546">
        <w:rPr>
          <w:rFonts w:ascii="Times New Roman" w:hAnsi="Times New Roman"/>
        </w:rPr>
        <w:t>, standard solutions of the possible intermediates were analyzed by HPLC to identify each retention time</w:t>
      </w:r>
      <w:r w:rsidR="009A4588">
        <w:rPr>
          <w:rFonts w:ascii="Times New Roman" w:hAnsi="Times New Roman"/>
        </w:rPr>
        <w:t xml:space="preserve"> (</w:t>
      </w:r>
      <w:proofErr w:type="spellStart"/>
      <w:r w:rsidR="009A4588">
        <w:rPr>
          <w:rFonts w:ascii="Times New Roman" w:hAnsi="Times New Roman"/>
        </w:rPr>
        <w:t>t</w:t>
      </w:r>
      <w:r w:rsidR="009A4588">
        <w:rPr>
          <w:rFonts w:ascii="Times New Roman" w:hAnsi="Times New Roman"/>
          <w:vertAlign w:val="subscript"/>
        </w:rPr>
        <w:t>R</w:t>
      </w:r>
      <w:proofErr w:type="spellEnd"/>
      <w:r w:rsidR="009A4588">
        <w:rPr>
          <w:rFonts w:ascii="Times New Roman" w:hAnsi="Times New Roman"/>
        </w:rPr>
        <w:t>)</w:t>
      </w:r>
      <w:r w:rsidR="00473546">
        <w:rPr>
          <w:rFonts w:ascii="Times New Roman" w:hAnsi="Times New Roman"/>
        </w:rPr>
        <w:t>, which depends on the molecule structure</w:t>
      </w:r>
      <w:r w:rsidR="003D500A">
        <w:rPr>
          <w:rFonts w:ascii="Times New Roman" w:hAnsi="Times New Roman"/>
        </w:rPr>
        <w:t>, then correlate with the signals obtained in the procedures to be described below. However, the identification may be misleading, as different compounds may present similar retention time, hence, additional analyses were performed in the HPLC by changing the oven temperature (</w:t>
      </w:r>
      <w:proofErr w:type="spellStart"/>
      <w:r w:rsidR="003D500A">
        <w:rPr>
          <w:rFonts w:ascii="Times New Roman" w:hAnsi="Times New Roman"/>
        </w:rPr>
        <w:t>T</w:t>
      </w:r>
      <w:r w:rsidR="003D500A">
        <w:rPr>
          <w:rFonts w:ascii="Times New Roman" w:hAnsi="Times New Roman"/>
          <w:vertAlign w:val="subscript"/>
        </w:rPr>
        <w:t>oven</w:t>
      </w:r>
      <w:proofErr w:type="spellEnd"/>
      <w:r w:rsidR="003D500A">
        <w:rPr>
          <w:rFonts w:ascii="Times New Roman" w:hAnsi="Times New Roman"/>
        </w:rPr>
        <w:t>) from 65 ºC (temperature used in typical analyses) to 30 ºC</w:t>
      </w:r>
      <w:r w:rsidR="0061746D">
        <w:rPr>
          <w:rFonts w:ascii="Times New Roman" w:hAnsi="Times New Roman"/>
        </w:rPr>
        <w:t xml:space="preserve"> to</w:t>
      </w:r>
      <w:r w:rsidR="003D500A">
        <w:rPr>
          <w:rFonts w:ascii="Times New Roman" w:hAnsi="Times New Roman"/>
        </w:rPr>
        <w:t xml:space="preserve"> confirm assignments by observing the retention time shift of the samples. In other words, </w:t>
      </w:r>
      <w:r w:rsidR="0061746D">
        <w:rPr>
          <w:rFonts w:ascii="Times New Roman" w:hAnsi="Times New Roman"/>
        </w:rPr>
        <w:t>the assignment was only made if the signal matched the standard solution at both temperatures.</w:t>
      </w:r>
      <w:r w:rsidR="003D500A">
        <w:rPr>
          <w:rFonts w:ascii="Times New Roman" w:hAnsi="Times New Roman"/>
        </w:rPr>
        <w:t xml:space="preserve"> </w:t>
      </w:r>
    </w:p>
    <w:p w14:paraId="7358E3E9" w14:textId="76CBB87F" w:rsidR="0057543F" w:rsidRDefault="009B01A3" w:rsidP="002766AA">
      <w:pPr>
        <w:pStyle w:val="TAMainText"/>
        <w:ind w:firstLine="187"/>
        <w:rPr>
          <w:rFonts w:ascii="Times New Roman" w:hAnsi="Times New Roman"/>
        </w:rPr>
      </w:pPr>
      <w:r>
        <w:rPr>
          <w:rFonts w:ascii="Times New Roman" w:hAnsi="Times New Roman"/>
        </w:rPr>
        <w:lastRenderedPageBreak/>
        <w:t>Therefore</w:t>
      </w:r>
      <w:r w:rsidR="002766AA">
        <w:rPr>
          <w:rFonts w:ascii="Times New Roman" w:hAnsi="Times New Roman"/>
        </w:rPr>
        <w:t xml:space="preserve">, three additional </w:t>
      </w:r>
      <w:r w:rsidR="002E5569">
        <w:rPr>
          <w:rFonts w:ascii="Times New Roman" w:hAnsi="Times New Roman"/>
        </w:rPr>
        <w:t>experiments</w:t>
      </w:r>
      <w:r w:rsidR="002766AA">
        <w:rPr>
          <w:rFonts w:ascii="Times New Roman" w:hAnsi="Times New Roman"/>
        </w:rPr>
        <w:t xml:space="preserve"> were</w:t>
      </w:r>
      <w:r w:rsidR="00B917A6">
        <w:rPr>
          <w:rFonts w:ascii="Times New Roman" w:hAnsi="Times New Roman"/>
        </w:rPr>
        <w:t xml:space="preserve"> performed</w:t>
      </w:r>
      <w:r w:rsidR="002766AA">
        <w:rPr>
          <w:rFonts w:ascii="Times New Roman" w:hAnsi="Times New Roman"/>
        </w:rPr>
        <w:t>: a)</w:t>
      </w:r>
      <w:r w:rsidR="00705EA9">
        <w:rPr>
          <w:rFonts w:ascii="Times New Roman" w:hAnsi="Times New Roman"/>
        </w:rPr>
        <w:t xml:space="preserve"> </w:t>
      </w:r>
      <w:r w:rsidR="0045713A">
        <w:rPr>
          <w:rFonts w:ascii="Times New Roman" w:hAnsi="Times New Roman"/>
        </w:rPr>
        <w:t xml:space="preserve">1,3-BDO conversion </w:t>
      </w:r>
      <w:r w:rsidR="00705EA9">
        <w:rPr>
          <w:rFonts w:ascii="Times New Roman" w:hAnsi="Times New Roman"/>
        </w:rPr>
        <w:t>under inert atmosphere</w:t>
      </w:r>
      <w:r w:rsidR="00073BD2">
        <w:rPr>
          <w:rFonts w:ascii="Times New Roman" w:hAnsi="Times New Roman"/>
        </w:rPr>
        <w:t xml:space="preserve"> (</w:t>
      </w:r>
      <w:r w:rsidR="00855A69">
        <w:rPr>
          <w:rFonts w:ascii="Times New Roman" w:hAnsi="Times New Roman"/>
        </w:rPr>
        <w:t xml:space="preserve">pure </w:t>
      </w:r>
      <w:r w:rsidR="00073BD2">
        <w:rPr>
          <w:rFonts w:ascii="Times New Roman" w:hAnsi="Times New Roman"/>
        </w:rPr>
        <w:t>Argon)</w:t>
      </w:r>
      <w:r w:rsidR="00705EA9">
        <w:rPr>
          <w:rFonts w:ascii="Times New Roman" w:hAnsi="Times New Roman"/>
        </w:rPr>
        <w:t xml:space="preserve"> at 1 bar</w:t>
      </w:r>
      <w:r w:rsidR="00730001">
        <w:rPr>
          <w:rFonts w:ascii="Times New Roman" w:hAnsi="Times New Roman"/>
        </w:rPr>
        <w:t>;</w:t>
      </w:r>
      <w:r w:rsidR="00705EA9">
        <w:rPr>
          <w:rFonts w:ascii="Times New Roman" w:hAnsi="Times New Roman"/>
        </w:rPr>
        <w:t xml:space="preserve"> b) </w:t>
      </w:r>
      <w:r w:rsidR="0045713A">
        <w:rPr>
          <w:rFonts w:ascii="Times New Roman" w:hAnsi="Times New Roman"/>
        </w:rPr>
        <w:t xml:space="preserve">1,3-BDO hydrogenation </w:t>
      </w:r>
      <w:bookmarkEnd w:id="4"/>
      <w:r w:rsidR="00705EA9">
        <w:rPr>
          <w:rFonts w:ascii="Times New Roman" w:hAnsi="Times New Roman"/>
        </w:rPr>
        <w:t xml:space="preserve">at </w:t>
      </w:r>
      <w:r w:rsidR="00730001">
        <w:rPr>
          <w:rFonts w:ascii="Times New Roman" w:hAnsi="Times New Roman"/>
        </w:rPr>
        <w:t>1 bar; and c) 4-Hydroxy-2-Butanone</w:t>
      </w:r>
      <w:r w:rsidR="00E13C59">
        <w:rPr>
          <w:rFonts w:ascii="Times New Roman" w:hAnsi="Times New Roman"/>
        </w:rPr>
        <w:t xml:space="preserve"> (4H2B</w:t>
      </w:r>
      <w:r w:rsidR="00730001">
        <w:rPr>
          <w:rFonts w:ascii="Times New Roman" w:hAnsi="Times New Roman"/>
        </w:rPr>
        <w:t>)</w:t>
      </w:r>
      <w:r w:rsidR="00E13C59">
        <w:rPr>
          <w:rFonts w:ascii="Times New Roman" w:hAnsi="Times New Roman"/>
        </w:rPr>
        <w:t xml:space="preserve"> </w:t>
      </w:r>
      <w:r w:rsidR="0045713A">
        <w:rPr>
          <w:rFonts w:ascii="Times New Roman" w:hAnsi="Times New Roman"/>
        </w:rPr>
        <w:t>hydrogenation</w:t>
      </w:r>
      <w:r w:rsidR="00730001">
        <w:rPr>
          <w:rFonts w:ascii="Times New Roman" w:hAnsi="Times New Roman"/>
        </w:rPr>
        <w:t xml:space="preserve"> </w:t>
      </w:r>
      <w:r w:rsidR="0045713A">
        <w:rPr>
          <w:rFonts w:ascii="Times New Roman" w:hAnsi="Times New Roman"/>
        </w:rPr>
        <w:t>at</w:t>
      </w:r>
      <w:r w:rsidR="00730001">
        <w:rPr>
          <w:rFonts w:ascii="Times New Roman" w:hAnsi="Times New Roman"/>
        </w:rPr>
        <w:t xml:space="preserve"> 70 </w:t>
      </w:r>
      <w:proofErr w:type="gramStart"/>
      <w:r w:rsidR="00730001">
        <w:rPr>
          <w:rFonts w:ascii="Times New Roman" w:hAnsi="Times New Roman"/>
        </w:rPr>
        <w:t>bar</w:t>
      </w:r>
      <w:proofErr w:type="gramEnd"/>
      <w:r w:rsidR="00D44B39">
        <w:rPr>
          <w:rFonts w:ascii="Times New Roman" w:hAnsi="Times New Roman"/>
        </w:rPr>
        <w:t>.</w:t>
      </w:r>
      <w:r w:rsidR="0025724E">
        <w:rPr>
          <w:rFonts w:ascii="Times New Roman" w:hAnsi="Times New Roman"/>
        </w:rPr>
        <w:t xml:space="preserve"> </w:t>
      </w:r>
      <w:r w:rsidR="00D44B39">
        <w:rPr>
          <w:rFonts w:ascii="Times New Roman" w:hAnsi="Times New Roman"/>
        </w:rPr>
        <w:t>T</w:t>
      </w:r>
      <w:r w:rsidR="0025724E">
        <w:rPr>
          <w:rFonts w:ascii="Times New Roman" w:hAnsi="Times New Roman"/>
        </w:rPr>
        <w:t xml:space="preserve">he </w:t>
      </w:r>
      <w:r w:rsidR="00A55A10">
        <w:rPr>
          <w:rFonts w:ascii="Times New Roman" w:hAnsi="Times New Roman"/>
        </w:rPr>
        <w:t>results</w:t>
      </w:r>
      <w:r w:rsidR="0025724E">
        <w:rPr>
          <w:rFonts w:ascii="Times New Roman" w:hAnsi="Times New Roman"/>
        </w:rPr>
        <w:t xml:space="preserve"> are presented in </w:t>
      </w:r>
      <w:r w:rsidR="00A55A10">
        <w:rPr>
          <w:rFonts w:ascii="Times New Roman" w:hAnsi="Times New Roman"/>
        </w:rPr>
        <w:t>Table 1</w:t>
      </w:r>
      <w:r w:rsidR="00D44B39">
        <w:rPr>
          <w:rFonts w:ascii="Times New Roman" w:hAnsi="Times New Roman"/>
        </w:rPr>
        <w:t xml:space="preserve"> in terms of conversion and product distribution and the obtained chromatograms are shown in Figure 6</w:t>
      </w:r>
      <w:r w:rsidR="009211B7">
        <w:rPr>
          <w:rFonts w:ascii="Times New Roman" w:hAnsi="Times New Roman"/>
        </w:rPr>
        <w:t xml:space="preserve"> (solid line and dotted line: </w:t>
      </w:r>
      <w:proofErr w:type="spellStart"/>
      <w:r w:rsidR="009211B7">
        <w:rPr>
          <w:rFonts w:ascii="Times New Roman" w:hAnsi="Times New Roman"/>
        </w:rPr>
        <w:t>T</w:t>
      </w:r>
      <w:r w:rsidR="009211B7">
        <w:rPr>
          <w:rFonts w:ascii="Times New Roman" w:hAnsi="Times New Roman"/>
          <w:vertAlign w:val="subscript"/>
        </w:rPr>
        <w:t>oven</w:t>
      </w:r>
      <w:proofErr w:type="spellEnd"/>
      <w:r w:rsidR="009211B7">
        <w:rPr>
          <w:rFonts w:ascii="Times New Roman" w:hAnsi="Times New Roman"/>
        </w:rPr>
        <w:t xml:space="preserve"> = 65 ºC and </w:t>
      </w:r>
      <w:proofErr w:type="spellStart"/>
      <w:r w:rsidR="009211B7">
        <w:rPr>
          <w:rFonts w:ascii="Times New Roman" w:hAnsi="Times New Roman"/>
        </w:rPr>
        <w:t>T</w:t>
      </w:r>
      <w:r w:rsidR="009211B7">
        <w:rPr>
          <w:rFonts w:ascii="Times New Roman" w:hAnsi="Times New Roman"/>
          <w:vertAlign w:val="subscript"/>
        </w:rPr>
        <w:t>oven</w:t>
      </w:r>
      <w:proofErr w:type="spellEnd"/>
      <w:r w:rsidR="009211B7">
        <w:rPr>
          <w:rFonts w:ascii="Times New Roman" w:hAnsi="Times New Roman"/>
        </w:rPr>
        <w:t xml:space="preserve"> = 30 ºC, respectively)</w:t>
      </w:r>
      <w:r w:rsidR="0025724E">
        <w:rPr>
          <w:rFonts w:ascii="Times New Roman" w:hAnsi="Times New Roman"/>
        </w:rPr>
        <w:t>.</w:t>
      </w:r>
      <w:r w:rsidR="00C87931">
        <w:rPr>
          <w:rFonts w:ascii="Times New Roman" w:hAnsi="Times New Roman"/>
        </w:rPr>
        <w:t xml:space="preserve"> </w:t>
      </w:r>
      <w:r w:rsidR="00E20971">
        <w:rPr>
          <w:rFonts w:ascii="Times New Roman" w:hAnsi="Times New Roman"/>
        </w:rPr>
        <w:t>The selected catalyst for the tests was the commercial 5.0%Ru/C. The retention times of the standard solutions at both analys</w:t>
      </w:r>
      <w:r w:rsidR="00C53B4A">
        <w:rPr>
          <w:rFonts w:ascii="Times New Roman" w:hAnsi="Times New Roman"/>
        </w:rPr>
        <w:t>i</w:t>
      </w:r>
      <w:r w:rsidR="00E20971">
        <w:rPr>
          <w:rFonts w:ascii="Times New Roman" w:hAnsi="Times New Roman"/>
        </w:rPr>
        <w:t>s temperatures are given in Table 2.</w:t>
      </w:r>
    </w:p>
    <w:p w14:paraId="355BF664" w14:textId="77777777" w:rsidR="00E62406" w:rsidRDefault="00E62406" w:rsidP="002766AA">
      <w:pPr>
        <w:pStyle w:val="TAMainText"/>
        <w:ind w:firstLine="187"/>
        <w:rPr>
          <w:rFonts w:ascii="Times New Roman" w:hAnsi="Times New Roman"/>
        </w:rPr>
      </w:pPr>
    </w:p>
    <w:p w14:paraId="2C3D674B" w14:textId="77777777" w:rsidR="00140CC8" w:rsidRDefault="00140CC8" w:rsidP="002766AA">
      <w:pPr>
        <w:pStyle w:val="TAMainText"/>
        <w:ind w:firstLine="187"/>
        <w:rPr>
          <w:rFonts w:ascii="Times New Roman" w:hAnsi="Times New Roman"/>
        </w:rPr>
      </w:pPr>
    </w:p>
    <w:p w14:paraId="422DC791" w14:textId="390E354F" w:rsidR="00140CC8" w:rsidRPr="00007D6F" w:rsidRDefault="00140CC8" w:rsidP="00140CC8">
      <w:pPr>
        <w:pStyle w:val="VDTableTitle"/>
        <w:spacing w:after="120"/>
        <w:jc w:val="both"/>
        <w:rPr>
          <w:rFonts w:ascii="Times New Roman" w:hAnsi="Times New Roman"/>
        </w:rPr>
      </w:pPr>
      <w:r w:rsidRPr="003618BD">
        <w:rPr>
          <w:rFonts w:ascii="Times New Roman" w:hAnsi="Times New Roman"/>
          <w:b/>
        </w:rPr>
        <w:t>Tab</w:t>
      </w:r>
      <w:r w:rsidR="001B2D51" w:rsidRPr="003618BD">
        <w:rPr>
          <w:rFonts w:ascii="Times New Roman" w:hAnsi="Times New Roman"/>
          <w:b/>
        </w:rPr>
        <w:t>le</w:t>
      </w:r>
      <w:r w:rsidRPr="003618BD">
        <w:rPr>
          <w:rFonts w:ascii="Times New Roman" w:hAnsi="Times New Roman"/>
          <w:b/>
        </w:rPr>
        <w:t xml:space="preserve"> 1.</w:t>
      </w:r>
      <w:r w:rsidRPr="003618BD">
        <w:rPr>
          <w:rFonts w:ascii="Times New Roman" w:hAnsi="Times New Roman"/>
        </w:rPr>
        <w:t xml:space="preserve"> </w:t>
      </w:r>
      <w:r w:rsidR="00C60F84" w:rsidRPr="00953D20">
        <w:t>Conversion and products distribution obtained in the tests: a) 1,3-BDO conversion under inert atmosphere at 1 bar, b) 1,3-BDO hydrogenation at 1 bar and c) 4H2B hydrogenation at 70 bar.</w:t>
      </w:r>
      <w:r w:rsidR="00915521">
        <w:t xml:space="preserve"> X is the 1,3-BDO or 4H2B conversion</w:t>
      </w:r>
      <w:r w:rsidR="00C47DB0">
        <w:t>.</w:t>
      </w:r>
      <w:r w:rsidR="00007D6F" w:rsidRPr="00953D20">
        <w:t xml:space="preserve">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96"/>
        <w:gridCol w:w="648"/>
        <w:gridCol w:w="869"/>
        <w:gridCol w:w="858"/>
        <w:gridCol w:w="1000"/>
        <w:gridCol w:w="897"/>
      </w:tblGrid>
      <w:tr w:rsidR="00531AE4" w:rsidRPr="00C60F84" w14:paraId="399CE258" w14:textId="00172694" w:rsidTr="003D375E">
        <w:trPr>
          <w:trHeight w:val="20"/>
        </w:trPr>
        <w:tc>
          <w:tcPr>
            <w:tcW w:w="519" w:type="pct"/>
            <w:tcBorders>
              <w:top w:val="single" w:sz="4" w:space="0" w:color="auto"/>
              <w:left w:val="nil"/>
              <w:bottom w:val="single" w:sz="4" w:space="0" w:color="auto"/>
              <w:right w:val="nil"/>
            </w:tcBorders>
            <w:vAlign w:val="center"/>
          </w:tcPr>
          <w:p w14:paraId="54BCF9D1" w14:textId="77777777" w:rsidR="00531AE4" w:rsidRDefault="00531AE4" w:rsidP="00C47DB0">
            <w:pPr>
              <w:pStyle w:val="TCTableBody"/>
              <w:jc w:val="center"/>
            </w:pPr>
          </w:p>
        </w:tc>
        <w:tc>
          <w:tcPr>
            <w:tcW w:w="679" w:type="pct"/>
            <w:tcBorders>
              <w:top w:val="single" w:sz="4" w:space="0" w:color="auto"/>
              <w:left w:val="nil"/>
              <w:bottom w:val="single" w:sz="4" w:space="0" w:color="auto"/>
              <w:right w:val="single" w:sz="4" w:space="0" w:color="auto"/>
            </w:tcBorders>
            <w:vAlign w:val="center"/>
          </w:tcPr>
          <w:p w14:paraId="70C8B97D" w14:textId="77777777" w:rsidR="00531AE4" w:rsidRDefault="00531AE4" w:rsidP="00C47DB0">
            <w:pPr>
              <w:pStyle w:val="TCTableBody"/>
              <w:jc w:val="center"/>
            </w:pPr>
          </w:p>
        </w:tc>
        <w:tc>
          <w:tcPr>
            <w:tcW w:w="3801" w:type="pct"/>
            <w:gridSpan w:val="4"/>
            <w:tcBorders>
              <w:top w:val="single" w:sz="4" w:space="0" w:color="auto"/>
              <w:left w:val="single" w:sz="4" w:space="0" w:color="auto"/>
              <w:bottom w:val="single" w:sz="4" w:space="0" w:color="auto"/>
              <w:right w:val="nil"/>
            </w:tcBorders>
            <w:vAlign w:val="center"/>
          </w:tcPr>
          <w:p w14:paraId="4C52FD0D" w14:textId="1FF7E40F" w:rsidR="00531AE4" w:rsidRPr="00C47DB0" w:rsidRDefault="00531AE4" w:rsidP="00C47DB0">
            <w:pPr>
              <w:pStyle w:val="TCTableBody"/>
              <w:jc w:val="center"/>
              <w:rPr>
                <w:b/>
                <w:bCs/>
              </w:rPr>
            </w:pPr>
            <w:r w:rsidRPr="00C47DB0">
              <w:rPr>
                <w:b/>
                <w:bCs/>
              </w:rPr>
              <w:t>Product distribution (</w:t>
            </w:r>
            <w:proofErr w:type="gramStart"/>
            <w:r w:rsidRPr="00C47DB0">
              <w:rPr>
                <w:b/>
                <w:bCs/>
              </w:rPr>
              <w:t>mol.L</w:t>
            </w:r>
            <w:proofErr w:type="gramEnd"/>
            <w:r w:rsidRPr="00C47DB0">
              <w:rPr>
                <w:b/>
                <w:bCs/>
                <w:vertAlign w:val="superscript"/>
              </w:rPr>
              <w:t>-1</w:t>
            </w:r>
            <w:r w:rsidRPr="00C47DB0">
              <w:rPr>
                <w:b/>
                <w:bCs/>
              </w:rPr>
              <w:t>)</w:t>
            </w:r>
          </w:p>
        </w:tc>
      </w:tr>
      <w:tr w:rsidR="009563CD" w:rsidRPr="00C60F84" w14:paraId="631F8BA3" w14:textId="28A4A0B7" w:rsidTr="003D375E">
        <w:trPr>
          <w:trHeight w:val="20"/>
        </w:trPr>
        <w:tc>
          <w:tcPr>
            <w:tcW w:w="519" w:type="pct"/>
            <w:tcBorders>
              <w:top w:val="single" w:sz="4" w:space="0" w:color="auto"/>
              <w:left w:val="nil"/>
              <w:bottom w:val="single" w:sz="4" w:space="0" w:color="auto"/>
              <w:right w:val="nil"/>
            </w:tcBorders>
            <w:vAlign w:val="center"/>
          </w:tcPr>
          <w:p w14:paraId="714DCE21" w14:textId="5B44DF23" w:rsidR="00531AE4" w:rsidRPr="00C47DB0" w:rsidRDefault="00531AE4" w:rsidP="00C47DB0">
            <w:pPr>
              <w:pStyle w:val="TCTableBody"/>
              <w:jc w:val="center"/>
              <w:rPr>
                <w:b/>
                <w:bCs/>
              </w:rPr>
            </w:pPr>
            <w:r w:rsidRPr="00C47DB0">
              <w:rPr>
                <w:b/>
                <w:bCs/>
              </w:rPr>
              <w:t>Test</w:t>
            </w:r>
          </w:p>
        </w:tc>
        <w:tc>
          <w:tcPr>
            <w:tcW w:w="679" w:type="pct"/>
            <w:tcBorders>
              <w:top w:val="single" w:sz="4" w:space="0" w:color="auto"/>
              <w:left w:val="nil"/>
              <w:bottom w:val="single" w:sz="4" w:space="0" w:color="auto"/>
              <w:right w:val="single" w:sz="4" w:space="0" w:color="auto"/>
            </w:tcBorders>
            <w:vAlign w:val="center"/>
          </w:tcPr>
          <w:p w14:paraId="50E9BAA1" w14:textId="08A8F9E3" w:rsidR="00531AE4" w:rsidRPr="00C47DB0" w:rsidRDefault="00531AE4" w:rsidP="00C47DB0">
            <w:pPr>
              <w:pStyle w:val="TCTableBody"/>
              <w:jc w:val="center"/>
              <w:rPr>
                <w:b/>
                <w:bCs/>
              </w:rPr>
            </w:pPr>
            <w:r w:rsidRPr="00C47DB0">
              <w:rPr>
                <w:b/>
                <w:bCs/>
              </w:rPr>
              <w:t>X (%)</w:t>
            </w:r>
          </w:p>
        </w:tc>
        <w:tc>
          <w:tcPr>
            <w:tcW w:w="911" w:type="pct"/>
            <w:tcBorders>
              <w:top w:val="single" w:sz="4" w:space="0" w:color="auto"/>
              <w:left w:val="single" w:sz="4" w:space="0" w:color="auto"/>
              <w:bottom w:val="single" w:sz="4" w:space="0" w:color="auto"/>
              <w:right w:val="nil"/>
            </w:tcBorders>
            <w:vAlign w:val="center"/>
          </w:tcPr>
          <w:p w14:paraId="31A98908" w14:textId="0BC7FC67" w:rsidR="00531AE4" w:rsidRPr="00C47DB0" w:rsidRDefault="00531AE4" w:rsidP="00C47DB0">
            <w:pPr>
              <w:pStyle w:val="TCTableBody"/>
              <w:jc w:val="center"/>
              <w:rPr>
                <w:b/>
                <w:bCs/>
              </w:rPr>
            </w:pPr>
            <w:r w:rsidRPr="00C47DB0">
              <w:rPr>
                <w:b/>
                <w:bCs/>
              </w:rPr>
              <w:t>4H2B</w:t>
            </w:r>
          </w:p>
        </w:tc>
        <w:tc>
          <w:tcPr>
            <w:tcW w:w="900" w:type="pct"/>
            <w:tcBorders>
              <w:top w:val="single" w:sz="4" w:space="0" w:color="auto"/>
              <w:left w:val="nil"/>
              <w:bottom w:val="single" w:sz="4" w:space="0" w:color="auto"/>
              <w:right w:val="nil"/>
            </w:tcBorders>
            <w:vAlign w:val="center"/>
          </w:tcPr>
          <w:p w14:paraId="4FFAC9E1" w14:textId="1BD27794" w:rsidR="00531AE4" w:rsidRPr="00C47DB0" w:rsidRDefault="00531AE4" w:rsidP="00C47DB0">
            <w:pPr>
              <w:pStyle w:val="TCTableBody"/>
              <w:jc w:val="center"/>
              <w:rPr>
                <w:b/>
                <w:bCs/>
              </w:rPr>
            </w:pPr>
            <w:r w:rsidRPr="00C47DB0">
              <w:rPr>
                <w:b/>
                <w:bCs/>
              </w:rPr>
              <w:t>1,3-BDO</w:t>
            </w:r>
          </w:p>
        </w:tc>
        <w:tc>
          <w:tcPr>
            <w:tcW w:w="1049" w:type="pct"/>
            <w:tcBorders>
              <w:top w:val="single" w:sz="4" w:space="0" w:color="auto"/>
              <w:left w:val="nil"/>
              <w:bottom w:val="single" w:sz="4" w:space="0" w:color="auto"/>
              <w:right w:val="nil"/>
            </w:tcBorders>
            <w:vAlign w:val="center"/>
          </w:tcPr>
          <w:p w14:paraId="7472B789" w14:textId="5F4DA240" w:rsidR="00531AE4" w:rsidRPr="00C47DB0" w:rsidRDefault="00531AE4" w:rsidP="00C47DB0">
            <w:pPr>
              <w:pStyle w:val="TCTableBody"/>
              <w:jc w:val="center"/>
              <w:rPr>
                <w:b/>
                <w:bCs/>
              </w:rPr>
            </w:pPr>
            <w:r w:rsidRPr="00C47DB0">
              <w:rPr>
                <w:b/>
                <w:bCs/>
              </w:rPr>
              <w:t>2-Prop</w:t>
            </w:r>
            <w:r w:rsidR="009563CD" w:rsidRPr="00C47DB0">
              <w:rPr>
                <w:b/>
                <w:bCs/>
              </w:rPr>
              <w:t>OH</w:t>
            </w:r>
          </w:p>
        </w:tc>
        <w:tc>
          <w:tcPr>
            <w:tcW w:w="940" w:type="pct"/>
            <w:tcBorders>
              <w:top w:val="single" w:sz="4" w:space="0" w:color="auto"/>
              <w:left w:val="nil"/>
              <w:bottom w:val="single" w:sz="4" w:space="0" w:color="auto"/>
              <w:right w:val="nil"/>
            </w:tcBorders>
            <w:vAlign w:val="center"/>
          </w:tcPr>
          <w:p w14:paraId="15F5CFE9" w14:textId="59B786DA" w:rsidR="00531AE4" w:rsidRPr="00C47DB0" w:rsidRDefault="00531AE4" w:rsidP="00C47DB0">
            <w:pPr>
              <w:pStyle w:val="TCTableBody"/>
              <w:jc w:val="center"/>
              <w:rPr>
                <w:b/>
                <w:bCs/>
              </w:rPr>
            </w:pPr>
            <w:r w:rsidRPr="00C47DB0">
              <w:rPr>
                <w:b/>
                <w:bCs/>
              </w:rPr>
              <w:t>2-But</w:t>
            </w:r>
            <w:r w:rsidR="009563CD" w:rsidRPr="00C47DB0">
              <w:rPr>
                <w:b/>
                <w:bCs/>
              </w:rPr>
              <w:t>OH</w:t>
            </w:r>
          </w:p>
        </w:tc>
      </w:tr>
      <w:tr w:rsidR="00C47DB0" w:rsidRPr="00C60F84" w14:paraId="7674E3AD" w14:textId="428D0EEF" w:rsidTr="003D375E">
        <w:trPr>
          <w:trHeight w:val="20"/>
        </w:trPr>
        <w:tc>
          <w:tcPr>
            <w:tcW w:w="519" w:type="pct"/>
            <w:tcBorders>
              <w:top w:val="single" w:sz="4" w:space="0" w:color="auto"/>
              <w:left w:val="nil"/>
              <w:bottom w:val="nil"/>
              <w:right w:val="nil"/>
            </w:tcBorders>
            <w:vAlign w:val="center"/>
          </w:tcPr>
          <w:p w14:paraId="4C3CD052" w14:textId="155E92C5" w:rsidR="00531AE4" w:rsidRPr="00C60F84" w:rsidRDefault="00531AE4" w:rsidP="00C47DB0">
            <w:pPr>
              <w:pStyle w:val="TCTableBody"/>
              <w:jc w:val="center"/>
            </w:pPr>
            <w:r>
              <w:t>a)</w:t>
            </w:r>
          </w:p>
        </w:tc>
        <w:tc>
          <w:tcPr>
            <w:tcW w:w="679" w:type="pct"/>
            <w:tcBorders>
              <w:top w:val="single" w:sz="4" w:space="0" w:color="auto"/>
              <w:left w:val="nil"/>
              <w:bottom w:val="nil"/>
              <w:right w:val="single" w:sz="4" w:space="0" w:color="auto"/>
            </w:tcBorders>
            <w:vAlign w:val="center"/>
          </w:tcPr>
          <w:p w14:paraId="5410A70A" w14:textId="4B561096" w:rsidR="00531AE4" w:rsidRPr="00C60F84" w:rsidRDefault="00531AE4" w:rsidP="00C47DB0">
            <w:pPr>
              <w:pStyle w:val="TCTableBody"/>
              <w:jc w:val="center"/>
            </w:pPr>
            <w:r>
              <w:t>27.7</w:t>
            </w:r>
          </w:p>
        </w:tc>
        <w:tc>
          <w:tcPr>
            <w:tcW w:w="911" w:type="pct"/>
            <w:tcBorders>
              <w:top w:val="single" w:sz="4" w:space="0" w:color="auto"/>
              <w:left w:val="single" w:sz="4" w:space="0" w:color="auto"/>
              <w:bottom w:val="nil"/>
              <w:right w:val="nil"/>
            </w:tcBorders>
            <w:vAlign w:val="center"/>
          </w:tcPr>
          <w:p w14:paraId="1DE50EE4" w14:textId="26C920AC" w:rsidR="00531AE4" w:rsidRPr="009563CD" w:rsidRDefault="00190ACA" w:rsidP="00C47DB0">
            <w:pPr>
              <w:pStyle w:val="TCTableBody"/>
              <w:jc w:val="center"/>
            </w:pPr>
            <w:r>
              <w:t>0.00693</w:t>
            </w:r>
          </w:p>
        </w:tc>
        <w:tc>
          <w:tcPr>
            <w:tcW w:w="900" w:type="pct"/>
            <w:tcBorders>
              <w:top w:val="single" w:sz="4" w:space="0" w:color="auto"/>
              <w:left w:val="nil"/>
              <w:bottom w:val="nil"/>
              <w:right w:val="nil"/>
            </w:tcBorders>
            <w:vAlign w:val="center"/>
          </w:tcPr>
          <w:p w14:paraId="7778F5A6" w14:textId="09113808" w:rsidR="00531AE4" w:rsidRPr="00C60F84" w:rsidRDefault="00935B62" w:rsidP="00C47DB0">
            <w:pPr>
              <w:pStyle w:val="TCTableBody"/>
              <w:jc w:val="center"/>
            </w:pPr>
            <w:r>
              <w:t>0.07</w:t>
            </w:r>
            <w:r w:rsidR="00117389">
              <w:t>2</w:t>
            </w:r>
            <w:r w:rsidR="00975386">
              <w:t>3</w:t>
            </w:r>
          </w:p>
        </w:tc>
        <w:tc>
          <w:tcPr>
            <w:tcW w:w="1049" w:type="pct"/>
            <w:tcBorders>
              <w:top w:val="single" w:sz="4" w:space="0" w:color="auto"/>
              <w:left w:val="nil"/>
              <w:bottom w:val="nil"/>
              <w:right w:val="nil"/>
            </w:tcBorders>
            <w:vAlign w:val="center"/>
          </w:tcPr>
          <w:p w14:paraId="18A81B6E" w14:textId="29605BC4" w:rsidR="00531AE4" w:rsidRPr="009563CD" w:rsidRDefault="00190ACA" w:rsidP="00C47DB0">
            <w:pPr>
              <w:pStyle w:val="TCTableBody"/>
              <w:jc w:val="center"/>
            </w:pPr>
            <w:r>
              <w:t>0.000389</w:t>
            </w:r>
          </w:p>
        </w:tc>
        <w:tc>
          <w:tcPr>
            <w:tcW w:w="940" w:type="pct"/>
            <w:tcBorders>
              <w:top w:val="single" w:sz="4" w:space="0" w:color="auto"/>
              <w:left w:val="nil"/>
              <w:bottom w:val="nil"/>
              <w:right w:val="nil"/>
            </w:tcBorders>
            <w:vAlign w:val="center"/>
          </w:tcPr>
          <w:p w14:paraId="37F1A96C" w14:textId="5A61B456" w:rsidR="00531AE4" w:rsidRPr="009563CD" w:rsidRDefault="00190ACA" w:rsidP="00C47DB0">
            <w:pPr>
              <w:pStyle w:val="TCTableBody"/>
              <w:jc w:val="center"/>
              <w:rPr>
                <w:vertAlign w:val="superscript"/>
              </w:rPr>
            </w:pPr>
            <w:r>
              <w:t>0.000895</w:t>
            </w:r>
          </w:p>
        </w:tc>
      </w:tr>
      <w:tr w:rsidR="00C47DB0" w:rsidRPr="00C60F84" w14:paraId="6F835235" w14:textId="09967D69" w:rsidTr="003D375E">
        <w:trPr>
          <w:trHeight w:val="20"/>
        </w:trPr>
        <w:tc>
          <w:tcPr>
            <w:tcW w:w="519" w:type="pct"/>
            <w:tcBorders>
              <w:top w:val="nil"/>
              <w:left w:val="nil"/>
              <w:bottom w:val="nil"/>
              <w:right w:val="nil"/>
            </w:tcBorders>
            <w:vAlign w:val="center"/>
          </w:tcPr>
          <w:p w14:paraId="5DAD399C" w14:textId="6B13606C" w:rsidR="00531AE4" w:rsidRDefault="00531AE4" w:rsidP="00C47DB0">
            <w:pPr>
              <w:pStyle w:val="TCTableBody"/>
              <w:jc w:val="center"/>
            </w:pPr>
            <w:r>
              <w:t>b)</w:t>
            </w:r>
          </w:p>
        </w:tc>
        <w:tc>
          <w:tcPr>
            <w:tcW w:w="679" w:type="pct"/>
            <w:tcBorders>
              <w:top w:val="nil"/>
              <w:left w:val="nil"/>
              <w:bottom w:val="nil"/>
              <w:right w:val="single" w:sz="4" w:space="0" w:color="auto"/>
            </w:tcBorders>
            <w:vAlign w:val="center"/>
          </w:tcPr>
          <w:p w14:paraId="5987FBB9" w14:textId="2D581ADE" w:rsidR="00531AE4" w:rsidRPr="00C60F84" w:rsidRDefault="00531AE4" w:rsidP="00C47DB0">
            <w:pPr>
              <w:pStyle w:val="TCTableBody"/>
              <w:jc w:val="center"/>
            </w:pPr>
            <w:r>
              <w:t>53.4</w:t>
            </w:r>
          </w:p>
        </w:tc>
        <w:tc>
          <w:tcPr>
            <w:tcW w:w="911" w:type="pct"/>
            <w:tcBorders>
              <w:top w:val="nil"/>
              <w:left w:val="single" w:sz="4" w:space="0" w:color="auto"/>
              <w:bottom w:val="nil"/>
              <w:right w:val="nil"/>
            </w:tcBorders>
            <w:vAlign w:val="center"/>
          </w:tcPr>
          <w:p w14:paraId="50D0D12E" w14:textId="5CCBEAAF" w:rsidR="00531AE4" w:rsidRPr="009563CD" w:rsidRDefault="00190ACA" w:rsidP="00C47DB0">
            <w:pPr>
              <w:pStyle w:val="TCTableBody"/>
              <w:jc w:val="center"/>
            </w:pPr>
            <w:r>
              <w:t>0.000318</w:t>
            </w:r>
          </w:p>
        </w:tc>
        <w:tc>
          <w:tcPr>
            <w:tcW w:w="900" w:type="pct"/>
            <w:tcBorders>
              <w:top w:val="nil"/>
              <w:left w:val="nil"/>
              <w:bottom w:val="nil"/>
              <w:right w:val="nil"/>
            </w:tcBorders>
            <w:vAlign w:val="center"/>
          </w:tcPr>
          <w:p w14:paraId="75F5BDE8" w14:textId="34CB1769" w:rsidR="00531AE4" w:rsidRPr="00C60F84" w:rsidRDefault="009563CD" w:rsidP="00C47DB0">
            <w:pPr>
              <w:pStyle w:val="TCTableBody"/>
              <w:jc w:val="center"/>
            </w:pPr>
            <w:r>
              <w:t>0.0476</w:t>
            </w:r>
          </w:p>
        </w:tc>
        <w:tc>
          <w:tcPr>
            <w:tcW w:w="1049" w:type="pct"/>
            <w:tcBorders>
              <w:top w:val="nil"/>
              <w:left w:val="nil"/>
              <w:bottom w:val="nil"/>
              <w:right w:val="nil"/>
            </w:tcBorders>
            <w:vAlign w:val="center"/>
          </w:tcPr>
          <w:p w14:paraId="69A5FD70" w14:textId="0FEAD325" w:rsidR="00531AE4" w:rsidRPr="00C60F84" w:rsidRDefault="009563CD" w:rsidP="00C47DB0">
            <w:pPr>
              <w:pStyle w:val="TCTableBody"/>
              <w:jc w:val="center"/>
            </w:pPr>
            <w:r>
              <w:t>0.0308</w:t>
            </w:r>
          </w:p>
        </w:tc>
        <w:tc>
          <w:tcPr>
            <w:tcW w:w="940" w:type="pct"/>
            <w:tcBorders>
              <w:top w:val="nil"/>
              <w:left w:val="nil"/>
              <w:bottom w:val="nil"/>
              <w:right w:val="nil"/>
            </w:tcBorders>
            <w:vAlign w:val="center"/>
          </w:tcPr>
          <w:p w14:paraId="3143C2C6" w14:textId="2E813BAF" w:rsidR="00531AE4" w:rsidRPr="009563CD" w:rsidRDefault="00190ACA" w:rsidP="00C47DB0">
            <w:pPr>
              <w:pStyle w:val="TCTableBody"/>
              <w:jc w:val="center"/>
              <w:rPr>
                <w:vertAlign w:val="superscript"/>
              </w:rPr>
            </w:pPr>
            <w:r>
              <w:t>0.00210</w:t>
            </w:r>
          </w:p>
        </w:tc>
      </w:tr>
      <w:tr w:rsidR="00C47DB0" w:rsidRPr="00C60F84" w14:paraId="05271744" w14:textId="10EE42BD" w:rsidTr="003D375E">
        <w:trPr>
          <w:trHeight w:val="20"/>
        </w:trPr>
        <w:tc>
          <w:tcPr>
            <w:tcW w:w="519" w:type="pct"/>
            <w:tcBorders>
              <w:top w:val="nil"/>
              <w:left w:val="nil"/>
              <w:bottom w:val="single" w:sz="4" w:space="0" w:color="auto"/>
              <w:right w:val="nil"/>
            </w:tcBorders>
            <w:vAlign w:val="center"/>
          </w:tcPr>
          <w:p w14:paraId="1D3D6682" w14:textId="4580DEC8" w:rsidR="00531AE4" w:rsidRDefault="00531AE4" w:rsidP="00C47DB0">
            <w:pPr>
              <w:pStyle w:val="TCTableBody"/>
              <w:jc w:val="center"/>
            </w:pPr>
            <w:r>
              <w:t>c)</w:t>
            </w:r>
          </w:p>
        </w:tc>
        <w:tc>
          <w:tcPr>
            <w:tcW w:w="679" w:type="pct"/>
            <w:tcBorders>
              <w:top w:val="nil"/>
              <w:left w:val="nil"/>
              <w:bottom w:val="single" w:sz="4" w:space="0" w:color="auto"/>
              <w:right w:val="single" w:sz="4" w:space="0" w:color="auto"/>
            </w:tcBorders>
            <w:vAlign w:val="center"/>
          </w:tcPr>
          <w:p w14:paraId="57923B47" w14:textId="79BBF565" w:rsidR="00531AE4" w:rsidRPr="00C60F84" w:rsidRDefault="00531AE4" w:rsidP="00C47DB0">
            <w:pPr>
              <w:pStyle w:val="TCTableBody"/>
              <w:jc w:val="center"/>
            </w:pPr>
            <w:r>
              <w:t>100</w:t>
            </w:r>
          </w:p>
        </w:tc>
        <w:tc>
          <w:tcPr>
            <w:tcW w:w="911" w:type="pct"/>
            <w:tcBorders>
              <w:top w:val="nil"/>
              <w:left w:val="single" w:sz="4" w:space="0" w:color="auto"/>
              <w:bottom w:val="single" w:sz="4" w:space="0" w:color="auto"/>
              <w:right w:val="nil"/>
            </w:tcBorders>
            <w:vAlign w:val="center"/>
          </w:tcPr>
          <w:p w14:paraId="1FF8F986" w14:textId="04FB9A8E" w:rsidR="00531AE4" w:rsidRPr="00C60F84" w:rsidRDefault="00935B62" w:rsidP="00C47DB0">
            <w:pPr>
              <w:pStyle w:val="TCTableBody"/>
              <w:jc w:val="center"/>
            </w:pPr>
            <w:r>
              <w:t>0</w:t>
            </w:r>
          </w:p>
        </w:tc>
        <w:tc>
          <w:tcPr>
            <w:tcW w:w="900" w:type="pct"/>
            <w:tcBorders>
              <w:top w:val="nil"/>
              <w:left w:val="nil"/>
              <w:bottom w:val="single" w:sz="4" w:space="0" w:color="auto"/>
              <w:right w:val="nil"/>
            </w:tcBorders>
            <w:vAlign w:val="center"/>
          </w:tcPr>
          <w:p w14:paraId="2D893E48" w14:textId="5845CE28" w:rsidR="00531AE4" w:rsidRPr="00C60F84" w:rsidRDefault="009563CD" w:rsidP="00C47DB0">
            <w:pPr>
              <w:pStyle w:val="TCTableBody"/>
              <w:jc w:val="center"/>
            </w:pPr>
            <w:r>
              <w:t>0.0164</w:t>
            </w:r>
          </w:p>
        </w:tc>
        <w:tc>
          <w:tcPr>
            <w:tcW w:w="1049" w:type="pct"/>
            <w:tcBorders>
              <w:top w:val="nil"/>
              <w:left w:val="nil"/>
              <w:bottom w:val="single" w:sz="4" w:space="0" w:color="auto"/>
              <w:right w:val="nil"/>
            </w:tcBorders>
            <w:vAlign w:val="center"/>
          </w:tcPr>
          <w:p w14:paraId="22B64A89" w14:textId="577828A3" w:rsidR="00531AE4" w:rsidRPr="00C60F84" w:rsidRDefault="009563CD" w:rsidP="00C47DB0">
            <w:pPr>
              <w:pStyle w:val="TCTableBody"/>
              <w:jc w:val="center"/>
            </w:pPr>
            <w:r>
              <w:t>0.0518</w:t>
            </w:r>
          </w:p>
        </w:tc>
        <w:tc>
          <w:tcPr>
            <w:tcW w:w="940" w:type="pct"/>
            <w:tcBorders>
              <w:top w:val="nil"/>
              <w:left w:val="nil"/>
              <w:bottom w:val="single" w:sz="4" w:space="0" w:color="auto"/>
              <w:right w:val="nil"/>
            </w:tcBorders>
            <w:vAlign w:val="center"/>
          </w:tcPr>
          <w:p w14:paraId="3AB6E686" w14:textId="3A86874E" w:rsidR="00531AE4" w:rsidRPr="00C60F84" w:rsidRDefault="009563CD" w:rsidP="00C47DB0">
            <w:pPr>
              <w:pStyle w:val="TCTableBody"/>
              <w:jc w:val="center"/>
            </w:pPr>
            <w:r>
              <w:t>0.0119</w:t>
            </w:r>
          </w:p>
        </w:tc>
      </w:tr>
    </w:tbl>
    <w:p w14:paraId="39105230" w14:textId="4FC9432F" w:rsidR="00140CC8" w:rsidRPr="00C47DB0" w:rsidRDefault="00C47DB0" w:rsidP="00C47DB0">
      <w:pPr>
        <w:pStyle w:val="TAMainText"/>
        <w:ind w:firstLine="0"/>
        <w:rPr>
          <w:rFonts w:ascii="Times New Roman" w:hAnsi="Times New Roman"/>
          <w:sz w:val="18"/>
          <w:szCs w:val="18"/>
        </w:rPr>
      </w:pPr>
      <w:r w:rsidRPr="00C47DB0">
        <w:rPr>
          <w:rFonts w:ascii="Times New Roman" w:hAnsi="Times New Roman"/>
          <w:sz w:val="18"/>
          <w:szCs w:val="18"/>
        </w:rPr>
        <w:t xml:space="preserve">Parameters: </w:t>
      </w:r>
      <w:r w:rsidRPr="00C47DB0">
        <w:rPr>
          <w:sz w:val="18"/>
          <w:szCs w:val="18"/>
        </w:rPr>
        <w:t xml:space="preserve">5.0%Ru/C, T = 130 ºC, </w:t>
      </w:r>
      <w:proofErr w:type="spellStart"/>
      <w:r w:rsidRPr="00C47DB0">
        <w:rPr>
          <w:sz w:val="18"/>
          <w:szCs w:val="18"/>
        </w:rPr>
        <w:t>m</w:t>
      </w:r>
      <w:r w:rsidRPr="00C47DB0">
        <w:rPr>
          <w:sz w:val="18"/>
          <w:szCs w:val="18"/>
          <w:vertAlign w:val="subscript"/>
        </w:rPr>
        <w:t>cat</w:t>
      </w:r>
      <w:proofErr w:type="spellEnd"/>
      <w:r w:rsidRPr="00C47DB0">
        <w:rPr>
          <w:sz w:val="18"/>
          <w:szCs w:val="18"/>
        </w:rPr>
        <w:t xml:space="preserve"> = 150 mg, t = 5 h.</w:t>
      </w:r>
      <w:r w:rsidR="00BA197E">
        <w:rPr>
          <w:sz w:val="18"/>
          <w:szCs w:val="18"/>
        </w:rPr>
        <w:t xml:space="preserve"> </w:t>
      </w:r>
      <w:r w:rsidR="003D741E">
        <w:rPr>
          <w:sz w:val="18"/>
          <w:szCs w:val="18"/>
        </w:rPr>
        <w:t>r</w:t>
      </w:r>
    </w:p>
    <w:p w14:paraId="1074EAB2" w14:textId="30B2A2EE" w:rsidR="00D44B39" w:rsidRDefault="00D44B39" w:rsidP="002766AA">
      <w:pPr>
        <w:pStyle w:val="TAMainText"/>
        <w:ind w:firstLine="187"/>
        <w:rPr>
          <w:rFonts w:ascii="Times New Roman" w:hAnsi="Times New Roman"/>
        </w:rPr>
      </w:pPr>
    </w:p>
    <w:p w14:paraId="6C7635D8" w14:textId="77777777" w:rsidR="005A4BA1" w:rsidRPr="00C47DB0" w:rsidRDefault="005A4BA1" w:rsidP="002766AA">
      <w:pPr>
        <w:pStyle w:val="TAMainText"/>
        <w:ind w:firstLine="187"/>
        <w:rPr>
          <w:rFonts w:ascii="Times New Roman" w:hAnsi="Times New Roman"/>
        </w:rPr>
      </w:pPr>
    </w:p>
    <w:p w14:paraId="45094C19" w14:textId="623E5921" w:rsidR="00554A60" w:rsidRPr="00140CC8" w:rsidRDefault="00554A60" w:rsidP="00554A60">
      <w:pPr>
        <w:pStyle w:val="VDTableTitle"/>
        <w:spacing w:after="120"/>
        <w:jc w:val="both"/>
        <w:rPr>
          <w:rFonts w:ascii="Times New Roman" w:hAnsi="Times New Roman"/>
        </w:rPr>
      </w:pPr>
      <w:r w:rsidRPr="00140CC8">
        <w:rPr>
          <w:rFonts w:ascii="Times New Roman" w:hAnsi="Times New Roman"/>
          <w:b/>
        </w:rPr>
        <w:t>Tab</w:t>
      </w:r>
      <w:r>
        <w:rPr>
          <w:rFonts w:ascii="Times New Roman" w:hAnsi="Times New Roman"/>
          <w:b/>
        </w:rPr>
        <w:t>le</w:t>
      </w:r>
      <w:r w:rsidRPr="00140CC8">
        <w:rPr>
          <w:rFonts w:ascii="Times New Roman" w:hAnsi="Times New Roman"/>
          <w:b/>
        </w:rPr>
        <w:t xml:space="preserve"> 2. </w:t>
      </w:r>
      <w:r w:rsidRPr="00D50BED">
        <w:t>Retention time</w:t>
      </w:r>
      <w:r>
        <w:t xml:space="preserve"> (</w:t>
      </w:r>
      <w:proofErr w:type="spellStart"/>
      <w:r>
        <w:t>t</w:t>
      </w:r>
      <w:r>
        <w:rPr>
          <w:vertAlign w:val="subscript"/>
        </w:rPr>
        <w:t>R</w:t>
      </w:r>
      <w:proofErr w:type="spellEnd"/>
      <w:r>
        <w:t>)</w:t>
      </w:r>
      <w:r w:rsidRPr="00D50BED">
        <w:t xml:space="preserve"> of the</w:t>
      </w:r>
      <w:r>
        <w:t xml:space="preserve"> standard solutions</w:t>
      </w:r>
      <w:r w:rsidRPr="00D50BED">
        <w:t xml:space="preserve"> </w:t>
      </w:r>
      <w:r>
        <w:t>analyzed with HPLC through RID</w:t>
      </w:r>
      <w:r w:rsidRPr="00D50BED">
        <w:t xml:space="preserve"> at </w:t>
      </w:r>
      <w:proofErr w:type="spellStart"/>
      <w:r w:rsidRPr="00D50BED">
        <w:t>T</w:t>
      </w:r>
      <w:r w:rsidRPr="00BF3E2C">
        <w:t>oven</w:t>
      </w:r>
      <w:proofErr w:type="spellEnd"/>
      <w:r w:rsidRPr="00D50BED">
        <w:t xml:space="preserve"> = 30 and 65 ºC.</w:t>
      </w:r>
      <w:r w:rsidRPr="00140CC8">
        <w:rPr>
          <w:rFonts w:ascii="Times New Roman" w:hAnsi="Times New Roman"/>
        </w:rPr>
        <w:t xml:space="preserve"> </w:t>
      </w:r>
      <w:r w:rsidR="00CE5445">
        <w:rPr>
          <w:rFonts w:ascii="Times New Roman" w:hAnsi="Times New Roman"/>
        </w:rPr>
        <w:t>Chromatograms are shown in Figure 6.</w:t>
      </w:r>
    </w:p>
    <w:tbl>
      <w:tblPr>
        <w:tblW w:w="5000" w:type="pct"/>
        <w:tblCellMar>
          <w:left w:w="70" w:type="dxa"/>
          <w:right w:w="70" w:type="dxa"/>
        </w:tblCellMar>
        <w:tblLook w:val="0000" w:firstRow="0" w:lastRow="0" w:firstColumn="0" w:lastColumn="0" w:noHBand="0" w:noVBand="0"/>
      </w:tblPr>
      <w:tblGrid>
        <w:gridCol w:w="1589"/>
        <w:gridCol w:w="1590"/>
        <w:gridCol w:w="1589"/>
      </w:tblGrid>
      <w:tr w:rsidR="00554A60" w:rsidRPr="00140CC8" w14:paraId="12C12440" w14:textId="77777777" w:rsidTr="00DA3E67">
        <w:trPr>
          <w:trHeight w:val="20"/>
        </w:trPr>
        <w:tc>
          <w:tcPr>
            <w:tcW w:w="1666" w:type="pct"/>
            <w:tcBorders>
              <w:top w:val="single" w:sz="4" w:space="0" w:color="auto"/>
              <w:bottom w:val="single" w:sz="4" w:space="0" w:color="auto"/>
            </w:tcBorders>
            <w:shd w:val="clear" w:color="auto" w:fill="auto"/>
            <w:vAlign w:val="bottom"/>
          </w:tcPr>
          <w:p w14:paraId="10B940C3" w14:textId="77777777" w:rsidR="00554A60" w:rsidRPr="00D50BED" w:rsidRDefault="00554A60" w:rsidP="00DA3E67">
            <w:pPr>
              <w:pStyle w:val="TCTableBody"/>
              <w:jc w:val="center"/>
              <w:rPr>
                <w:b/>
                <w:bCs/>
              </w:rPr>
            </w:pPr>
            <w:r>
              <w:rPr>
                <w:b/>
                <w:bCs/>
              </w:rPr>
              <w:t>Compound</w:t>
            </w:r>
          </w:p>
        </w:tc>
        <w:tc>
          <w:tcPr>
            <w:tcW w:w="1667" w:type="pct"/>
            <w:tcBorders>
              <w:top w:val="single" w:sz="4" w:space="0" w:color="auto"/>
              <w:bottom w:val="single" w:sz="4" w:space="0" w:color="auto"/>
            </w:tcBorders>
            <w:shd w:val="clear" w:color="auto" w:fill="auto"/>
            <w:vAlign w:val="bottom"/>
          </w:tcPr>
          <w:p w14:paraId="2DF63EF9" w14:textId="77777777" w:rsidR="00554A60" w:rsidRPr="00D50BED" w:rsidRDefault="00554A60" w:rsidP="00DA3E67">
            <w:pPr>
              <w:pStyle w:val="TCTableBody"/>
              <w:rPr>
                <w:b/>
                <w:bCs/>
              </w:rPr>
            </w:pPr>
            <w:r w:rsidRPr="00D50BED">
              <w:rPr>
                <w:b/>
                <w:bCs/>
              </w:rPr>
              <w:t>t</w:t>
            </w:r>
            <w:r w:rsidRPr="00A2546A">
              <w:rPr>
                <w:b/>
                <w:bCs/>
                <w:vertAlign w:val="subscript"/>
              </w:rPr>
              <w:t>R</w:t>
            </w:r>
            <w:r w:rsidRPr="00A2546A">
              <w:rPr>
                <w:b/>
                <w:bCs/>
                <w:vertAlign w:val="subscript"/>
              </w:rPr>
              <w:softHyphen/>
              <w:t>_65 ºC</w:t>
            </w:r>
            <w:r w:rsidRPr="00D50BED">
              <w:rPr>
                <w:b/>
                <w:bCs/>
              </w:rPr>
              <w:t xml:space="preserve"> (min)</w:t>
            </w:r>
          </w:p>
        </w:tc>
        <w:tc>
          <w:tcPr>
            <w:tcW w:w="1666" w:type="pct"/>
            <w:tcBorders>
              <w:top w:val="single" w:sz="4" w:space="0" w:color="auto"/>
              <w:bottom w:val="single" w:sz="4" w:space="0" w:color="auto"/>
            </w:tcBorders>
            <w:shd w:val="clear" w:color="auto" w:fill="auto"/>
            <w:vAlign w:val="bottom"/>
          </w:tcPr>
          <w:p w14:paraId="5ADAB0E5" w14:textId="77777777" w:rsidR="00554A60" w:rsidRPr="00D50BED" w:rsidRDefault="00554A60" w:rsidP="00DA3E67">
            <w:pPr>
              <w:pStyle w:val="TCTableBody"/>
              <w:rPr>
                <w:b/>
                <w:bCs/>
              </w:rPr>
            </w:pPr>
            <w:r w:rsidRPr="00D50BED">
              <w:rPr>
                <w:b/>
                <w:bCs/>
              </w:rPr>
              <w:t>t</w:t>
            </w:r>
            <w:r w:rsidRPr="00A2546A">
              <w:rPr>
                <w:b/>
                <w:bCs/>
                <w:vertAlign w:val="subscript"/>
              </w:rPr>
              <w:t>R</w:t>
            </w:r>
            <w:r w:rsidRPr="00A2546A">
              <w:rPr>
                <w:b/>
                <w:bCs/>
                <w:vertAlign w:val="subscript"/>
              </w:rPr>
              <w:softHyphen/>
              <w:t>_30 ºC</w:t>
            </w:r>
            <w:r w:rsidRPr="00D50BED">
              <w:rPr>
                <w:b/>
                <w:bCs/>
              </w:rPr>
              <w:t xml:space="preserve"> (min)</w:t>
            </w:r>
          </w:p>
        </w:tc>
      </w:tr>
      <w:tr w:rsidR="00554A60" w:rsidRPr="00140CC8" w14:paraId="762312B0" w14:textId="77777777" w:rsidTr="00DA3E67">
        <w:trPr>
          <w:trHeight w:val="20"/>
        </w:trPr>
        <w:tc>
          <w:tcPr>
            <w:tcW w:w="1666" w:type="pct"/>
            <w:tcBorders>
              <w:top w:val="single" w:sz="4" w:space="0" w:color="auto"/>
            </w:tcBorders>
            <w:shd w:val="clear" w:color="auto" w:fill="auto"/>
            <w:vAlign w:val="center"/>
          </w:tcPr>
          <w:p w14:paraId="169863AD" w14:textId="77777777" w:rsidR="00554A60" w:rsidRPr="00083FE1" w:rsidRDefault="00554A60" w:rsidP="00DA3E67">
            <w:pPr>
              <w:pStyle w:val="TCTableBody"/>
              <w:jc w:val="center"/>
              <w:rPr>
                <w:rFonts w:ascii="Times New Roman" w:hAnsi="Times New Roman"/>
                <w:b/>
                <w:bCs/>
              </w:rPr>
            </w:pPr>
            <w:r w:rsidRPr="00D50BED">
              <w:rPr>
                <w:b/>
                <w:bCs/>
              </w:rPr>
              <w:t>4H2B</w:t>
            </w:r>
          </w:p>
        </w:tc>
        <w:tc>
          <w:tcPr>
            <w:tcW w:w="1667" w:type="pct"/>
            <w:tcBorders>
              <w:top w:val="single" w:sz="4" w:space="0" w:color="auto"/>
            </w:tcBorders>
            <w:shd w:val="clear" w:color="auto" w:fill="auto"/>
            <w:vAlign w:val="bottom"/>
          </w:tcPr>
          <w:p w14:paraId="6F348EB4" w14:textId="77777777" w:rsidR="00554A60" w:rsidRPr="00D50BED" w:rsidRDefault="00554A60" w:rsidP="00DA3E67">
            <w:pPr>
              <w:pStyle w:val="TCTableBody"/>
            </w:pPr>
            <w:r>
              <w:t>(</w:t>
            </w:r>
            <w:r w:rsidRPr="00F86BB5">
              <w:rPr>
                <w:rFonts w:ascii="Wingdings" w:hAnsi="Wingdings"/>
              </w:rPr>
              <w:t>l</w:t>
            </w:r>
            <w:r>
              <w:t xml:space="preserve">) </w:t>
            </w:r>
            <w:r w:rsidRPr="00D50BED">
              <w:t>18.17</w:t>
            </w:r>
          </w:p>
        </w:tc>
        <w:tc>
          <w:tcPr>
            <w:tcW w:w="1666" w:type="pct"/>
            <w:tcBorders>
              <w:top w:val="single" w:sz="4" w:space="0" w:color="auto"/>
            </w:tcBorders>
            <w:shd w:val="clear" w:color="auto" w:fill="auto"/>
            <w:vAlign w:val="bottom"/>
          </w:tcPr>
          <w:p w14:paraId="4E538BB2" w14:textId="77777777" w:rsidR="00554A60" w:rsidRPr="00D50BED" w:rsidRDefault="00554A60" w:rsidP="00DA3E67">
            <w:pPr>
              <w:pStyle w:val="TCTableBody"/>
            </w:pPr>
            <w:r>
              <w:t>(</w:t>
            </w:r>
            <w:r w:rsidRPr="00F86BB5">
              <w:rPr>
                <w:rFonts w:ascii="Wingdings" w:hAnsi="Wingdings"/>
                <w:color w:val="808080" w:themeColor="background1" w:themeShade="80"/>
              </w:rPr>
              <w:t>l</w:t>
            </w:r>
            <w:r>
              <w:t xml:space="preserve">) </w:t>
            </w:r>
            <w:r w:rsidRPr="00D50BED">
              <w:t>23.27</w:t>
            </w:r>
          </w:p>
        </w:tc>
      </w:tr>
      <w:tr w:rsidR="00554A60" w:rsidRPr="00140CC8" w14:paraId="1DE398BE" w14:textId="77777777" w:rsidTr="00DA3E67">
        <w:trPr>
          <w:trHeight w:val="20"/>
        </w:trPr>
        <w:tc>
          <w:tcPr>
            <w:tcW w:w="1666" w:type="pct"/>
            <w:shd w:val="clear" w:color="auto" w:fill="auto"/>
            <w:vAlign w:val="center"/>
          </w:tcPr>
          <w:p w14:paraId="3A90E0C6" w14:textId="77777777" w:rsidR="00554A60" w:rsidRPr="00D50BED" w:rsidRDefault="00554A60" w:rsidP="00DA3E67">
            <w:pPr>
              <w:pStyle w:val="TCTableBody"/>
              <w:jc w:val="center"/>
              <w:rPr>
                <w:b/>
                <w:bCs/>
              </w:rPr>
            </w:pPr>
            <w:r w:rsidRPr="00D50BED">
              <w:rPr>
                <w:b/>
                <w:bCs/>
              </w:rPr>
              <w:t>1,3-BD</w:t>
            </w:r>
            <w:r>
              <w:rPr>
                <w:b/>
                <w:bCs/>
              </w:rPr>
              <w:t>O</w:t>
            </w:r>
          </w:p>
        </w:tc>
        <w:tc>
          <w:tcPr>
            <w:tcW w:w="1667" w:type="pct"/>
            <w:shd w:val="clear" w:color="auto" w:fill="auto"/>
            <w:vAlign w:val="bottom"/>
          </w:tcPr>
          <w:p w14:paraId="630BE910" w14:textId="77777777" w:rsidR="00554A60" w:rsidRPr="00D50BED" w:rsidRDefault="00554A60" w:rsidP="00DA3E67">
            <w:pPr>
              <w:pStyle w:val="TCTableBody"/>
            </w:pPr>
            <w:r>
              <w:t>(</w:t>
            </w:r>
            <w:r>
              <w:rPr>
                <w:rFonts w:ascii="Wingdings" w:hAnsi="Wingdings"/>
              </w:rPr>
              <w:t>z</w:t>
            </w:r>
            <w:r>
              <w:t xml:space="preserve">) </w:t>
            </w:r>
            <w:r w:rsidRPr="00D50BED">
              <w:t>19.25</w:t>
            </w:r>
          </w:p>
        </w:tc>
        <w:tc>
          <w:tcPr>
            <w:tcW w:w="1666" w:type="pct"/>
            <w:shd w:val="clear" w:color="auto" w:fill="auto"/>
            <w:vAlign w:val="bottom"/>
          </w:tcPr>
          <w:p w14:paraId="5AF9028C" w14:textId="77777777" w:rsidR="00554A60" w:rsidRPr="00D50BED" w:rsidRDefault="00554A60" w:rsidP="00DA3E67">
            <w:pPr>
              <w:pStyle w:val="TCTableBody"/>
            </w:pPr>
            <w:r>
              <w:t>(</w:t>
            </w:r>
            <w:r>
              <w:rPr>
                <w:rFonts w:ascii="Wingdings" w:hAnsi="Wingdings"/>
                <w:color w:val="808080" w:themeColor="background1" w:themeShade="80"/>
              </w:rPr>
              <w:t>z</w:t>
            </w:r>
            <w:r>
              <w:t xml:space="preserve">) </w:t>
            </w:r>
            <w:r w:rsidRPr="00D50BED">
              <w:t>22.05</w:t>
            </w:r>
          </w:p>
        </w:tc>
      </w:tr>
      <w:tr w:rsidR="00554A60" w:rsidRPr="00140CC8" w14:paraId="05968F6F" w14:textId="77777777" w:rsidTr="00DA3E67">
        <w:trPr>
          <w:trHeight w:val="20"/>
        </w:trPr>
        <w:tc>
          <w:tcPr>
            <w:tcW w:w="1666" w:type="pct"/>
            <w:shd w:val="clear" w:color="auto" w:fill="auto"/>
            <w:vAlign w:val="center"/>
          </w:tcPr>
          <w:p w14:paraId="3F67695F" w14:textId="77777777" w:rsidR="00554A60" w:rsidRPr="00D50BED" w:rsidRDefault="00554A60" w:rsidP="00DA3E67">
            <w:pPr>
              <w:pStyle w:val="TCTableBody"/>
              <w:jc w:val="center"/>
              <w:rPr>
                <w:b/>
                <w:bCs/>
              </w:rPr>
            </w:pPr>
            <w:r>
              <w:rPr>
                <w:b/>
                <w:bCs/>
              </w:rPr>
              <w:t>Acetone</w:t>
            </w:r>
          </w:p>
        </w:tc>
        <w:tc>
          <w:tcPr>
            <w:tcW w:w="1667" w:type="pct"/>
            <w:shd w:val="clear" w:color="auto" w:fill="auto"/>
            <w:vAlign w:val="bottom"/>
          </w:tcPr>
          <w:p w14:paraId="7D422BC3" w14:textId="77777777" w:rsidR="00554A60" w:rsidRPr="00D50BED" w:rsidRDefault="00554A60" w:rsidP="00DA3E67">
            <w:pPr>
              <w:pStyle w:val="TCTableBody"/>
            </w:pPr>
            <w:r>
              <w:t>(</w:t>
            </w:r>
            <w:r>
              <w:rPr>
                <w:rFonts w:ascii="Wingdings" w:hAnsi="Wingdings"/>
              </w:rPr>
              <w:t>n</w:t>
            </w:r>
            <w:r>
              <w:t xml:space="preserve">) </w:t>
            </w:r>
            <w:r w:rsidRPr="00D50BED">
              <w:t>21.40</w:t>
            </w:r>
          </w:p>
        </w:tc>
        <w:tc>
          <w:tcPr>
            <w:tcW w:w="1666" w:type="pct"/>
            <w:shd w:val="clear" w:color="auto" w:fill="auto"/>
            <w:vAlign w:val="bottom"/>
          </w:tcPr>
          <w:p w14:paraId="6E95D844" w14:textId="77777777" w:rsidR="00554A60" w:rsidRPr="00D50BED" w:rsidRDefault="00554A60" w:rsidP="00DA3E67">
            <w:pPr>
              <w:pStyle w:val="TCTableBody"/>
            </w:pPr>
            <w:r>
              <w:t>(</w:t>
            </w:r>
            <w:r>
              <w:rPr>
                <w:rFonts w:ascii="Wingdings" w:hAnsi="Wingdings"/>
                <w:color w:val="808080" w:themeColor="background1" w:themeShade="80"/>
              </w:rPr>
              <w:t>n</w:t>
            </w:r>
            <w:r>
              <w:t xml:space="preserve">) </w:t>
            </w:r>
            <w:r w:rsidRPr="00D50BED">
              <w:t>27.84</w:t>
            </w:r>
          </w:p>
        </w:tc>
      </w:tr>
      <w:tr w:rsidR="00554A60" w:rsidRPr="00140CC8" w14:paraId="54FD9297" w14:textId="77777777" w:rsidTr="00DA3E67">
        <w:trPr>
          <w:trHeight w:val="20"/>
        </w:trPr>
        <w:tc>
          <w:tcPr>
            <w:tcW w:w="1666" w:type="pct"/>
            <w:shd w:val="clear" w:color="auto" w:fill="auto"/>
            <w:vAlign w:val="center"/>
          </w:tcPr>
          <w:p w14:paraId="7C0949FF" w14:textId="77777777" w:rsidR="00554A60" w:rsidRPr="00D50BED" w:rsidRDefault="00554A60" w:rsidP="00DA3E67">
            <w:pPr>
              <w:pStyle w:val="TCTableBody"/>
              <w:jc w:val="center"/>
              <w:rPr>
                <w:b/>
                <w:bCs/>
              </w:rPr>
            </w:pPr>
            <w:r w:rsidRPr="00D50BED">
              <w:rPr>
                <w:b/>
                <w:bCs/>
              </w:rPr>
              <w:t>2-Propanol</w:t>
            </w:r>
          </w:p>
        </w:tc>
        <w:tc>
          <w:tcPr>
            <w:tcW w:w="1667" w:type="pct"/>
            <w:shd w:val="clear" w:color="auto" w:fill="auto"/>
            <w:vAlign w:val="bottom"/>
          </w:tcPr>
          <w:p w14:paraId="0B68B014" w14:textId="77777777" w:rsidR="00554A60" w:rsidRPr="00D50BED" w:rsidRDefault="00554A60" w:rsidP="00DA3E67">
            <w:pPr>
              <w:pStyle w:val="TCTableBody"/>
            </w:pPr>
            <w:r>
              <w:t>(</w:t>
            </w:r>
            <w:r>
              <w:rPr>
                <w:rFonts w:ascii="Wingdings" w:hAnsi="Wingdings"/>
              </w:rPr>
              <w:t>o</w:t>
            </w:r>
            <w:r>
              <w:t xml:space="preserve">) </w:t>
            </w:r>
            <w:r w:rsidRPr="00D50BED">
              <w:t>24.30</w:t>
            </w:r>
          </w:p>
        </w:tc>
        <w:tc>
          <w:tcPr>
            <w:tcW w:w="1666" w:type="pct"/>
            <w:shd w:val="clear" w:color="auto" w:fill="auto"/>
            <w:vAlign w:val="bottom"/>
          </w:tcPr>
          <w:p w14:paraId="4A37AD3B" w14:textId="77777777" w:rsidR="00554A60" w:rsidRPr="00D50BED" w:rsidRDefault="00554A60" w:rsidP="00DA3E67">
            <w:pPr>
              <w:pStyle w:val="TCTableBody"/>
            </w:pPr>
            <w:r>
              <w:t>(</w:t>
            </w:r>
            <w:r>
              <w:rPr>
                <w:rFonts w:ascii="Wingdings" w:hAnsi="Wingdings"/>
                <w:color w:val="808080" w:themeColor="background1" w:themeShade="80"/>
              </w:rPr>
              <w:t>o</w:t>
            </w:r>
            <w:r>
              <w:t xml:space="preserve">) </w:t>
            </w:r>
            <w:r w:rsidRPr="00D50BED">
              <w:t>26.80</w:t>
            </w:r>
          </w:p>
        </w:tc>
      </w:tr>
      <w:tr w:rsidR="00554A60" w:rsidRPr="00140CC8" w14:paraId="6171BDCE" w14:textId="77777777" w:rsidTr="00DA3E67">
        <w:trPr>
          <w:trHeight w:val="20"/>
        </w:trPr>
        <w:tc>
          <w:tcPr>
            <w:tcW w:w="1666" w:type="pct"/>
            <w:shd w:val="clear" w:color="auto" w:fill="auto"/>
            <w:vAlign w:val="center"/>
          </w:tcPr>
          <w:p w14:paraId="1EED82C0" w14:textId="77777777" w:rsidR="00554A60" w:rsidRPr="00D50BED" w:rsidRDefault="00554A60" w:rsidP="00DA3E67">
            <w:pPr>
              <w:pStyle w:val="TCTableBody"/>
              <w:jc w:val="center"/>
              <w:rPr>
                <w:b/>
                <w:bCs/>
              </w:rPr>
            </w:pPr>
            <w:r w:rsidRPr="00D50BED">
              <w:rPr>
                <w:b/>
                <w:bCs/>
              </w:rPr>
              <w:t>Butanone</w:t>
            </w:r>
          </w:p>
        </w:tc>
        <w:tc>
          <w:tcPr>
            <w:tcW w:w="1667" w:type="pct"/>
            <w:shd w:val="clear" w:color="auto" w:fill="auto"/>
            <w:vAlign w:val="bottom"/>
          </w:tcPr>
          <w:p w14:paraId="18BDB5B3" w14:textId="77777777" w:rsidR="00554A60" w:rsidRPr="00D50BED" w:rsidRDefault="00554A60" w:rsidP="00DA3E67">
            <w:pPr>
              <w:pStyle w:val="TCTableBody"/>
            </w:pPr>
            <w:r>
              <w:t>(</w:t>
            </w:r>
            <w:r>
              <w:rPr>
                <w:rFonts w:ascii="Wingdings" w:hAnsi="Wingdings"/>
              </w:rPr>
              <w:t>v</w:t>
            </w:r>
            <w:r>
              <w:t xml:space="preserve">) </w:t>
            </w:r>
            <w:r w:rsidRPr="00D50BED">
              <w:t>26.30</w:t>
            </w:r>
          </w:p>
        </w:tc>
        <w:tc>
          <w:tcPr>
            <w:tcW w:w="1666" w:type="pct"/>
            <w:shd w:val="clear" w:color="auto" w:fill="auto"/>
            <w:vAlign w:val="bottom"/>
          </w:tcPr>
          <w:p w14:paraId="40F0657A" w14:textId="77777777" w:rsidR="00554A60" w:rsidRPr="00D50BED" w:rsidRDefault="00554A60" w:rsidP="00DA3E67">
            <w:pPr>
              <w:pStyle w:val="TCTableBody"/>
            </w:pPr>
            <w:r>
              <w:t>(</w:t>
            </w:r>
            <w:r>
              <w:rPr>
                <w:rFonts w:ascii="Wingdings" w:hAnsi="Wingdings"/>
                <w:color w:val="808080" w:themeColor="background1" w:themeShade="80"/>
              </w:rPr>
              <w:t>v</w:t>
            </w:r>
            <w:r>
              <w:t xml:space="preserve">) </w:t>
            </w:r>
            <w:r w:rsidRPr="00D50BED">
              <w:t>35.50</w:t>
            </w:r>
          </w:p>
        </w:tc>
      </w:tr>
      <w:tr w:rsidR="00554A60" w:rsidRPr="00140CC8" w14:paraId="6AC76E14" w14:textId="77777777" w:rsidTr="00DA3E67">
        <w:trPr>
          <w:trHeight w:val="20"/>
        </w:trPr>
        <w:tc>
          <w:tcPr>
            <w:tcW w:w="1666" w:type="pct"/>
            <w:tcBorders>
              <w:bottom w:val="single" w:sz="4" w:space="0" w:color="auto"/>
            </w:tcBorders>
            <w:shd w:val="clear" w:color="auto" w:fill="auto"/>
            <w:vAlign w:val="center"/>
          </w:tcPr>
          <w:p w14:paraId="638B626C" w14:textId="77777777" w:rsidR="00554A60" w:rsidRPr="00D50BED" w:rsidRDefault="00554A60" w:rsidP="00DA3E67">
            <w:pPr>
              <w:pStyle w:val="TCTableBody"/>
              <w:jc w:val="center"/>
              <w:rPr>
                <w:b/>
                <w:bCs/>
              </w:rPr>
            </w:pPr>
            <w:r w:rsidRPr="00D50BED">
              <w:rPr>
                <w:b/>
                <w:bCs/>
              </w:rPr>
              <w:t>2-Butanol</w:t>
            </w:r>
          </w:p>
        </w:tc>
        <w:tc>
          <w:tcPr>
            <w:tcW w:w="1667" w:type="pct"/>
            <w:tcBorders>
              <w:bottom w:val="single" w:sz="4" w:space="0" w:color="auto"/>
            </w:tcBorders>
            <w:shd w:val="clear" w:color="auto" w:fill="auto"/>
            <w:vAlign w:val="bottom"/>
          </w:tcPr>
          <w:p w14:paraId="754BBA39" w14:textId="77777777" w:rsidR="00554A60" w:rsidRPr="00D50BED" w:rsidRDefault="00554A60" w:rsidP="00DA3E67">
            <w:pPr>
              <w:pStyle w:val="TCTableBody"/>
            </w:pPr>
            <w:r>
              <w:t>(</w:t>
            </w:r>
            <w:r>
              <w:rPr>
                <w:rFonts w:ascii="Wingdings" w:hAnsi="Wingdings"/>
              </w:rPr>
              <w:t>t</w:t>
            </w:r>
            <w:r>
              <w:t xml:space="preserve">) </w:t>
            </w:r>
            <w:r w:rsidRPr="00D50BED">
              <w:t>31.08</w:t>
            </w:r>
          </w:p>
        </w:tc>
        <w:tc>
          <w:tcPr>
            <w:tcW w:w="1666" w:type="pct"/>
            <w:tcBorders>
              <w:bottom w:val="single" w:sz="4" w:space="0" w:color="auto"/>
            </w:tcBorders>
            <w:shd w:val="clear" w:color="auto" w:fill="auto"/>
            <w:vAlign w:val="bottom"/>
          </w:tcPr>
          <w:p w14:paraId="7534199C" w14:textId="77777777" w:rsidR="00554A60" w:rsidRPr="00D50BED" w:rsidRDefault="00554A60" w:rsidP="00DA3E67">
            <w:pPr>
              <w:pStyle w:val="TCTableBody"/>
            </w:pPr>
            <w:r>
              <w:t>(</w:t>
            </w:r>
            <w:r>
              <w:rPr>
                <w:rFonts w:ascii="Wingdings" w:hAnsi="Wingdings"/>
                <w:color w:val="808080" w:themeColor="background1" w:themeShade="80"/>
              </w:rPr>
              <w:t>t</w:t>
            </w:r>
            <w:r>
              <w:t xml:space="preserve">) </w:t>
            </w:r>
            <w:r w:rsidRPr="00D50BED">
              <w:t>35.20</w:t>
            </w:r>
          </w:p>
        </w:tc>
      </w:tr>
    </w:tbl>
    <w:p w14:paraId="7AA3D09D" w14:textId="77777777" w:rsidR="00554A60" w:rsidRDefault="00554A60" w:rsidP="00554A60">
      <w:pPr>
        <w:pStyle w:val="TAMainText"/>
        <w:ind w:firstLine="0"/>
        <w:rPr>
          <w:rFonts w:ascii="Times New Roman" w:hAnsi="Times New Roman"/>
        </w:rPr>
      </w:pPr>
    </w:p>
    <w:p w14:paraId="7659798A" w14:textId="5C4C0D46" w:rsidR="00EF2A89" w:rsidRDefault="00A94324" w:rsidP="002766AA">
      <w:pPr>
        <w:pStyle w:val="TAMainText"/>
        <w:ind w:firstLine="187"/>
        <w:rPr>
          <w:rFonts w:ascii="Times New Roman" w:hAnsi="Times New Roman"/>
        </w:rPr>
      </w:pPr>
      <w:r>
        <w:rPr>
          <w:rFonts w:ascii="Times New Roman" w:hAnsi="Times New Roman"/>
        </w:rPr>
        <w:t>Firstly, test a)</w:t>
      </w:r>
      <w:r w:rsidR="00625204">
        <w:rPr>
          <w:rFonts w:ascii="Times New Roman" w:hAnsi="Times New Roman"/>
        </w:rPr>
        <w:t xml:space="preserve"> of 1,3-BDO conversion</w:t>
      </w:r>
      <w:r>
        <w:rPr>
          <w:rFonts w:ascii="Times New Roman" w:hAnsi="Times New Roman"/>
        </w:rPr>
        <w:t xml:space="preserve"> in the absence of hydrogen</w:t>
      </w:r>
      <w:r w:rsidR="00EA3F6D">
        <w:rPr>
          <w:rFonts w:ascii="Times New Roman" w:hAnsi="Times New Roman"/>
        </w:rPr>
        <w:t xml:space="preserve"> resulted in several products</w:t>
      </w:r>
      <w:r w:rsidR="00A04B2E">
        <w:rPr>
          <w:rFonts w:ascii="Times New Roman" w:hAnsi="Times New Roman"/>
        </w:rPr>
        <w:t xml:space="preserve"> (Fig. 6a)</w:t>
      </w:r>
      <w:r w:rsidR="00EA3F6D">
        <w:rPr>
          <w:rFonts w:ascii="Times New Roman" w:hAnsi="Times New Roman"/>
        </w:rPr>
        <w:t>, which were assigned to</w:t>
      </w:r>
      <w:r w:rsidR="00725C8A">
        <w:rPr>
          <w:rFonts w:ascii="Times New Roman" w:hAnsi="Times New Roman"/>
        </w:rPr>
        <w:t>: 4-Hydroxy-2-Butanone</w:t>
      </w:r>
      <w:r w:rsidR="00EA3F6D">
        <w:rPr>
          <w:rFonts w:ascii="Times New Roman" w:hAnsi="Times New Roman"/>
        </w:rPr>
        <w:t xml:space="preserve"> </w:t>
      </w:r>
      <w:r w:rsidR="00725C8A">
        <w:rPr>
          <w:rFonts w:ascii="Times New Roman" w:hAnsi="Times New Roman"/>
        </w:rPr>
        <w:t>(4H2B)</w:t>
      </w:r>
      <w:r w:rsidR="00A04B2E">
        <w:rPr>
          <w:rFonts w:ascii="Times New Roman" w:hAnsi="Times New Roman"/>
        </w:rPr>
        <w:t>, Acetone, Butanone and 2-Butanol, the retention time of the substances matched the standards at both oven temperatures</w:t>
      </w:r>
      <w:r w:rsidR="00C11907">
        <w:rPr>
          <w:rFonts w:ascii="Times New Roman" w:hAnsi="Times New Roman"/>
        </w:rPr>
        <w:t xml:space="preserve"> (Table 2)</w:t>
      </w:r>
      <w:r w:rsidR="00A04B2E">
        <w:rPr>
          <w:rFonts w:ascii="Times New Roman" w:hAnsi="Times New Roman"/>
        </w:rPr>
        <w:t xml:space="preserve">. </w:t>
      </w:r>
      <w:r w:rsidR="000C2BCD">
        <w:rPr>
          <w:rFonts w:ascii="Times New Roman" w:hAnsi="Times New Roman"/>
        </w:rPr>
        <w:t xml:space="preserve">Butanone and 2-Butanol have similar retention times at 30 ºC (Table 2), however, the higher intensity of the peak in comparison to the 65 ºC, point the presence of both </w:t>
      </w:r>
      <w:r w:rsidR="000C2BCD">
        <w:rPr>
          <w:rFonts w:ascii="Times New Roman" w:hAnsi="Times New Roman"/>
        </w:rPr>
        <w:t xml:space="preserve">compounds. </w:t>
      </w:r>
      <w:r w:rsidR="009F4368">
        <w:rPr>
          <w:rFonts w:ascii="Times New Roman" w:hAnsi="Times New Roman"/>
        </w:rPr>
        <w:t>The intense peak</w:t>
      </w:r>
      <w:r w:rsidR="00E452B3">
        <w:rPr>
          <w:rFonts w:ascii="Times New Roman" w:hAnsi="Times New Roman"/>
        </w:rPr>
        <w:t>s</w:t>
      </w:r>
      <w:r w:rsidR="009A4588">
        <w:rPr>
          <w:rFonts w:ascii="Times New Roman" w:hAnsi="Times New Roman"/>
        </w:rPr>
        <w:t xml:space="preserve"> at </w:t>
      </w:r>
      <w:proofErr w:type="spellStart"/>
      <w:r w:rsidR="009A4588">
        <w:rPr>
          <w:rFonts w:ascii="Times New Roman" w:hAnsi="Times New Roman"/>
        </w:rPr>
        <w:t>t</w:t>
      </w:r>
      <w:r w:rsidR="009A4588">
        <w:rPr>
          <w:rFonts w:ascii="Times New Roman" w:hAnsi="Times New Roman"/>
          <w:vertAlign w:val="subscript"/>
        </w:rPr>
        <w:t>R</w:t>
      </w:r>
      <w:proofErr w:type="spellEnd"/>
      <w:r w:rsidR="00777F1E">
        <w:rPr>
          <w:rFonts w:ascii="Times New Roman" w:hAnsi="Times New Roman"/>
        </w:rPr>
        <w:t xml:space="preserve"> = 19.2 min (</w:t>
      </w:r>
      <w:r w:rsidR="00FE48D4">
        <w:rPr>
          <w:rFonts w:ascii="Times New Roman" w:hAnsi="Times New Roman"/>
        </w:rPr>
        <w:t xml:space="preserve">solid line: </w:t>
      </w:r>
      <w:proofErr w:type="spellStart"/>
      <w:r w:rsidR="00777F1E">
        <w:rPr>
          <w:rFonts w:ascii="Times New Roman" w:hAnsi="Times New Roman"/>
        </w:rPr>
        <w:t>T</w:t>
      </w:r>
      <w:r w:rsidR="00777F1E">
        <w:rPr>
          <w:rFonts w:ascii="Times New Roman" w:hAnsi="Times New Roman"/>
          <w:vertAlign w:val="subscript"/>
        </w:rPr>
        <w:t>oven</w:t>
      </w:r>
      <w:proofErr w:type="spellEnd"/>
      <w:r w:rsidR="00777F1E">
        <w:rPr>
          <w:rFonts w:ascii="Times New Roman" w:hAnsi="Times New Roman"/>
        </w:rPr>
        <w:t xml:space="preserve"> = 65 ºC)</w:t>
      </w:r>
      <w:r w:rsidR="009C5FFB">
        <w:rPr>
          <w:rFonts w:ascii="Times New Roman" w:hAnsi="Times New Roman"/>
        </w:rPr>
        <w:t xml:space="preserve"> and </w:t>
      </w:r>
      <w:proofErr w:type="spellStart"/>
      <w:r w:rsidR="009C5FFB">
        <w:rPr>
          <w:rFonts w:ascii="Times New Roman" w:hAnsi="Times New Roman"/>
        </w:rPr>
        <w:t>t</w:t>
      </w:r>
      <w:r w:rsidR="009C5FFB">
        <w:rPr>
          <w:rFonts w:ascii="Times New Roman" w:hAnsi="Times New Roman"/>
          <w:vertAlign w:val="subscript"/>
        </w:rPr>
        <w:t>R</w:t>
      </w:r>
      <w:proofErr w:type="spellEnd"/>
      <w:r w:rsidR="009C5FFB">
        <w:rPr>
          <w:rFonts w:ascii="Times New Roman" w:hAnsi="Times New Roman"/>
        </w:rPr>
        <w:t xml:space="preserve"> = 22.05</w:t>
      </w:r>
      <w:r w:rsidR="008C03A2">
        <w:rPr>
          <w:rFonts w:ascii="Times New Roman" w:hAnsi="Times New Roman"/>
        </w:rPr>
        <w:t xml:space="preserve"> min</w:t>
      </w:r>
      <w:r w:rsidR="009C5FFB">
        <w:rPr>
          <w:rFonts w:ascii="Times New Roman" w:hAnsi="Times New Roman"/>
        </w:rPr>
        <w:t xml:space="preserve"> (dotted line: </w:t>
      </w:r>
      <w:proofErr w:type="spellStart"/>
      <w:r w:rsidR="009C5FFB">
        <w:rPr>
          <w:rFonts w:ascii="Times New Roman" w:hAnsi="Times New Roman"/>
        </w:rPr>
        <w:t>T</w:t>
      </w:r>
      <w:r w:rsidR="009C5FFB">
        <w:rPr>
          <w:rFonts w:ascii="Times New Roman" w:hAnsi="Times New Roman"/>
          <w:vertAlign w:val="subscript"/>
        </w:rPr>
        <w:t>oven</w:t>
      </w:r>
      <w:proofErr w:type="spellEnd"/>
      <w:r w:rsidR="009C5FFB">
        <w:rPr>
          <w:rFonts w:ascii="Times New Roman" w:hAnsi="Times New Roman"/>
        </w:rPr>
        <w:t xml:space="preserve"> = 30 </w:t>
      </w:r>
      <w:r w:rsidR="00112B4B">
        <w:rPr>
          <w:rFonts w:ascii="Times New Roman" w:hAnsi="Times New Roman"/>
        </w:rPr>
        <w:t>ºC) relate</w:t>
      </w:r>
      <w:r w:rsidR="009F44BC">
        <w:rPr>
          <w:rFonts w:ascii="Times New Roman" w:hAnsi="Times New Roman"/>
        </w:rPr>
        <w:t xml:space="preserve"> to 1,3-BDO, which was the reactant in this case. </w:t>
      </w:r>
      <w:r w:rsidR="00ED7F40">
        <w:rPr>
          <w:rFonts w:ascii="Times New Roman" w:hAnsi="Times New Roman"/>
        </w:rPr>
        <w:t>Interestingly,</w:t>
      </w:r>
      <w:r w:rsidR="00073BD2">
        <w:rPr>
          <w:rFonts w:ascii="Times New Roman" w:hAnsi="Times New Roman"/>
        </w:rPr>
        <w:t xml:space="preserve"> Ru/C converted</w:t>
      </w:r>
      <w:r w:rsidR="00ED7F40">
        <w:rPr>
          <w:rFonts w:ascii="Times New Roman" w:hAnsi="Times New Roman"/>
        </w:rPr>
        <w:t xml:space="preserve"> </w:t>
      </w:r>
      <w:r w:rsidR="00073BD2">
        <w:rPr>
          <w:rFonts w:ascii="Times New Roman" w:hAnsi="Times New Roman"/>
        </w:rPr>
        <w:t>27.7% of 1,3-BDO</w:t>
      </w:r>
      <w:r w:rsidR="000F40B6">
        <w:rPr>
          <w:rFonts w:ascii="Times New Roman" w:hAnsi="Times New Roman"/>
        </w:rPr>
        <w:t xml:space="preserve"> (Table 1</w:t>
      </w:r>
      <w:r w:rsidR="00B44980">
        <w:rPr>
          <w:rFonts w:ascii="Times New Roman" w:hAnsi="Times New Roman"/>
        </w:rPr>
        <w:t>a</w:t>
      </w:r>
      <w:r w:rsidR="000F40B6">
        <w:rPr>
          <w:rFonts w:ascii="Times New Roman" w:hAnsi="Times New Roman"/>
        </w:rPr>
        <w:t>)</w:t>
      </w:r>
      <w:r w:rsidR="00073BD2">
        <w:rPr>
          <w:rFonts w:ascii="Times New Roman" w:hAnsi="Times New Roman"/>
        </w:rPr>
        <w:t xml:space="preserve"> in the absence of H</w:t>
      </w:r>
      <w:r w:rsidR="00073BD2">
        <w:rPr>
          <w:rFonts w:ascii="Times New Roman" w:hAnsi="Times New Roman"/>
          <w:vertAlign w:val="subscript"/>
        </w:rPr>
        <w:t>2</w:t>
      </w:r>
      <w:r w:rsidR="008B4A3C">
        <w:rPr>
          <w:rFonts w:ascii="Times New Roman" w:hAnsi="Times New Roman"/>
        </w:rPr>
        <w:t xml:space="preserve">, producing acetone and 4H2B, which were not observed in any </w:t>
      </w:r>
      <w:r w:rsidR="00047009">
        <w:rPr>
          <w:rFonts w:ascii="Times New Roman" w:hAnsi="Times New Roman"/>
        </w:rPr>
        <w:t xml:space="preserve">previous </w:t>
      </w:r>
      <w:r w:rsidR="008B4A3C">
        <w:rPr>
          <w:rFonts w:ascii="Times New Roman" w:hAnsi="Times New Roman"/>
        </w:rPr>
        <w:t xml:space="preserve">experiment so far. </w:t>
      </w:r>
      <w:r w:rsidR="005A7F4F">
        <w:rPr>
          <w:rFonts w:ascii="Times New Roman" w:hAnsi="Times New Roman"/>
        </w:rPr>
        <w:t>4H2B may be produced by dehydrogenation of the secondary hydroxyl group of 1,3-BDO, but it</w:t>
      </w:r>
      <w:r w:rsidR="009F5E4A">
        <w:rPr>
          <w:rFonts w:ascii="Times New Roman" w:hAnsi="Times New Roman"/>
        </w:rPr>
        <w:t xml:space="preserve"> i</w:t>
      </w:r>
      <w:r w:rsidR="005A7F4F">
        <w:rPr>
          <w:rFonts w:ascii="Times New Roman" w:hAnsi="Times New Roman"/>
        </w:rPr>
        <w:t xml:space="preserve">s </w:t>
      </w:r>
      <w:r w:rsidR="009F5E4A">
        <w:rPr>
          <w:rFonts w:ascii="Times New Roman" w:hAnsi="Times New Roman"/>
        </w:rPr>
        <w:t xml:space="preserve">also </w:t>
      </w:r>
      <w:r w:rsidR="005A7F4F">
        <w:rPr>
          <w:rFonts w:ascii="Times New Roman" w:hAnsi="Times New Roman"/>
        </w:rPr>
        <w:t>prone</w:t>
      </w:r>
      <w:r w:rsidR="009F5E4A">
        <w:rPr>
          <w:rFonts w:ascii="Times New Roman" w:hAnsi="Times New Roman"/>
        </w:rPr>
        <w:t xml:space="preserve"> to dehydration or even C-C bond cleavage</w:t>
      </w:r>
      <w:r w:rsidR="00883A4B">
        <w:rPr>
          <w:rFonts w:ascii="Times New Roman" w:hAnsi="Times New Roman"/>
        </w:rPr>
        <w:t xml:space="preserve"> on the presence of metallic sites</w:t>
      </w:r>
      <w:r w:rsidR="00EF2A89">
        <w:rPr>
          <w:rFonts w:ascii="Times New Roman" w:hAnsi="Times New Roman"/>
        </w:rPr>
        <w:t>. Butanone is likely to have been produced mainly from dehydration of the secondary hydroxyl of 1,3-BDO. The presence of a small acetone signal suggests that, in fact, C-C cleavage of 4H2B took place to a lesser extent (</w:t>
      </w:r>
      <w:r w:rsidR="00E8329D">
        <w:rPr>
          <w:rFonts w:ascii="Times New Roman" w:hAnsi="Times New Roman"/>
        </w:rPr>
        <w:t>8</w:t>
      </w:r>
      <w:r w:rsidR="00B14BFE" w:rsidRPr="00B14BFE">
        <w:rPr>
          <w:rFonts w:ascii="Times New Roman" w:hAnsi="Times New Roman"/>
        </w:rPr>
        <w:t>,</w:t>
      </w:r>
      <w:r w:rsidR="00E8329D">
        <w:rPr>
          <w:rFonts w:ascii="Times New Roman" w:hAnsi="Times New Roman"/>
        </w:rPr>
        <w:t>9</w:t>
      </w:r>
      <w:r w:rsidR="00EF2A89">
        <w:rPr>
          <w:rFonts w:ascii="Times New Roman" w:hAnsi="Times New Roman"/>
        </w:rPr>
        <w:t>)</w:t>
      </w:r>
      <w:r w:rsidR="007D4980">
        <w:rPr>
          <w:rFonts w:ascii="Times New Roman" w:hAnsi="Times New Roman"/>
        </w:rPr>
        <w:t>. Nevertheless, only very small 2-Propanol</w:t>
      </w:r>
      <w:r w:rsidR="009A1937">
        <w:rPr>
          <w:rFonts w:ascii="Times New Roman" w:hAnsi="Times New Roman"/>
        </w:rPr>
        <w:t xml:space="preserve"> and 2-Butanol</w:t>
      </w:r>
      <w:r w:rsidR="007D4980">
        <w:rPr>
          <w:rFonts w:ascii="Times New Roman" w:hAnsi="Times New Roman"/>
        </w:rPr>
        <w:t xml:space="preserve"> signal</w:t>
      </w:r>
      <w:r w:rsidR="009A1937">
        <w:rPr>
          <w:rFonts w:ascii="Times New Roman" w:hAnsi="Times New Roman"/>
        </w:rPr>
        <w:t>s</w:t>
      </w:r>
      <w:r w:rsidR="007D4980">
        <w:rPr>
          <w:rFonts w:ascii="Times New Roman" w:hAnsi="Times New Roman"/>
        </w:rPr>
        <w:t xml:space="preserve"> w</w:t>
      </w:r>
      <w:r w:rsidR="009A1937">
        <w:rPr>
          <w:rFonts w:ascii="Times New Roman" w:hAnsi="Times New Roman"/>
        </w:rPr>
        <w:t>ere</w:t>
      </w:r>
      <w:r w:rsidR="007D4980">
        <w:rPr>
          <w:rFonts w:ascii="Times New Roman" w:hAnsi="Times New Roman"/>
        </w:rPr>
        <w:t xml:space="preserve"> </w:t>
      </w:r>
      <w:r w:rsidR="00AC65BE">
        <w:rPr>
          <w:rFonts w:ascii="Times New Roman" w:hAnsi="Times New Roman"/>
        </w:rPr>
        <w:t>identified</w:t>
      </w:r>
      <w:r w:rsidR="009A1937">
        <w:rPr>
          <w:rFonts w:ascii="Times New Roman" w:hAnsi="Times New Roman"/>
        </w:rPr>
        <w:t>,</w:t>
      </w:r>
      <w:r w:rsidR="007D4980">
        <w:rPr>
          <w:rFonts w:ascii="Times New Roman" w:hAnsi="Times New Roman"/>
        </w:rPr>
        <w:t xml:space="preserve"> so with test a)</w:t>
      </w:r>
      <w:r w:rsidR="009A1937">
        <w:rPr>
          <w:rFonts w:ascii="Times New Roman" w:hAnsi="Times New Roman"/>
        </w:rPr>
        <w:t xml:space="preserve"> alone</w:t>
      </w:r>
      <w:r w:rsidR="007D4980">
        <w:rPr>
          <w:rFonts w:ascii="Times New Roman" w:hAnsi="Times New Roman"/>
        </w:rPr>
        <w:t xml:space="preserve"> it </w:t>
      </w:r>
      <w:r w:rsidR="00852CBB">
        <w:rPr>
          <w:rFonts w:ascii="Times New Roman" w:hAnsi="Times New Roman"/>
        </w:rPr>
        <w:t>was</w:t>
      </w:r>
      <w:r w:rsidR="007D4980">
        <w:rPr>
          <w:rFonts w:ascii="Times New Roman" w:hAnsi="Times New Roman"/>
        </w:rPr>
        <w:t xml:space="preserve"> still unclear whether 4H2B and Butanone are </w:t>
      </w:r>
      <w:r w:rsidR="00D33C92">
        <w:rPr>
          <w:rFonts w:ascii="Times New Roman" w:hAnsi="Times New Roman"/>
        </w:rPr>
        <w:t>intermediates</w:t>
      </w:r>
      <w:r w:rsidR="007D4980">
        <w:rPr>
          <w:rFonts w:ascii="Times New Roman" w:hAnsi="Times New Roman"/>
        </w:rPr>
        <w:t xml:space="preserve"> of 1,3-BDO conversion during hydrogenation</w:t>
      </w:r>
      <w:r w:rsidR="00DF246F">
        <w:rPr>
          <w:rFonts w:ascii="Times New Roman" w:hAnsi="Times New Roman"/>
        </w:rPr>
        <w:t xml:space="preserve"> of HBA</w:t>
      </w:r>
      <w:r w:rsidR="007D4980">
        <w:rPr>
          <w:rFonts w:ascii="Times New Roman" w:hAnsi="Times New Roman"/>
        </w:rPr>
        <w:t>.</w:t>
      </w:r>
    </w:p>
    <w:p w14:paraId="4D4DD86D" w14:textId="77777777" w:rsidR="00A85F41" w:rsidRDefault="00A85F41" w:rsidP="002766AA">
      <w:pPr>
        <w:pStyle w:val="TAMainText"/>
        <w:ind w:firstLine="187"/>
        <w:rPr>
          <w:rFonts w:ascii="Times New Roman" w:hAnsi="Times New Roman"/>
        </w:rPr>
      </w:pPr>
    </w:p>
    <w:p w14:paraId="0E236C08" w14:textId="77777777" w:rsidR="00A85F41" w:rsidRDefault="00A85F41" w:rsidP="00A85F41">
      <w:pPr>
        <w:jc w:val="center"/>
        <w:rPr>
          <w:rFonts w:ascii="Times New Roman" w:hAnsi="Times New Roman" w:cs="Times New Roman"/>
        </w:rPr>
      </w:pPr>
      <w:r w:rsidRPr="00E631F1">
        <w:rPr>
          <w:noProof/>
        </w:rPr>
        <w:drawing>
          <wp:inline distT="0" distB="0" distL="0" distR="0" wp14:anchorId="543996E0" wp14:editId="405DF61A">
            <wp:extent cx="2916000" cy="2565001"/>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4698" t="3518" r="4698" b="3640"/>
                    <a:stretch/>
                  </pic:blipFill>
                  <pic:spPr bwMode="auto">
                    <a:xfrm>
                      <a:off x="0" y="0"/>
                      <a:ext cx="2916000" cy="2565001"/>
                    </a:xfrm>
                    <a:prstGeom prst="rect">
                      <a:avLst/>
                    </a:prstGeom>
                    <a:noFill/>
                    <a:ln>
                      <a:noFill/>
                    </a:ln>
                    <a:extLst>
                      <a:ext uri="{53640926-AAD7-44D8-BBD7-CCE9431645EC}">
                        <a14:shadowObscured xmlns:a14="http://schemas.microsoft.com/office/drawing/2010/main"/>
                      </a:ext>
                    </a:extLst>
                  </pic:spPr>
                </pic:pic>
              </a:graphicData>
            </a:graphic>
          </wp:inline>
        </w:drawing>
      </w:r>
    </w:p>
    <w:p w14:paraId="7FF424ED" w14:textId="77777777" w:rsidR="00A85F41" w:rsidRDefault="00A85F41" w:rsidP="00A85F41">
      <w:pPr>
        <w:pStyle w:val="VAFigureCaption"/>
      </w:pPr>
      <w:r w:rsidRPr="005103DE">
        <w:rPr>
          <w:b/>
          <w:bCs/>
        </w:rPr>
        <w:t xml:space="preserve">Figure </w:t>
      </w:r>
      <w:r>
        <w:rPr>
          <w:b/>
          <w:bCs/>
        </w:rPr>
        <w:t>6</w:t>
      </w:r>
      <w:r w:rsidRPr="005103DE">
        <w:rPr>
          <w:b/>
          <w:bCs/>
        </w:rPr>
        <w:t xml:space="preserve">. </w:t>
      </w:r>
      <w:r>
        <w:t xml:space="preserve">Chromatograms obtained in the tests: a) 1,3-BDO conversion under inert atmosphere at 1bar, b) 1,3-BDO hydrogenation at 1 bar and c) 4-Hydroxy-2-Butanone (4H2B) hydrogenation at 70 bar. Solid lines: analyses at </w:t>
      </w:r>
      <w:proofErr w:type="spellStart"/>
      <w:r>
        <w:t>T</w:t>
      </w:r>
      <w:r>
        <w:rPr>
          <w:vertAlign w:val="subscript"/>
        </w:rPr>
        <w:t>oven</w:t>
      </w:r>
      <w:proofErr w:type="spellEnd"/>
      <w:r>
        <w:t xml:space="preserve"> = 65 ºC, dotted lines: analyses at </w:t>
      </w:r>
      <w:proofErr w:type="spellStart"/>
      <w:r>
        <w:t>T</w:t>
      </w:r>
      <w:r>
        <w:rPr>
          <w:vertAlign w:val="subscript"/>
        </w:rPr>
        <w:t>oven</w:t>
      </w:r>
      <w:proofErr w:type="spellEnd"/>
      <w:r>
        <w:t xml:space="preserve"> = 30 ºC. Icons are also presented in Table 2.</w:t>
      </w:r>
      <w:r w:rsidRPr="005103DE">
        <w:t xml:space="preserve"> Parameters: </w:t>
      </w:r>
      <w:r>
        <w:t>5.0%Ru/C, T = 130 ºC,</w:t>
      </w:r>
      <w:r w:rsidRPr="005103DE">
        <w:t xml:space="preserve"> </w:t>
      </w:r>
      <w:proofErr w:type="spellStart"/>
      <w:r w:rsidRPr="005103DE">
        <w:t>m</w:t>
      </w:r>
      <w:r w:rsidRPr="005103DE">
        <w:rPr>
          <w:vertAlign w:val="subscript"/>
        </w:rPr>
        <w:t>cat</w:t>
      </w:r>
      <w:proofErr w:type="spellEnd"/>
      <w:r w:rsidRPr="005103DE">
        <w:t xml:space="preserve"> = </w:t>
      </w:r>
      <w:r>
        <w:t>150</w:t>
      </w:r>
      <w:r w:rsidRPr="005103DE">
        <w:t xml:space="preserve"> mg, t = 5 h.</w:t>
      </w:r>
    </w:p>
    <w:p w14:paraId="08910F41" w14:textId="77777777" w:rsidR="00A85F41" w:rsidRDefault="00A85F41" w:rsidP="002766AA">
      <w:pPr>
        <w:pStyle w:val="TAMainText"/>
        <w:ind w:firstLine="187"/>
        <w:rPr>
          <w:rFonts w:ascii="Times New Roman" w:hAnsi="Times New Roman"/>
        </w:rPr>
      </w:pPr>
    </w:p>
    <w:p w14:paraId="4E118C04" w14:textId="6FB71E68" w:rsidR="004E7C40" w:rsidRPr="00A85F41" w:rsidRDefault="00AC65BE" w:rsidP="00A85F41">
      <w:pPr>
        <w:pStyle w:val="TAMainText"/>
        <w:ind w:firstLine="187"/>
        <w:rPr>
          <w:rFonts w:ascii="Times New Roman" w:hAnsi="Times New Roman"/>
        </w:rPr>
      </w:pPr>
      <w:r>
        <w:rPr>
          <w:rFonts w:ascii="Times New Roman" w:hAnsi="Times New Roman"/>
        </w:rPr>
        <w:t xml:space="preserve">The </w:t>
      </w:r>
      <w:r w:rsidR="004105EF">
        <w:rPr>
          <w:rFonts w:ascii="Times New Roman" w:hAnsi="Times New Roman"/>
        </w:rPr>
        <w:t xml:space="preserve">next experiment, test b) (Fig. 6b), </w:t>
      </w:r>
      <w:r w:rsidR="00721AE6">
        <w:rPr>
          <w:rFonts w:ascii="Times New Roman" w:hAnsi="Times New Roman"/>
        </w:rPr>
        <w:t>was performed in the same conditions as test a), but with 1 bar of pure H</w:t>
      </w:r>
      <w:r w:rsidR="00721AE6">
        <w:rPr>
          <w:rFonts w:ascii="Times New Roman" w:hAnsi="Times New Roman"/>
          <w:vertAlign w:val="subscript"/>
        </w:rPr>
        <w:t>2</w:t>
      </w:r>
      <w:r w:rsidR="00721AE6">
        <w:rPr>
          <w:rFonts w:ascii="Times New Roman" w:hAnsi="Times New Roman"/>
        </w:rPr>
        <w:t xml:space="preserve"> instead of Ar. </w:t>
      </w:r>
      <w:r w:rsidR="00B44980">
        <w:rPr>
          <w:rFonts w:ascii="Times New Roman" w:hAnsi="Times New Roman"/>
        </w:rPr>
        <w:t xml:space="preserve">In this case, </w:t>
      </w:r>
      <w:r w:rsidR="001F4597">
        <w:rPr>
          <w:rFonts w:ascii="Times New Roman" w:hAnsi="Times New Roman"/>
        </w:rPr>
        <w:t xml:space="preserve">1,3-BDO conversion reached 53.7% and </w:t>
      </w:r>
      <w:r w:rsidR="00B44980">
        <w:rPr>
          <w:rFonts w:ascii="Times New Roman" w:hAnsi="Times New Roman"/>
        </w:rPr>
        <w:t>4H2B was observed in a very small quantity (Table 1b)</w:t>
      </w:r>
      <w:r w:rsidR="009A1937">
        <w:rPr>
          <w:rFonts w:ascii="Times New Roman" w:hAnsi="Times New Roman"/>
        </w:rPr>
        <w:t xml:space="preserve">, indicating that it was formed and further converted </w:t>
      </w:r>
      <w:r w:rsidR="002E6FC9">
        <w:rPr>
          <w:rFonts w:ascii="Times New Roman" w:hAnsi="Times New Roman"/>
        </w:rPr>
        <w:t>into other products. The intense 2-Propanol peak</w:t>
      </w:r>
      <w:r w:rsidR="00651CCD">
        <w:rPr>
          <w:rFonts w:ascii="Times New Roman" w:hAnsi="Times New Roman"/>
        </w:rPr>
        <w:t xml:space="preserve"> (Fig. 6b </w:t>
      </w:r>
      <w:proofErr w:type="spellStart"/>
      <w:r w:rsidR="00651CCD">
        <w:rPr>
          <w:rFonts w:ascii="Times New Roman" w:hAnsi="Times New Roman"/>
        </w:rPr>
        <w:t>t</w:t>
      </w:r>
      <w:r w:rsidR="00651CCD">
        <w:rPr>
          <w:rFonts w:ascii="Times New Roman" w:hAnsi="Times New Roman"/>
          <w:vertAlign w:val="subscript"/>
        </w:rPr>
        <w:t>R</w:t>
      </w:r>
      <w:proofErr w:type="spellEnd"/>
      <w:r w:rsidR="00651CCD">
        <w:rPr>
          <w:rFonts w:ascii="Times New Roman" w:hAnsi="Times New Roman"/>
        </w:rPr>
        <w:t xml:space="preserve"> = 24.3 min)</w:t>
      </w:r>
      <w:r w:rsidR="002E6FC9">
        <w:rPr>
          <w:rFonts w:ascii="Times New Roman" w:hAnsi="Times New Roman"/>
        </w:rPr>
        <w:t xml:space="preserve"> </w:t>
      </w:r>
      <w:r w:rsidR="00BA1795">
        <w:rPr>
          <w:rFonts w:ascii="Times New Roman" w:hAnsi="Times New Roman"/>
        </w:rPr>
        <w:t>point to C-C bond cleavage of 4H2B to acetone (present in small quantity), followed by hydrogenation to 2-Propanol. Given that it was not observed in test a), this may explain the 2-Propanol form</w:t>
      </w:r>
      <w:r w:rsidR="000B3121">
        <w:rPr>
          <w:rFonts w:ascii="Times New Roman" w:hAnsi="Times New Roman"/>
        </w:rPr>
        <w:t>ation</w:t>
      </w:r>
      <w:r w:rsidR="00BA1795">
        <w:rPr>
          <w:rFonts w:ascii="Times New Roman" w:hAnsi="Times New Roman"/>
        </w:rPr>
        <w:t xml:space="preserve"> in the catalytic tests with HBA, in the presence of 70 bar of H</w:t>
      </w:r>
      <w:r w:rsidR="00BA1795">
        <w:rPr>
          <w:rFonts w:ascii="Times New Roman" w:hAnsi="Times New Roman"/>
          <w:vertAlign w:val="subscript"/>
        </w:rPr>
        <w:t>2</w:t>
      </w:r>
      <w:r w:rsidR="00BA1795">
        <w:rPr>
          <w:rFonts w:ascii="Times New Roman" w:hAnsi="Times New Roman"/>
        </w:rPr>
        <w:t xml:space="preserve">. </w:t>
      </w:r>
      <w:r w:rsidR="000B3121">
        <w:rPr>
          <w:rFonts w:ascii="Times New Roman" w:hAnsi="Times New Roman"/>
        </w:rPr>
        <w:lastRenderedPageBreak/>
        <w:t>Moreover</w:t>
      </w:r>
      <w:r w:rsidR="00BA1795">
        <w:rPr>
          <w:rFonts w:ascii="Times New Roman" w:hAnsi="Times New Roman"/>
        </w:rPr>
        <w:t xml:space="preserve">, the absence of Butanone </w:t>
      </w:r>
      <w:r w:rsidR="000B3121">
        <w:rPr>
          <w:rFonts w:ascii="Times New Roman" w:hAnsi="Times New Roman"/>
        </w:rPr>
        <w:t>indicates that it was further hydrogenated to 2-Butanol, which was detected in significant amount (Table 1b).</w:t>
      </w:r>
      <w:r w:rsidR="00C64FFB">
        <w:rPr>
          <w:rFonts w:ascii="Times New Roman" w:hAnsi="Times New Roman"/>
        </w:rPr>
        <w:t xml:space="preserve"> The result shows 4H2B and Butanone being highly unstable in the presence of H</w:t>
      </w:r>
      <w:r w:rsidR="00C64FFB">
        <w:rPr>
          <w:rFonts w:ascii="Times New Roman" w:hAnsi="Times New Roman"/>
          <w:vertAlign w:val="subscript"/>
        </w:rPr>
        <w:t>2</w:t>
      </w:r>
      <w:r w:rsidR="00C64FFB">
        <w:rPr>
          <w:rFonts w:ascii="Times New Roman" w:hAnsi="Times New Roman"/>
        </w:rPr>
        <w:t xml:space="preserve">, which would be the reason as to why both were not detected previously in the HBA hydrogenation. </w:t>
      </w:r>
    </w:p>
    <w:p w14:paraId="64B31912" w14:textId="3C601AFE" w:rsidR="007B67E8" w:rsidRDefault="007B67E8" w:rsidP="007B67E8">
      <w:pPr>
        <w:pStyle w:val="TAMainText"/>
        <w:ind w:firstLine="187"/>
        <w:rPr>
          <w:rFonts w:ascii="Times New Roman" w:hAnsi="Times New Roman"/>
        </w:rPr>
      </w:pPr>
      <w:r>
        <w:rPr>
          <w:rFonts w:ascii="Times New Roman" w:hAnsi="Times New Roman"/>
        </w:rPr>
        <w:t>To confirm 2-Propanol formation from 4H2B, test c) was carried out using 4H2B as reactant, under 70 bar of H</w:t>
      </w:r>
      <w:r>
        <w:rPr>
          <w:rFonts w:ascii="Times New Roman" w:hAnsi="Times New Roman"/>
          <w:vertAlign w:val="subscript"/>
        </w:rPr>
        <w:t>2</w:t>
      </w:r>
      <w:r>
        <w:rPr>
          <w:rFonts w:ascii="Times New Roman" w:hAnsi="Times New Roman"/>
        </w:rPr>
        <w:t xml:space="preserve"> (Fig. 6c). As expected, 4H2B is highly active, being completely converted over 5 h of reaction, forming 2-Propanol mainly. This corroborates the idea that 4H2B is in fact an intermediate in the degradation of 1,3-BDO to 2-Propanol. Interestingly, 1,3-BDO was observed in the reaction product, which is expected to occur by hydrogenation of the 4H2B carbonyl, however, it was at a concentration about three times lower than 2-Propanol, suggesting that C-C bond cleavage is predominant over hydrogenation to 1,3-BDO</w:t>
      </w:r>
      <w:r w:rsidR="00CA4BCA">
        <w:rPr>
          <w:rFonts w:ascii="Times New Roman" w:hAnsi="Times New Roman"/>
        </w:rPr>
        <w:t>, even in H</w:t>
      </w:r>
      <w:r w:rsidR="00CA4BCA">
        <w:rPr>
          <w:rFonts w:ascii="Times New Roman" w:hAnsi="Times New Roman"/>
          <w:vertAlign w:val="subscript"/>
        </w:rPr>
        <w:t>2</w:t>
      </w:r>
      <w:r w:rsidR="00CA4BCA">
        <w:rPr>
          <w:rFonts w:ascii="Times New Roman" w:hAnsi="Times New Roman"/>
        </w:rPr>
        <w:t xml:space="preserve"> atmosphere at 70 </w:t>
      </w:r>
      <w:proofErr w:type="gramStart"/>
      <w:r w:rsidR="00CA4BCA">
        <w:rPr>
          <w:rFonts w:ascii="Times New Roman" w:hAnsi="Times New Roman"/>
        </w:rPr>
        <w:t>bar</w:t>
      </w:r>
      <w:proofErr w:type="gramEnd"/>
      <w:r>
        <w:rPr>
          <w:rFonts w:ascii="Times New Roman" w:hAnsi="Times New Roman"/>
        </w:rPr>
        <w:t>. Furthermore, 2-Butanol was detected in significant amount, likely formed by 1,3-BDO dehydration to butanone and further hydrogenation</w:t>
      </w:r>
      <w:r w:rsidR="00E678B3">
        <w:rPr>
          <w:rFonts w:ascii="Times New Roman" w:hAnsi="Times New Roman"/>
        </w:rPr>
        <w:t xml:space="preserve"> to 2-Butanol</w:t>
      </w:r>
      <w:r>
        <w:rPr>
          <w:rFonts w:ascii="Times New Roman" w:hAnsi="Times New Roman"/>
        </w:rPr>
        <w:t xml:space="preserve"> or even by dehydration of 4H2B to methyl vinyl ketone, then successive hydrogenations to Butanone and 2-Butanol. Despite the formation of 2-Propanol, no acetone was detected in this test, therefore it is probably readily hydrogenated to the alcohol</w:t>
      </w:r>
      <w:r w:rsidR="00D23715">
        <w:rPr>
          <w:rFonts w:ascii="Times New Roman" w:hAnsi="Times New Roman"/>
        </w:rPr>
        <w:t xml:space="preserve"> (</w:t>
      </w:r>
      <w:r w:rsidR="00E8329D">
        <w:rPr>
          <w:rFonts w:ascii="Times New Roman" w:hAnsi="Times New Roman"/>
        </w:rPr>
        <w:t>9</w:t>
      </w:r>
      <w:r w:rsidR="00D23715">
        <w:rPr>
          <w:rFonts w:ascii="Times New Roman" w:hAnsi="Times New Roman"/>
        </w:rPr>
        <w:t>)</w:t>
      </w:r>
      <w:r>
        <w:rPr>
          <w:rFonts w:ascii="Times New Roman" w:hAnsi="Times New Roman"/>
        </w:rPr>
        <w:t>.</w:t>
      </w:r>
    </w:p>
    <w:p w14:paraId="7B167C47" w14:textId="7FD6F191" w:rsidR="00220F18" w:rsidRDefault="002F3ADE" w:rsidP="00554A60">
      <w:pPr>
        <w:pStyle w:val="TAMainText"/>
        <w:ind w:firstLine="187"/>
        <w:rPr>
          <w:rFonts w:ascii="Times New Roman" w:hAnsi="Times New Roman"/>
        </w:rPr>
      </w:pPr>
      <w:r>
        <w:rPr>
          <w:rFonts w:ascii="Times New Roman" w:hAnsi="Times New Roman"/>
        </w:rPr>
        <w:t>Furthermore, a single 2-Butanol hydrogenation experiment performed at P = 70 bar over the Ru/C catalyst</w:t>
      </w:r>
      <w:r w:rsidR="00984505">
        <w:rPr>
          <w:rFonts w:ascii="Times New Roman" w:hAnsi="Times New Roman"/>
        </w:rPr>
        <w:t xml:space="preserve"> showed low conversion (15%), indicating higher stability of the compound in comparison with 4H2B (Table 1c) and Butanone, which appears to be readily hydrogenated even at P = 1 bar.</w:t>
      </w:r>
    </w:p>
    <w:p w14:paraId="0142A7D2" w14:textId="77777777" w:rsidR="00705B9B" w:rsidRPr="002E1C9F" w:rsidRDefault="00705B9B" w:rsidP="00705B9B">
      <w:pPr>
        <w:pStyle w:val="TAMainText"/>
        <w:ind w:firstLine="187"/>
        <w:rPr>
          <w:rFonts w:ascii="Times New Roman" w:hAnsi="Times New Roman"/>
        </w:rPr>
      </w:pPr>
      <w:r>
        <w:rPr>
          <w:rFonts w:ascii="Times New Roman" w:hAnsi="Times New Roman"/>
        </w:rPr>
        <w:t>Overall, the investigation suggests that 1,3-BDO degradation starts from the secondary hydroxyl dehydrogenation to 4H2B, followed by C-C cleavage to acetone and further hydrogenation to 2-Propanol. The pathway leading to 2-Butanol is still unclear, but it is probably formed either by dehydration of 1,3-BDO to butanone followed by hydrogenation, dehydration of 4H2B then successive hydrogenations, or a combination of both.</w:t>
      </w:r>
    </w:p>
    <w:p w14:paraId="752CD0EB" w14:textId="06D1CD5E" w:rsidR="00705B9B" w:rsidRDefault="00705B9B" w:rsidP="00705B9B">
      <w:pPr>
        <w:pStyle w:val="TAMainText"/>
        <w:rPr>
          <w:rFonts w:ascii="Times New Roman" w:hAnsi="Times New Roman"/>
        </w:rPr>
      </w:pPr>
      <w:r>
        <w:rPr>
          <w:rFonts w:ascii="Times New Roman" w:hAnsi="Times New Roman"/>
        </w:rPr>
        <w:t>It is also noteworthy that the literature in which the ideas for the tests were based shows the mechanisms of 1,3-BDO conversion in gas-phase and higher temperatures, so this results not only corroborates these finding, but also suggests that a similar pathway takes place on aqueous phase. All the products identified here come from reactions starting from the secondary hydroxyl of 1,3-BDO, however, it was already shown that the primary hydroxyl may also undergo side reactions (</w:t>
      </w:r>
      <w:r w:rsidR="00E8329D">
        <w:rPr>
          <w:rFonts w:ascii="Times New Roman" w:hAnsi="Times New Roman"/>
        </w:rPr>
        <w:t>7</w:t>
      </w:r>
      <w:r w:rsidR="00B14BFE" w:rsidRPr="00B14BFE">
        <w:rPr>
          <w:rFonts w:ascii="Times New Roman" w:hAnsi="Times New Roman"/>
        </w:rPr>
        <w:t>,</w:t>
      </w:r>
      <w:r w:rsidR="00E8329D">
        <w:rPr>
          <w:rFonts w:ascii="Times New Roman" w:hAnsi="Times New Roman"/>
        </w:rPr>
        <w:t>8</w:t>
      </w:r>
      <w:r>
        <w:rPr>
          <w:rFonts w:ascii="Times New Roman" w:hAnsi="Times New Roman"/>
        </w:rPr>
        <w:t>). Nevertheless, in this study it was observed that, in HBA hydrogenation conditions, the secondary 1,3-BDO hydroxyl is much more unstable than the primary.</w:t>
      </w:r>
    </w:p>
    <w:p w14:paraId="49AE8C02" w14:textId="09F8E61E" w:rsidR="00EA4E1B" w:rsidRPr="00A44D1B" w:rsidRDefault="00705B9B" w:rsidP="00A44D1B">
      <w:pPr>
        <w:pStyle w:val="TAMainText"/>
        <w:rPr>
          <w:rFonts w:ascii="Times New Roman" w:hAnsi="Times New Roman"/>
        </w:rPr>
      </w:pPr>
      <w:r>
        <w:rPr>
          <w:rFonts w:ascii="Times New Roman" w:hAnsi="Times New Roman"/>
        </w:rPr>
        <w:t xml:space="preserve">With the data presented here, it was possible to evaluate the effect of temperature, support, and Ru content on the HBA hydrogenation to 1,3-BDO, as well as identify the </w:t>
      </w:r>
      <w:r>
        <w:rPr>
          <w:rFonts w:ascii="Times New Roman" w:hAnsi="Times New Roman"/>
        </w:rPr>
        <w:t>main mechanism of side reactions involved the product. This work may serve as a starting point in more profound investigations regarding HBA hydrogenation and the development of selective catalysts towards 1,3-BDO.</w:t>
      </w:r>
    </w:p>
    <w:p w14:paraId="46FE30FF" w14:textId="77777777" w:rsidR="00EA4E1B" w:rsidRPr="00A44D1B" w:rsidRDefault="00EA4E1B" w:rsidP="00EA4E1B">
      <w:pPr>
        <w:rPr>
          <w:lang w:val="en-US"/>
        </w:rPr>
      </w:pPr>
    </w:p>
    <w:p w14:paraId="20AA905D" w14:textId="0B27B773" w:rsidR="00EA4E1B" w:rsidRPr="00232F04" w:rsidRDefault="00EA4E1B" w:rsidP="00EA4E1B">
      <w:pPr>
        <w:pStyle w:val="Ttulo2"/>
        <w:rPr>
          <w:rFonts w:ascii="Helvetica" w:hAnsi="Helvetica" w:cs="Helvetica"/>
          <w:sz w:val="24"/>
          <w:szCs w:val="24"/>
          <w:lang w:val="en-US"/>
        </w:rPr>
      </w:pPr>
      <w:r w:rsidRPr="00232F04">
        <w:rPr>
          <w:rFonts w:ascii="Helvetica" w:hAnsi="Helvetica" w:cs="Helvetica"/>
          <w:sz w:val="24"/>
          <w:szCs w:val="24"/>
          <w:lang w:val="en-US"/>
        </w:rPr>
        <w:t>Conclus</w:t>
      </w:r>
      <w:r w:rsidR="00E64A28" w:rsidRPr="00232F04">
        <w:rPr>
          <w:rFonts w:ascii="Helvetica" w:hAnsi="Helvetica" w:cs="Helvetica"/>
          <w:sz w:val="24"/>
          <w:szCs w:val="24"/>
          <w:lang w:val="en-US"/>
        </w:rPr>
        <w:t>ions</w:t>
      </w:r>
    </w:p>
    <w:p w14:paraId="4A70FE93" w14:textId="0C8A556B" w:rsidR="00EA4E1B" w:rsidRPr="00E35A46" w:rsidRDefault="00E35A46" w:rsidP="00EA4E1B">
      <w:pPr>
        <w:pStyle w:val="TAMainText"/>
        <w:ind w:firstLine="187"/>
        <w:rPr>
          <w:rFonts w:ascii="Times New Roman" w:hAnsi="Times New Roman"/>
        </w:rPr>
      </w:pPr>
      <w:r w:rsidRPr="00E35A46">
        <w:rPr>
          <w:rFonts w:ascii="Times New Roman" w:hAnsi="Times New Roman"/>
        </w:rPr>
        <w:t xml:space="preserve">Aqueous-phase hydrogenation of </w:t>
      </w:r>
      <w:r>
        <w:rPr>
          <w:rFonts w:ascii="Times New Roman" w:hAnsi="Times New Roman"/>
          <w:lang w:val="pt-BR"/>
        </w:rPr>
        <w:t>β</w:t>
      </w:r>
      <w:r w:rsidRPr="00E35A46">
        <w:rPr>
          <w:rFonts w:ascii="Times New Roman" w:hAnsi="Times New Roman"/>
        </w:rPr>
        <w:t>-</w:t>
      </w:r>
      <w:r>
        <w:rPr>
          <w:rFonts w:ascii="Times New Roman" w:hAnsi="Times New Roman"/>
        </w:rPr>
        <w:t>hydroxybutyric acid was studied over Ru catalysts supported on carbon, TiO</w:t>
      </w:r>
      <w:r>
        <w:rPr>
          <w:rFonts w:ascii="Times New Roman" w:hAnsi="Times New Roman"/>
          <w:vertAlign w:val="subscript"/>
        </w:rPr>
        <w:t>2</w:t>
      </w:r>
      <w:r>
        <w:rPr>
          <w:rFonts w:ascii="Times New Roman" w:hAnsi="Times New Roman"/>
        </w:rPr>
        <w:t xml:space="preserve"> and SiO</w:t>
      </w:r>
      <w:r>
        <w:rPr>
          <w:rFonts w:ascii="Times New Roman" w:hAnsi="Times New Roman"/>
          <w:vertAlign w:val="subscript"/>
        </w:rPr>
        <w:t>2</w:t>
      </w:r>
      <w:r>
        <w:rPr>
          <w:rFonts w:ascii="Times New Roman" w:hAnsi="Times New Roman"/>
        </w:rPr>
        <w:t xml:space="preserve">. </w:t>
      </w:r>
      <w:r w:rsidR="001B6168">
        <w:rPr>
          <w:rFonts w:ascii="Times New Roman" w:hAnsi="Times New Roman"/>
        </w:rPr>
        <w:t xml:space="preserve">Increasing reaction temperature </w:t>
      </w:r>
      <w:r w:rsidR="002B2C43">
        <w:rPr>
          <w:rFonts w:ascii="Times New Roman" w:hAnsi="Times New Roman"/>
        </w:rPr>
        <w:t xml:space="preserve">increased and decreased HBA conversion and 1,3-Butanediol selectivity, respectively. </w:t>
      </w:r>
      <w:r w:rsidR="005155B7">
        <w:rPr>
          <w:rFonts w:ascii="Times New Roman" w:hAnsi="Times New Roman"/>
        </w:rPr>
        <w:t xml:space="preserve">Synthesized catalysts showed higher selectivity than the commercial. </w:t>
      </w:r>
      <w:r w:rsidR="00E11E0A">
        <w:rPr>
          <w:rFonts w:ascii="Times New Roman" w:hAnsi="Times New Roman"/>
        </w:rPr>
        <w:t>The Ru/SiO</w:t>
      </w:r>
      <w:r w:rsidR="00E11E0A">
        <w:rPr>
          <w:rFonts w:ascii="Times New Roman" w:hAnsi="Times New Roman"/>
          <w:vertAlign w:val="subscript"/>
        </w:rPr>
        <w:t>2</w:t>
      </w:r>
      <w:r w:rsidR="005155B7">
        <w:rPr>
          <w:rFonts w:ascii="Times New Roman" w:hAnsi="Times New Roman"/>
        </w:rPr>
        <w:t xml:space="preserve"> catalyst presented the highest conversion and production turnover numbers, but side reactions were more pronounced</w:t>
      </w:r>
      <w:r w:rsidR="00FB1324">
        <w:rPr>
          <w:rFonts w:ascii="Times New Roman" w:hAnsi="Times New Roman"/>
        </w:rPr>
        <w:t>, indicating and effect of support nature</w:t>
      </w:r>
      <w:r w:rsidR="005155B7">
        <w:rPr>
          <w:rFonts w:ascii="Times New Roman" w:hAnsi="Times New Roman"/>
        </w:rPr>
        <w:t>.</w:t>
      </w:r>
      <w:r w:rsidR="00FB1324">
        <w:rPr>
          <w:rFonts w:ascii="Times New Roman" w:hAnsi="Times New Roman"/>
        </w:rPr>
        <w:t xml:space="preserve"> </w:t>
      </w:r>
      <w:r w:rsidR="00CC6A1E">
        <w:rPr>
          <w:rFonts w:ascii="Times New Roman" w:hAnsi="Times New Roman"/>
        </w:rPr>
        <w:t xml:space="preserve">All catalysts were also active in the degradation of 1,3-Butanediol. The mechanistic investigation suggests that side reactions start </w:t>
      </w:r>
      <w:r w:rsidR="00E22659">
        <w:rPr>
          <w:rFonts w:ascii="Times New Roman" w:hAnsi="Times New Roman"/>
        </w:rPr>
        <w:t xml:space="preserve">at dehydration to 2-Butanol or dehydrogenation to 4-Hydroxy-2-Butanone, which is converted into 2-Propanol by a C-C cleavage mechanism. The data presented here serve as basis for the development of active and selective catalysts for the hydrogenation of </w:t>
      </w:r>
      <w:r w:rsidR="00E22659">
        <w:rPr>
          <w:rFonts w:ascii="Times New Roman" w:hAnsi="Times New Roman"/>
          <w:lang w:val="pt-BR"/>
        </w:rPr>
        <w:t>β</w:t>
      </w:r>
      <w:r w:rsidR="00E22659" w:rsidRPr="00E35A46">
        <w:rPr>
          <w:rFonts w:ascii="Times New Roman" w:hAnsi="Times New Roman"/>
        </w:rPr>
        <w:t>-</w:t>
      </w:r>
      <w:r w:rsidR="00E22659">
        <w:rPr>
          <w:rFonts w:ascii="Times New Roman" w:hAnsi="Times New Roman"/>
        </w:rPr>
        <w:t>hydroxybutyric acid to 1,3-Butanediol.</w:t>
      </w:r>
    </w:p>
    <w:p w14:paraId="6BE32F7B" w14:textId="73221928" w:rsidR="00EA4E1B" w:rsidRPr="003900CA" w:rsidRDefault="00EA4E1B" w:rsidP="00EA4E1B">
      <w:pPr>
        <w:pStyle w:val="Ttulo2"/>
        <w:rPr>
          <w:rFonts w:ascii="Helvetica" w:hAnsi="Helvetica" w:cs="Helvetica"/>
          <w:sz w:val="24"/>
          <w:szCs w:val="24"/>
          <w:lang w:val="en-US"/>
        </w:rPr>
      </w:pPr>
      <w:r w:rsidRPr="003900CA">
        <w:rPr>
          <w:rFonts w:ascii="Helvetica" w:hAnsi="Helvetica" w:cs="Helvetica"/>
          <w:sz w:val="24"/>
          <w:szCs w:val="24"/>
          <w:lang w:val="en-US"/>
        </w:rPr>
        <w:t>A</w:t>
      </w:r>
      <w:r w:rsidR="00E64A28" w:rsidRPr="003900CA">
        <w:rPr>
          <w:rFonts w:ascii="Helvetica" w:hAnsi="Helvetica" w:cs="Helvetica"/>
          <w:sz w:val="24"/>
          <w:szCs w:val="24"/>
          <w:lang w:val="en-US"/>
        </w:rPr>
        <w:t>cknowledgments</w:t>
      </w:r>
    </w:p>
    <w:p w14:paraId="05A178F9" w14:textId="48035B22" w:rsidR="00EA4E1B" w:rsidRPr="002D2878" w:rsidRDefault="002D2878" w:rsidP="00EA4E1B">
      <w:pPr>
        <w:pStyle w:val="TAMainText"/>
        <w:rPr>
          <w:rFonts w:ascii="Times New Roman" w:hAnsi="Times New Roman"/>
        </w:rPr>
      </w:pPr>
      <w:r w:rsidRPr="002D2878">
        <w:rPr>
          <w:rFonts w:ascii="Times New Roman" w:hAnsi="Times New Roman"/>
        </w:rPr>
        <w:t>The authors thank C</w:t>
      </w:r>
      <w:r>
        <w:rPr>
          <w:rFonts w:ascii="Times New Roman" w:hAnsi="Times New Roman"/>
        </w:rPr>
        <w:t>APES</w:t>
      </w:r>
      <w:r w:rsidR="009211B7">
        <w:rPr>
          <w:rFonts w:ascii="Times New Roman" w:hAnsi="Times New Roman"/>
        </w:rPr>
        <w:t xml:space="preserve"> for the financial support</w:t>
      </w:r>
      <w:r w:rsidR="00451E56">
        <w:rPr>
          <w:rFonts w:ascii="Times New Roman" w:hAnsi="Times New Roman"/>
        </w:rPr>
        <w:t xml:space="preserve"> and </w:t>
      </w:r>
      <w:proofErr w:type="spellStart"/>
      <w:r w:rsidR="00451E56">
        <w:rPr>
          <w:rFonts w:ascii="Times New Roman" w:hAnsi="Times New Roman"/>
        </w:rPr>
        <w:t>CNPq</w:t>
      </w:r>
      <w:proofErr w:type="spellEnd"/>
      <w:r>
        <w:rPr>
          <w:rFonts w:ascii="Times New Roman" w:hAnsi="Times New Roman"/>
        </w:rPr>
        <w:t xml:space="preserve"> </w:t>
      </w:r>
      <w:r w:rsidR="009211B7">
        <w:rPr>
          <w:rFonts w:ascii="Times New Roman" w:hAnsi="Times New Roman"/>
        </w:rPr>
        <w:t xml:space="preserve">and FAPESP (grant 2020/04109-0) </w:t>
      </w:r>
      <w:r>
        <w:rPr>
          <w:rFonts w:ascii="Times New Roman" w:hAnsi="Times New Roman"/>
        </w:rPr>
        <w:t>for the scholarship</w:t>
      </w:r>
      <w:r w:rsidR="009211B7">
        <w:rPr>
          <w:rFonts w:ascii="Times New Roman" w:hAnsi="Times New Roman"/>
        </w:rPr>
        <w:t>s provided</w:t>
      </w:r>
      <w:r>
        <w:rPr>
          <w:rFonts w:ascii="Times New Roman" w:hAnsi="Times New Roman"/>
        </w:rPr>
        <w:t>.</w:t>
      </w:r>
      <w:r w:rsidR="00121E36">
        <w:rPr>
          <w:rFonts w:ascii="Times New Roman" w:hAnsi="Times New Roman"/>
        </w:rPr>
        <w:t xml:space="preserve"> Also, acknowledgements to PHB</w:t>
      </w:r>
      <w:r w:rsidR="00AB2CAD">
        <w:rPr>
          <w:rFonts w:ascii="Times New Roman" w:hAnsi="Times New Roman"/>
        </w:rPr>
        <w:t xml:space="preserve"> Industrial</w:t>
      </w:r>
      <w:r w:rsidR="00121E36">
        <w:rPr>
          <w:rFonts w:ascii="Times New Roman" w:hAnsi="Times New Roman"/>
        </w:rPr>
        <w:t xml:space="preserve"> S. A. for providing the reactants.</w:t>
      </w:r>
    </w:p>
    <w:p w14:paraId="158D911D" w14:textId="1EA176CA" w:rsidR="00EA4E1B" w:rsidRPr="002D2878" w:rsidRDefault="00EA4E1B" w:rsidP="00F47D1C">
      <w:pPr>
        <w:pStyle w:val="Ttulo2"/>
        <w:rPr>
          <w:rFonts w:ascii="Helvetica" w:hAnsi="Helvetica" w:cs="Helvetica"/>
          <w:sz w:val="24"/>
          <w:szCs w:val="24"/>
          <w:lang w:val="en-US"/>
        </w:rPr>
      </w:pPr>
      <w:r w:rsidRPr="002D2878">
        <w:rPr>
          <w:rFonts w:ascii="Helvetica" w:hAnsi="Helvetica" w:cs="Helvetica"/>
          <w:sz w:val="24"/>
          <w:szCs w:val="24"/>
          <w:lang w:val="en-US"/>
        </w:rPr>
        <w:t>Refer</w:t>
      </w:r>
      <w:r w:rsidR="00E64A28" w:rsidRPr="002D2878">
        <w:rPr>
          <w:rFonts w:ascii="Helvetica" w:hAnsi="Helvetica" w:cs="Helvetica"/>
          <w:sz w:val="24"/>
          <w:szCs w:val="24"/>
          <w:lang w:val="en-US"/>
        </w:rPr>
        <w:t>ences</w:t>
      </w:r>
    </w:p>
    <w:p w14:paraId="7B9FF9E8" w14:textId="77777777" w:rsidR="008009A3" w:rsidRPr="008009A3" w:rsidRDefault="008009A3" w:rsidP="00EA4E1B">
      <w:pPr>
        <w:pStyle w:val="TAMainText"/>
        <w:numPr>
          <w:ilvl w:val="0"/>
          <w:numId w:val="1"/>
        </w:numPr>
      </w:pPr>
      <w:r w:rsidRPr="008009A3">
        <w:rPr>
          <w:bCs/>
        </w:rPr>
        <w:t xml:space="preserve">Y. </w:t>
      </w:r>
      <w:proofErr w:type="spellStart"/>
      <w:r w:rsidRPr="008009A3">
        <w:rPr>
          <w:bCs/>
        </w:rPr>
        <w:t>Tokiwa</w:t>
      </w:r>
      <w:proofErr w:type="spellEnd"/>
      <w:r w:rsidRPr="008009A3">
        <w:rPr>
          <w:bCs/>
        </w:rPr>
        <w:t xml:space="preserve">; C. U. </w:t>
      </w:r>
      <w:proofErr w:type="spellStart"/>
      <w:r w:rsidRPr="008009A3">
        <w:rPr>
          <w:bCs/>
        </w:rPr>
        <w:t>Ugwu</w:t>
      </w:r>
      <w:proofErr w:type="spellEnd"/>
      <w:r>
        <w:rPr>
          <w:bCs/>
        </w:rPr>
        <w:t xml:space="preserve">, </w:t>
      </w:r>
      <w:r w:rsidRPr="008009A3">
        <w:rPr>
          <w:bCs/>
          <w:i/>
          <w:iCs/>
        </w:rPr>
        <w:t>J. Biotech.</w:t>
      </w:r>
      <w:r>
        <w:rPr>
          <w:bCs/>
          <w:i/>
          <w:iCs/>
        </w:rPr>
        <w:t xml:space="preserve"> </w:t>
      </w:r>
      <w:r w:rsidRPr="008009A3">
        <w:rPr>
          <w:b/>
        </w:rPr>
        <w:t>2007</w:t>
      </w:r>
      <w:r>
        <w:rPr>
          <w:bCs/>
        </w:rPr>
        <w:t xml:space="preserve">, </w:t>
      </w:r>
      <w:r w:rsidRPr="008009A3">
        <w:rPr>
          <w:bCs/>
          <w:i/>
          <w:iCs/>
        </w:rPr>
        <w:t>132</w:t>
      </w:r>
      <w:r>
        <w:rPr>
          <w:bCs/>
        </w:rPr>
        <w:t>, 264-272.</w:t>
      </w:r>
    </w:p>
    <w:p w14:paraId="7304CE4A" w14:textId="1934A0B6" w:rsidR="00EA4E1B" w:rsidRDefault="00D85AD4" w:rsidP="00D85AD4">
      <w:pPr>
        <w:pStyle w:val="TAMainText"/>
        <w:numPr>
          <w:ilvl w:val="0"/>
          <w:numId w:val="1"/>
        </w:numPr>
        <w:rPr>
          <w:bCs/>
        </w:rPr>
      </w:pPr>
      <w:r w:rsidRPr="00D85AD4">
        <w:rPr>
          <w:bCs/>
        </w:rPr>
        <w:t xml:space="preserve">Y. </w:t>
      </w:r>
      <w:proofErr w:type="spellStart"/>
      <w:r w:rsidRPr="00D85AD4">
        <w:rPr>
          <w:bCs/>
        </w:rPr>
        <w:t>Tokiwa</w:t>
      </w:r>
      <w:proofErr w:type="spellEnd"/>
      <w:r w:rsidRPr="00D85AD4">
        <w:rPr>
          <w:bCs/>
        </w:rPr>
        <w:t xml:space="preserve">; B.P. </w:t>
      </w:r>
      <w:proofErr w:type="spellStart"/>
      <w:r w:rsidRPr="00D85AD4">
        <w:rPr>
          <w:bCs/>
        </w:rPr>
        <w:t>Calabia</w:t>
      </w:r>
      <w:proofErr w:type="spellEnd"/>
      <w:r w:rsidRPr="00D85AD4">
        <w:rPr>
          <w:bCs/>
        </w:rPr>
        <w:t xml:space="preserve">, </w:t>
      </w:r>
      <w:r w:rsidRPr="00D85AD4">
        <w:rPr>
          <w:bCs/>
          <w:i/>
          <w:iCs/>
        </w:rPr>
        <w:t>Biotech. Let.</w:t>
      </w:r>
      <w:r w:rsidRPr="00D85AD4">
        <w:rPr>
          <w:bCs/>
        </w:rPr>
        <w:t xml:space="preserve"> </w:t>
      </w:r>
      <w:r w:rsidRPr="00D85AD4">
        <w:rPr>
          <w:b/>
        </w:rPr>
        <w:t>2004</w:t>
      </w:r>
      <w:r w:rsidRPr="00D85AD4">
        <w:rPr>
          <w:bCs/>
        </w:rPr>
        <w:t xml:space="preserve">, </w:t>
      </w:r>
      <w:r w:rsidRPr="00D85AD4">
        <w:rPr>
          <w:bCs/>
          <w:i/>
          <w:iCs/>
        </w:rPr>
        <w:t>26</w:t>
      </w:r>
      <w:r w:rsidRPr="00D85AD4">
        <w:rPr>
          <w:bCs/>
        </w:rPr>
        <w:t>, 1181–1189.</w:t>
      </w:r>
    </w:p>
    <w:p w14:paraId="1D7D7E90" w14:textId="0D34C5A2" w:rsidR="00FC40DF" w:rsidRPr="00FC40DF" w:rsidRDefault="00FC40DF" w:rsidP="00D85AD4">
      <w:pPr>
        <w:pStyle w:val="TAMainText"/>
        <w:numPr>
          <w:ilvl w:val="0"/>
          <w:numId w:val="1"/>
        </w:numPr>
        <w:rPr>
          <w:bCs/>
        </w:rPr>
      </w:pPr>
      <w:r>
        <w:rPr>
          <w:rFonts w:ascii="Times New Roman" w:hAnsi="Times New Roman"/>
        </w:rPr>
        <w:t>P</w:t>
      </w:r>
      <w:r w:rsidRPr="00E038AF">
        <w:rPr>
          <w:rFonts w:ascii="Times New Roman" w:hAnsi="Times New Roman"/>
        </w:rPr>
        <w:t xml:space="preserve">. </w:t>
      </w:r>
      <w:r>
        <w:rPr>
          <w:rFonts w:ascii="Times New Roman" w:hAnsi="Times New Roman"/>
        </w:rPr>
        <w:t>D</w:t>
      </w:r>
      <w:r w:rsidRPr="00E038AF">
        <w:rPr>
          <w:rFonts w:ascii="Times New Roman" w:hAnsi="Times New Roman"/>
        </w:rPr>
        <w:t xml:space="preserve">. </w:t>
      </w:r>
      <w:r>
        <w:rPr>
          <w:rFonts w:ascii="Times New Roman" w:hAnsi="Times New Roman"/>
        </w:rPr>
        <w:t>Bloom; C. C. Ma; K. J. Martin; B. Smith</w:t>
      </w:r>
      <w:r w:rsidRPr="00E038AF">
        <w:rPr>
          <w:rFonts w:ascii="Times New Roman" w:hAnsi="Times New Roman"/>
        </w:rPr>
        <w:t xml:space="preserve">, U.S. Patent </w:t>
      </w:r>
      <w:r>
        <w:rPr>
          <w:rFonts w:ascii="Times New Roman" w:hAnsi="Times New Roman"/>
        </w:rPr>
        <w:t>11</w:t>
      </w:r>
      <w:r w:rsidRPr="00E038AF">
        <w:rPr>
          <w:rFonts w:ascii="Times New Roman" w:hAnsi="Times New Roman"/>
        </w:rPr>
        <w:t xml:space="preserve"> </w:t>
      </w:r>
      <w:r>
        <w:rPr>
          <w:rFonts w:ascii="Times New Roman" w:hAnsi="Times New Roman"/>
        </w:rPr>
        <w:t>078</w:t>
      </w:r>
      <w:r w:rsidRPr="00E038AF">
        <w:rPr>
          <w:rFonts w:ascii="Times New Roman" w:hAnsi="Times New Roman"/>
        </w:rPr>
        <w:t xml:space="preserve"> </w:t>
      </w:r>
      <w:r>
        <w:rPr>
          <w:rFonts w:ascii="Times New Roman" w:hAnsi="Times New Roman"/>
        </w:rPr>
        <w:t>140</w:t>
      </w:r>
      <w:r w:rsidRPr="00E038AF">
        <w:rPr>
          <w:rFonts w:ascii="Times New Roman" w:hAnsi="Times New Roman"/>
        </w:rPr>
        <w:t xml:space="preserve">, </w:t>
      </w:r>
      <w:r w:rsidRPr="00FC40DF">
        <w:rPr>
          <w:rFonts w:ascii="Times New Roman" w:hAnsi="Times New Roman"/>
          <w:b/>
          <w:bCs/>
        </w:rPr>
        <w:t>2021</w:t>
      </w:r>
      <w:r>
        <w:rPr>
          <w:rFonts w:ascii="Times New Roman" w:hAnsi="Times New Roman"/>
        </w:rPr>
        <w:t>.</w:t>
      </w:r>
    </w:p>
    <w:p w14:paraId="561F9D74" w14:textId="5E997378" w:rsidR="00FC40DF" w:rsidRDefault="00921994" w:rsidP="00D85AD4">
      <w:pPr>
        <w:pStyle w:val="TAMainText"/>
        <w:numPr>
          <w:ilvl w:val="0"/>
          <w:numId w:val="1"/>
        </w:numPr>
        <w:rPr>
          <w:bCs/>
        </w:rPr>
      </w:pPr>
      <w:r w:rsidRPr="00921994">
        <w:rPr>
          <w:bCs/>
        </w:rPr>
        <w:t xml:space="preserve">O. Chen; T. M. </w:t>
      </w:r>
      <w:proofErr w:type="spellStart"/>
      <w:r w:rsidRPr="00921994">
        <w:rPr>
          <w:bCs/>
        </w:rPr>
        <w:t>Blonquist</w:t>
      </w:r>
      <w:proofErr w:type="spellEnd"/>
      <w:r w:rsidRPr="00921994">
        <w:rPr>
          <w:bCs/>
        </w:rPr>
        <w:t xml:space="preserve">; E. </w:t>
      </w:r>
      <w:proofErr w:type="spellStart"/>
      <w:r w:rsidRPr="00921994">
        <w:rPr>
          <w:bCs/>
        </w:rPr>
        <w:t>Ma</w:t>
      </w:r>
      <w:r>
        <w:rPr>
          <w:bCs/>
        </w:rPr>
        <w:t>h</w:t>
      </w:r>
      <w:proofErr w:type="spellEnd"/>
      <w:r>
        <w:rPr>
          <w:bCs/>
        </w:rPr>
        <w:t xml:space="preserve">; K. </w:t>
      </w:r>
      <w:proofErr w:type="spellStart"/>
      <w:r>
        <w:rPr>
          <w:bCs/>
        </w:rPr>
        <w:t>Sanoshy</w:t>
      </w:r>
      <w:proofErr w:type="spellEnd"/>
      <w:r>
        <w:rPr>
          <w:bCs/>
        </w:rPr>
        <w:t xml:space="preserve">; D. Beckman; K. M. Nieman; B. L. Winters; J. C. Anthony; E. Verdin; J. C. Newman; B. J. Stubbs, </w:t>
      </w:r>
      <w:r>
        <w:rPr>
          <w:bCs/>
          <w:i/>
          <w:iCs/>
        </w:rPr>
        <w:t>Nutrients</w:t>
      </w:r>
      <w:r>
        <w:rPr>
          <w:bCs/>
        </w:rPr>
        <w:t xml:space="preserve">. </w:t>
      </w:r>
      <w:r>
        <w:rPr>
          <w:b/>
        </w:rPr>
        <w:t>2021</w:t>
      </w:r>
      <w:r>
        <w:rPr>
          <w:bCs/>
        </w:rPr>
        <w:t xml:space="preserve">, </w:t>
      </w:r>
      <w:r>
        <w:rPr>
          <w:bCs/>
          <w:i/>
          <w:iCs/>
        </w:rPr>
        <w:t>13</w:t>
      </w:r>
      <w:r>
        <w:rPr>
          <w:bCs/>
        </w:rPr>
        <w:t>, 2066.</w:t>
      </w:r>
    </w:p>
    <w:p w14:paraId="222A2A62" w14:textId="17443F2E" w:rsidR="00E8329D" w:rsidRDefault="00E8329D" w:rsidP="00D85AD4">
      <w:pPr>
        <w:pStyle w:val="TAMainText"/>
        <w:numPr>
          <w:ilvl w:val="0"/>
          <w:numId w:val="1"/>
        </w:numPr>
        <w:rPr>
          <w:bCs/>
        </w:rPr>
      </w:pPr>
      <w:r>
        <w:rPr>
          <w:bCs/>
        </w:rPr>
        <w:t xml:space="preserve">K. Liu; X. Huang; E. A. </w:t>
      </w:r>
      <w:proofErr w:type="spellStart"/>
      <w:r>
        <w:rPr>
          <w:bCs/>
        </w:rPr>
        <w:t>Pidko</w:t>
      </w:r>
      <w:proofErr w:type="spellEnd"/>
      <w:r>
        <w:rPr>
          <w:bCs/>
        </w:rPr>
        <w:t xml:space="preserve">; E. J. M. </w:t>
      </w:r>
      <w:proofErr w:type="spellStart"/>
      <w:r>
        <w:rPr>
          <w:bCs/>
        </w:rPr>
        <w:t>Hensen</w:t>
      </w:r>
      <w:proofErr w:type="spellEnd"/>
      <w:r>
        <w:rPr>
          <w:bCs/>
        </w:rPr>
        <w:t xml:space="preserve">, </w:t>
      </w:r>
      <w:proofErr w:type="spellStart"/>
      <w:r>
        <w:rPr>
          <w:bCs/>
          <w:i/>
          <w:iCs/>
        </w:rPr>
        <w:t>ChemCatChem</w:t>
      </w:r>
      <w:proofErr w:type="spellEnd"/>
      <w:r>
        <w:rPr>
          <w:bCs/>
        </w:rPr>
        <w:t xml:space="preserve">. </w:t>
      </w:r>
      <w:r>
        <w:rPr>
          <w:b/>
        </w:rPr>
        <w:t>2018</w:t>
      </w:r>
      <w:r>
        <w:rPr>
          <w:bCs/>
        </w:rPr>
        <w:t xml:space="preserve">, </w:t>
      </w:r>
      <w:r>
        <w:rPr>
          <w:bCs/>
          <w:i/>
          <w:iCs/>
        </w:rPr>
        <w:t>10</w:t>
      </w:r>
      <w:r>
        <w:rPr>
          <w:bCs/>
        </w:rPr>
        <w:t>, 810-817.</w:t>
      </w:r>
    </w:p>
    <w:p w14:paraId="39852E33" w14:textId="67B7E35D" w:rsidR="005E3193" w:rsidRDefault="005E3193" w:rsidP="00D85AD4">
      <w:pPr>
        <w:pStyle w:val="TAMainText"/>
        <w:numPr>
          <w:ilvl w:val="0"/>
          <w:numId w:val="1"/>
        </w:numPr>
        <w:rPr>
          <w:bCs/>
        </w:rPr>
      </w:pPr>
      <w:r w:rsidRPr="005E3193">
        <w:rPr>
          <w:bCs/>
        </w:rPr>
        <w:t xml:space="preserve">F. Jing; B. </w:t>
      </w:r>
      <w:proofErr w:type="spellStart"/>
      <w:r w:rsidRPr="005E3193">
        <w:rPr>
          <w:bCs/>
        </w:rPr>
        <w:t>Katryniok</w:t>
      </w:r>
      <w:proofErr w:type="spellEnd"/>
      <w:r w:rsidRPr="005E3193">
        <w:rPr>
          <w:bCs/>
        </w:rPr>
        <w:t xml:space="preserve">; M. </w:t>
      </w:r>
      <w:proofErr w:type="spellStart"/>
      <w:r w:rsidRPr="005E3193">
        <w:rPr>
          <w:bCs/>
        </w:rPr>
        <w:t>Araque</w:t>
      </w:r>
      <w:proofErr w:type="spellEnd"/>
      <w:r w:rsidRPr="005E3193">
        <w:rPr>
          <w:bCs/>
        </w:rPr>
        <w:t xml:space="preserve">; R. </w:t>
      </w:r>
      <w:proofErr w:type="spellStart"/>
      <w:r w:rsidRPr="005E3193">
        <w:rPr>
          <w:bCs/>
        </w:rPr>
        <w:t>Wojcieszak</w:t>
      </w:r>
      <w:proofErr w:type="spellEnd"/>
      <w:r w:rsidRPr="005E3193">
        <w:rPr>
          <w:bCs/>
        </w:rPr>
        <w:t xml:space="preserve">; M. Capron; S. Paul; M. </w:t>
      </w:r>
      <w:proofErr w:type="spellStart"/>
      <w:r w:rsidRPr="005E3193">
        <w:rPr>
          <w:bCs/>
        </w:rPr>
        <w:t>Daturi</w:t>
      </w:r>
      <w:proofErr w:type="spellEnd"/>
      <w:r w:rsidRPr="005E3193">
        <w:rPr>
          <w:bCs/>
        </w:rPr>
        <w:t xml:space="preserve">; J. M. </w:t>
      </w:r>
      <w:proofErr w:type="spellStart"/>
      <w:r w:rsidRPr="005E3193">
        <w:rPr>
          <w:bCs/>
        </w:rPr>
        <w:t>Clacens</w:t>
      </w:r>
      <w:proofErr w:type="spellEnd"/>
      <w:r w:rsidRPr="005E3193">
        <w:rPr>
          <w:bCs/>
        </w:rPr>
        <w:t xml:space="preserve">; F. Campo; A. </w:t>
      </w:r>
      <w:proofErr w:type="spellStart"/>
      <w:r w:rsidRPr="005E3193">
        <w:rPr>
          <w:bCs/>
        </w:rPr>
        <w:t>Liebens</w:t>
      </w:r>
      <w:proofErr w:type="spellEnd"/>
      <w:r w:rsidRPr="005E3193">
        <w:rPr>
          <w:bCs/>
        </w:rPr>
        <w:t xml:space="preserve">; F. </w:t>
      </w:r>
      <w:proofErr w:type="spellStart"/>
      <w:r w:rsidRPr="005E3193">
        <w:rPr>
          <w:bCs/>
        </w:rPr>
        <w:t>Dumeignil</w:t>
      </w:r>
      <w:proofErr w:type="spellEnd"/>
      <w:r w:rsidRPr="005E3193">
        <w:rPr>
          <w:bCs/>
        </w:rPr>
        <w:t>; M. P. Titus</w:t>
      </w:r>
      <w:r w:rsidR="0033264E">
        <w:rPr>
          <w:bCs/>
        </w:rPr>
        <w:t>,</w:t>
      </w:r>
      <w:r w:rsidRPr="005E3193">
        <w:rPr>
          <w:bCs/>
        </w:rPr>
        <w:t xml:space="preserve"> </w:t>
      </w:r>
      <w:proofErr w:type="spellStart"/>
      <w:r w:rsidRPr="005E3193">
        <w:rPr>
          <w:bCs/>
          <w:i/>
          <w:iCs/>
        </w:rPr>
        <w:t>Catal</w:t>
      </w:r>
      <w:proofErr w:type="spellEnd"/>
      <w:r>
        <w:rPr>
          <w:bCs/>
          <w:i/>
          <w:iCs/>
        </w:rPr>
        <w:t xml:space="preserve">. Sci. Technol. </w:t>
      </w:r>
      <w:r>
        <w:rPr>
          <w:b/>
        </w:rPr>
        <w:t>2016</w:t>
      </w:r>
      <w:r>
        <w:rPr>
          <w:bCs/>
        </w:rPr>
        <w:t xml:space="preserve">, </w:t>
      </w:r>
      <w:r>
        <w:rPr>
          <w:bCs/>
          <w:i/>
          <w:iCs/>
        </w:rPr>
        <w:t>6</w:t>
      </w:r>
      <w:r>
        <w:rPr>
          <w:bCs/>
        </w:rPr>
        <w:t>, 5830</w:t>
      </w:r>
      <w:r w:rsidR="0080224B">
        <w:rPr>
          <w:bCs/>
        </w:rPr>
        <w:t>.</w:t>
      </w:r>
    </w:p>
    <w:p w14:paraId="63AAEF71" w14:textId="654A5626" w:rsidR="0033264E" w:rsidRDefault="0033264E" w:rsidP="00D85AD4">
      <w:pPr>
        <w:pStyle w:val="TAMainText"/>
        <w:numPr>
          <w:ilvl w:val="0"/>
          <w:numId w:val="1"/>
        </w:numPr>
        <w:rPr>
          <w:bCs/>
          <w:lang w:val="pt-BR"/>
        </w:rPr>
      </w:pPr>
      <w:r w:rsidRPr="0033264E">
        <w:rPr>
          <w:bCs/>
          <w:lang w:val="pt-BR"/>
        </w:rPr>
        <w:t xml:space="preserve">S. Sato; R. Takahashi; T. </w:t>
      </w:r>
      <w:proofErr w:type="spellStart"/>
      <w:r w:rsidRPr="0033264E">
        <w:rPr>
          <w:bCs/>
          <w:lang w:val="pt-BR"/>
        </w:rPr>
        <w:t>Sodesawa</w:t>
      </w:r>
      <w:proofErr w:type="spellEnd"/>
      <w:r w:rsidRPr="0033264E">
        <w:rPr>
          <w:bCs/>
          <w:lang w:val="pt-BR"/>
        </w:rPr>
        <w:t xml:space="preserve">; A. </w:t>
      </w:r>
      <w:proofErr w:type="spellStart"/>
      <w:r w:rsidRPr="0033264E">
        <w:rPr>
          <w:bCs/>
          <w:lang w:val="pt-BR"/>
        </w:rPr>
        <w:t>Igara</w:t>
      </w:r>
      <w:r>
        <w:rPr>
          <w:bCs/>
          <w:lang w:val="pt-BR"/>
        </w:rPr>
        <w:t>shi</w:t>
      </w:r>
      <w:proofErr w:type="spellEnd"/>
      <w:r>
        <w:rPr>
          <w:bCs/>
          <w:lang w:val="pt-BR"/>
        </w:rPr>
        <w:t xml:space="preserve">; H. Inoue, </w:t>
      </w:r>
      <w:proofErr w:type="spellStart"/>
      <w:r>
        <w:rPr>
          <w:bCs/>
          <w:i/>
          <w:iCs/>
          <w:lang w:val="pt-BR"/>
        </w:rPr>
        <w:t>Appl</w:t>
      </w:r>
      <w:proofErr w:type="spellEnd"/>
      <w:r>
        <w:rPr>
          <w:bCs/>
          <w:i/>
          <w:iCs/>
          <w:lang w:val="pt-BR"/>
        </w:rPr>
        <w:t xml:space="preserve">. Cat. A. Gen. </w:t>
      </w:r>
      <w:r>
        <w:rPr>
          <w:b/>
          <w:lang w:val="pt-BR"/>
        </w:rPr>
        <w:t>200</w:t>
      </w:r>
      <w:r w:rsidRPr="0033264E">
        <w:rPr>
          <w:b/>
          <w:lang w:val="pt-BR"/>
        </w:rPr>
        <w:t>7</w:t>
      </w:r>
      <w:r>
        <w:rPr>
          <w:bCs/>
          <w:lang w:val="pt-BR"/>
        </w:rPr>
        <w:t xml:space="preserve">, </w:t>
      </w:r>
      <w:r>
        <w:rPr>
          <w:bCs/>
          <w:i/>
          <w:iCs/>
          <w:lang w:val="pt-BR"/>
        </w:rPr>
        <w:t xml:space="preserve">328, </w:t>
      </w:r>
      <w:r>
        <w:rPr>
          <w:bCs/>
          <w:lang w:val="pt-BR"/>
        </w:rPr>
        <w:t>109-116.</w:t>
      </w:r>
    </w:p>
    <w:p w14:paraId="57D32FA6" w14:textId="7679CCEB" w:rsidR="00C012C8" w:rsidRDefault="00C012C8" w:rsidP="00D85AD4">
      <w:pPr>
        <w:pStyle w:val="TAMainText"/>
        <w:numPr>
          <w:ilvl w:val="0"/>
          <w:numId w:val="1"/>
        </w:numPr>
        <w:rPr>
          <w:bCs/>
          <w:lang w:val="pt-BR"/>
        </w:rPr>
      </w:pPr>
      <w:r w:rsidRPr="00C012C8">
        <w:rPr>
          <w:bCs/>
          <w:lang w:val="pt-BR"/>
        </w:rPr>
        <w:t xml:space="preserve">P. A. Torresi; V. K. Díez; P. J. </w:t>
      </w:r>
      <w:proofErr w:type="spellStart"/>
      <w:r w:rsidRPr="00C012C8">
        <w:rPr>
          <w:bCs/>
          <w:lang w:val="pt-BR"/>
        </w:rPr>
        <w:t>Luggren</w:t>
      </w:r>
      <w:proofErr w:type="spellEnd"/>
      <w:r w:rsidRPr="00C012C8">
        <w:rPr>
          <w:bCs/>
          <w:lang w:val="pt-BR"/>
        </w:rPr>
        <w:t>; J. I. D. Cos</w:t>
      </w:r>
      <w:r>
        <w:rPr>
          <w:bCs/>
          <w:lang w:val="pt-BR"/>
        </w:rPr>
        <w:t xml:space="preserve">imo, </w:t>
      </w:r>
      <w:proofErr w:type="spellStart"/>
      <w:r>
        <w:rPr>
          <w:bCs/>
          <w:i/>
          <w:iCs/>
          <w:lang w:val="pt-BR"/>
        </w:rPr>
        <w:t>Appl</w:t>
      </w:r>
      <w:proofErr w:type="spellEnd"/>
      <w:r>
        <w:rPr>
          <w:bCs/>
          <w:i/>
          <w:iCs/>
          <w:lang w:val="pt-BR"/>
        </w:rPr>
        <w:t xml:space="preserve">. Cat. A. Gen. </w:t>
      </w:r>
      <w:r>
        <w:rPr>
          <w:b/>
          <w:lang w:val="pt-BR"/>
        </w:rPr>
        <w:t>2013</w:t>
      </w:r>
      <w:r>
        <w:rPr>
          <w:bCs/>
          <w:lang w:val="pt-BR"/>
        </w:rPr>
        <w:t xml:space="preserve">, </w:t>
      </w:r>
      <w:r w:rsidRPr="00C012C8">
        <w:rPr>
          <w:bCs/>
          <w:i/>
          <w:iCs/>
          <w:lang w:val="pt-BR"/>
        </w:rPr>
        <w:t>458</w:t>
      </w:r>
      <w:r>
        <w:rPr>
          <w:bCs/>
          <w:i/>
          <w:iCs/>
          <w:lang w:val="pt-BR"/>
        </w:rPr>
        <w:t>,</w:t>
      </w:r>
      <w:r>
        <w:rPr>
          <w:bCs/>
          <w:lang w:val="pt-BR"/>
        </w:rPr>
        <w:t xml:space="preserve"> 119-229.</w:t>
      </w:r>
    </w:p>
    <w:p w14:paraId="3705304E" w14:textId="497738DD" w:rsidR="00BC29D2" w:rsidRPr="00BC29D2" w:rsidRDefault="005C19E5" w:rsidP="00BC29D2">
      <w:pPr>
        <w:pStyle w:val="TAMainText"/>
        <w:numPr>
          <w:ilvl w:val="0"/>
          <w:numId w:val="1"/>
        </w:numPr>
        <w:rPr>
          <w:bCs/>
          <w:lang w:val="pt-BR"/>
        </w:rPr>
      </w:pPr>
      <w:r w:rsidRPr="0073409C">
        <w:rPr>
          <w:bCs/>
          <w:lang w:val="pt-BR"/>
        </w:rPr>
        <w:t xml:space="preserve">M. D. R. Lutz; B. Morandi; </w:t>
      </w:r>
      <w:proofErr w:type="spellStart"/>
      <w:r w:rsidRPr="0073409C">
        <w:rPr>
          <w:bCs/>
          <w:i/>
          <w:iCs/>
          <w:lang w:val="pt-BR"/>
        </w:rPr>
        <w:t>Chem</w:t>
      </w:r>
      <w:proofErr w:type="spellEnd"/>
      <w:r w:rsidRPr="0073409C">
        <w:rPr>
          <w:bCs/>
          <w:i/>
          <w:iCs/>
          <w:lang w:val="pt-BR"/>
        </w:rPr>
        <w:t xml:space="preserve">. Rev. </w:t>
      </w:r>
      <w:r w:rsidRPr="0073409C">
        <w:rPr>
          <w:b/>
          <w:lang w:val="pt-BR"/>
        </w:rPr>
        <w:t xml:space="preserve">2021, </w:t>
      </w:r>
      <w:r w:rsidRPr="0073409C">
        <w:rPr>
          <w:bCs/>
          <w:lang w:val="pt-BR"/>
        </w:rPr>
        <w:t>121, 300-326.</w:t>
      </w:r>
    </w:p>
    <w:sectPr w:rsidR="00BC29D2" w:rsidRPr="00BC29D2" w:rsidSect="0039244B">
      <w:type w:val="continuous"/>
      <w:pgSz w:w="11906" w:h="16838" w:code="9"/>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8DBB" w14:textId="77777777" w:rsidR="0041097B" w:rsidRDefault="0041097B" w:rsidP="00EA4E1B">
      <w:pPr>
        <w:spacing w:after="0" w:line="240" w:lineRule="auto"/>
      </w:pPr>
      <w:r>
        <w:separator/>
      </w:r>
    </w:p>
  </w:endnote>
  <w:endnote w:type="continuationSeparator" w:id="0">
    <w:p w14:paraId="3700C9AA" w14:textId="77777777" w:rsidR="0041097B" w:rsidRDefault="0041097B"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E154B" w14:textId="77777777" w:rsidR="0041097B" w:rsidRDefault="0041097B" w:rsidP="00EA4E1B">
      <w:pPr>
        <w:spacing w:after="0" w:line="240" w:lineRule="auto"/>
      </w:pPr>
      <w:r>
        <w:separator/>
      </w:r>
    </w:p>
  </w:footnote>
  <w:footnote w:type="continuationSeparator" w:id="0">
    <w:p w14:paraId="0A7DC3E5" w14:textId="77777777" w:rsidR="0041097B" w:rsidRDefault="0041097B"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1C8D"/>
    <w:rsid w:val="000044DE"/>
    <w:rsid w:val="00006099"/>
    <w:rsid w:val="00006858"/>
    <w:rsid w:val="00007D6F"/>
    <w:rsid w:val="00007EA4"/>
    <w:rsid w:val="000100E1"/>
    <w:rsid w:val="00010AF8"/>
    <w:rsid w:val="0001264A"/>
    <w:rsid w:val="00012844"/>
    <w:rsid w:val="00021D37"/>
    <w:rsid w:val="00022750"/>
    <w:rsid w:val="0002608C"/>
    <w:rsid w:val="0003288B"/>
    <w:rsid w:val="000332DE"/>
    <w:rsid w:val="00034309"/>
    <w:rsid w:val="00034D23"/>
    <w:rsid w:val="00041820"/>
    <w:rsid w:val="00042BBD"/>
    <w:rsid w:val="000430FF"/>
    <w:rsid w:val="00044B6A"/>
    <w:rsid w:val="00047009"/>
    <w:rsid w:val="000539F0"/>
    <w:rsid w:val="00061A72"/>
    <w:rsid w:val="00062666"/>
    <w:rsid w:val="0006691D"/>
    <w:rsid w:val="000713BB"/>
    <w:rsid w:val="00073BD2"/>
    <w:rsid w:val="00074854"/>
    <w:rsid w:val="00082059"/>
    <w:rsid w:val="00083FE1"/>
    <w:rsid w:val="00095D62"/>
    <w:rsid w:val="00097085"/>
    <w:rsid w:val="000979BB"/>
    <w:rsid w:val="000979F6"/>
    <w:rsid w:val="000A5D53"/>
    <w:rsid w:val="000B2CFF"/>
    <w:rsid w:val="000B3121"/>
    <w:rsid w:val="000B39F6"/>
    <w:rsid w:val="000B3C27"/>
    <w:rsid w:val="000B5323"/>
    <w:rsid w:val="000B6A9A"/>
    <w:rsid w:val="000B738C"/>
    <w:rsid w:val="000C2BCD"/>
    <w:rsid w:val="000C6861"/>
    <w:rsid w:val="000C707F"/>
    <w:rsid w:val="000D3184"/>
    <w:rsid w:val="000D7D20"/>
    <w:rsid w:val="000D7DDA"/>
    <w:rsid w:val="000E3D05"/>
    <w:rsid w:val="000E4F73"/>
    <w:rsid w:val="000F1D24"/>
    <w:rsid w:val="000F40B6"/>
    <w:rsid w:val="000F5F44"/>
    <w:rsid w:val="001008F2"/>
    <w:rsid w:val="00103DDD"/>
    <w:rsid w:val="0010777F"/>
    <w:rsid w:val="00107C0F"/>
    <w:rsid w:val="00112B4B"/>
    <w:rsid w:val="001149E4"/>
    <w:rsid w:val="001172F8"/>
    <w:rsid w:val="00117389"/>
    <w:rsid w:val="0012016C"/>
    <w:rsid w:val="00120985"/>
    <w:rsid w:val="001211E9"/>
    <w:rsid w:val="00121E36"/>
    <w:rsid w:val="00122193"/>
    <w:rsid w:val="00122593"/>
    <w:rsid w:val="00124A5A"/>
    <w:rsid w:val="0012733F"/>
    <w:rsid w:val="00135405"/>
    <w:rsid w:val="001378F2"/>
    <w:rsid w:val="00140C7B"/>
    <w:rsid w:val="00140CC8"/>
    <w:rsid w:val="00143C35"/>
    <w:rsid w:val="00150EBB"/>
    <w:rsid w:val="00150FD4"/>
    <w:rsid w:val="001518F1"/>
    <w:rsid w:val="0015273E"/>
    <w:rsid w:val="0015529C"/>
    <w:rsid w:val="001603EE"/>
    <w:rsid w:val="00167DD1"/>
    <w:rsid w:val="001702AA"/>
    <w:rsid w:val="00170335"/>
    <w:rsid w:val="00170CDB"/>
    <w:rsid w:val="00171C79"/>
    <w:rsid w:val="001725B9"/>
    <w:rsid w:val="0017583B"/>
    <w:rsid w:val="001812E1"/>
    <w:rsid w:val="0018689A"/>
    <w:rsid w:val="00190ACA"/>
    <w:rsid w:val="00194B0D"/>
    <w:rsid w:val="001A0457"/>
    <w:rsid w:val="001A3946"/>
    <w:rsid w:val="001A4069"/>
    <w:rsid w:val="001A44C7"/>
    <w:rsid w:val="001A4CA0"/>
    <w:rsid w:val="001B2D51"/>
    <w:rsid w:val="001B3CC3"/>
    <w:rsid w:val="001B42B0"/>
    <w:rsid w:val="001B6168"/>
    <w:rsid w:val="001C16D0"/>
    <w:rsid w:val="001C480E"/>
    <w:rsid w:val="001D5145"/>
    <w:rsid w:val="001D5902"/>
    <w:rsid w:val="001E3597"/>
    <w:rsid w:val="001E4C9B"/>
    <w:rsid w:val="001E58A9"/>
    <w:rsid w:val="001E6D07"/>
    <w:rsid w:val="001F1710"/>
    <w:rsid w:val="001F1831"/>
    <w:rsid w:val="001F25B2"/>
    <w:rsid w:val="001F3C30"/>
    <w:rsid w:val="001F4597"/>
    <w:rsid w:val="001F699C"/>
    <w:rsid w:val="002001D8"/>
    <w:rsid w:val="002006A9"/>
    <w:rsid w:val="002066D6"/>
    <w:rsid w:val="00206B49"/>
    <w:rsid w:val="00210E65"/>
    <w:rsid w:val="002177F8"/>
    <w:rsid w:val="00220F18"/>
    <w:rsid w:val="00222230"/>
    <w:rsid w:val="00223436"/>
    <w:rsid w:val="002248F3"/>
    <w:rsid w:val="00226161"/>
    <w:rsid w:val="00232F04"/>
    <w:rsid w:val="00235F7D"/>
    <w:rsid w:val="00246112"/>
    <w:rsid w:val="00252768"/>
    <w:rsid w:val="0025724E"/>
    <w:rsid w:val="00257565"/>
    <w:rsid w:val="00257619"/>
    <w:rsid w:val="00265D53"/>
    <w:rsid w:val="00273C06"/>
    <w:rsid w:val="002766AA"/>
    <w:rsid w:val="0028007C"/>
    <w:rsid w:val="002A3210"/>
    <w:rsid w:val="002A3BC8"/>
    <w:rsid w:val="002A3D79"/>
    <w:rsid w:val="002A569C"/>
    <w:rsid w:val="002B0D06"/>
    <w:rsid w:val="002B2C43"/>
    <w:rsid w:val="002B5024"/>
    <w:rsid w:val="002B5DD8"/>
    <w:rsid w:val="002D2878"/>
    <w:rsid w:val="002D6C47"/>
    <w:rsid w:val="002E1C9F"/>
    <w:rsid w:val="002E5569"/>
    <w:rsid w:val="002E6E6E"/>
    <w:rsid w:val="002E6FC9"/>
    <w:rsid w:val="002F3ADE"/>
    <w:rsid w:val="002F3E4F"/>
    <w:rsid w:val="002F719F"/>
    <w:rsid w:val="00307014"/>
    <w:rsid w:val="00307D4A"/>
    <w:rsid w:val="003161AC"/>
    <w:rsid w:val="003245E1"/>
    <w:rsid w:val="0033264E"/>
    <w:rsid w:val="003343EA"/>
    <w:rsid w:val="00340B1E"/>
    <w:rsid w:val="00343DE6"/>
    <w:rsid w:val="003441D1"/>
    <w:rsid w:val="00352BC8"/>
    <w:rsid w:val="00354A0A"/>
    <w:rsid w:val="003618BD"/>
    <w:rsid w:val="0037098F"/>
    <w:rsid w:val="00372237"/>
    <w:rsid w:val="003735E4"/>
    <w:rsid w:val="00385461"/>
    <w:rsid w:val="003900CA"/>
    <w:rsid w:val="003909BD"/>
    <w:rsid w:val="0039244B"/>
    <w:rsid w:val="00392A9E"/>
    <w:rsid w:val="003A14D5"/>
    <w:rsid w:val="003A2ED1"/>
    <w:rsid w:val="003B07F5"/>
    <w:rsid w:val="003C034D"/>
    <w:rsid w:val="003C7A34"/>
    <w:rsid w:val="003D006F"/>
    <w:rsid w:val="003D1121"/>
    <w:rsid w:val="003D375E"/>
    <w:rsid w:val="003D500A"/>
    <w:rsid w:val="003D741E"/>
    <w:rsid w:val="003E2AD2"/>
    <w:rsid w:val="003E38DB"/>
    <w:rsid w:val="003F24EC"/>
    <w:rsid w:val="003F33AE"/>
    <w:rsid w:val="003F4508"/>
    <w:rsid w:val="003F6403"/>
    <w:rsid w:val="003F6A73"/>
    <w:rsid w:val="00400D5C"/>
    <w:rsid w:val="00402F3E"/>
    <w:rsid w:val="00405E82"/>
    <w:rsid w:val="00407937"/>
    <w:rsid w:val="004105EF"/>
    <w:rsid w:val="0041097B"/>
    <w:rsid w:val="00413450"/>
    <w:rsid w:val="00416011"/>
    <w:rsid w:val="0042107D"/>
    <w:rsid w:val="00422956"/>
    <w:rsid w:val="0042762C"/>
    <w:rsid w:val="004315D1"/>
    <w:rsid w:val="0043192A"/>
    <w:rsid w:val="00432E75"/>
    <w:rsid w:val="0043567B"/>
    <w:rsid w:val="00442D2B"/>
    <w:rsid w:val="004460EF"/>
    <w:rsid w:val="0044657C"/>
    <w:rsid w:val="004470D3"/>
    <w:rsid w:val="00451499"/>
    <w:rsid w:val="00451E56"/>
    <w:rsid w:val="00452F7C"/>
    <w:rsid w:val="00454F7E"/>
    <w:rsid w:val="0045713A"/>
    <w:rsid w:val="00463AB5"/>
    <w:rsid w:val="00464279"/>
    <w:rsid w:val="004649F3"/>
    <w:rsid w:val="0046690F"/>
    <w:rsid w:val="004679FF"/>
    <w:rsid w:val="00473546"/>
    <w:rsid w:val="00474C82"/>
    <w:rsid w:val="0047605E"/>
    <w:rsid w:val="0048238D"/>
    <w:rsid w:val="00482B87"/>
    <w:rsid w:val="004917E1"/>
    <w:rsid w:val="0049619B"/>
    <w:rsid w:val="004A572F"/>
    <w:rsid w:val="004B3020"/>
    <w:rsid w:val="004B39A2"/>
    <w:rsid w:val="004B4E66"/>
    <w:rsid w:val="004B7CC0"/>
    <w:rsid w:val="004C0220"/>
    <w:rsid w:val="004C4527"/>
    <w:rsid w:val="004D2581"/>
    <w:rsid w:val="004D3707"/>
    <w:rsid w:val="004D45B5"/>
    <w:rsid w:val="004E429F"/>
    <w:rsid w:val="004E51D5"/>
    <w:rsid w:val="004E7C40"/>
    <w:rsid w:val="004E7D1A"/>
    <w:rsid w:val="004F339E"/>
    <w:rsid w:val="004F3F42"/>
    <w:rsid w:val="00507284"/>
    <w:rsid w:val="00507643"/>
    <w:rsid w:val="005103DE"/>
    <w:rsid w:val="005118E1"/>
    <w:rsid w:val="00512B30"/>
    <w:rsid w:val="005155B7"/>
    <w:rsid w:val="0052112E"/>
    <w:rsid w:val="00521705"/>
    <w:rsid w:val="00521FAB"/>
    <w:rsid w:val="00523DC5"/>
    <w:rsid w:val="00523E12"/>
    <w:rsid w:val="00531AE4"/>
    <w:rsid w:val="005329F8"/>
    <w:rsid w:val="005348FA"/>
    <w:rsid w:val="005415D8"/>
    <w:rsid w:val="005446DC"/>
    <w:rsid w:val="00546D84"/>
    <w:rsid w:val="00551A49"/>
    <w:rsid w:val="00554A60"/>
    <w:rsid w:val="00555B06"/>
    <w:rsid w:val="00556815"/>
    <w:rsid w:val="005634BE"/>
    <w:rsid w:val="00570ECF"/>
    <w:rsid w:val="005727C7"/>
    <w:rsid w:val="0057432D"/>
    <w:rsid w:val="0057543F"/>
    <w:rsid w:val="0058318C"/>
    <w:rsid w:val="00585989"/>
    <w:rsid w:val="00592850"/>
    <w:rsid w:val="005A1682"/>
    <w:rsid w:val="005A24FD"/>
    <w:rsid w:val="005A4BA1"/>
    <w:rsid w:val="005A5919"/>
    <w:rsid w:val="005A7F4F"/>
    <w:rsid w:val="005B0B7C"/>
    <w:rsid w:val="005B75FF"/>
    <w:rsid w:val="005B7E7F"/>
    <w:rsid w:val="005C19E5"/>
    <w:rsid w:val="005C2775"/>
    <w:rsid w:val="005C7CA1"/>
    <w:rsid w:val="005D2C5A"/>
    <w:rsid w:val="005D65EB"/>
    <w:rsid w:val="005D6A7F"/>
    <w:rsid w:val="005E3193"/>
    <w:rsid w:val="005F1ABA"/>
    <w:rsid w:val="005F6BD0"/>
    <w:rsid w:val="005F6DC1"/>
    <w:rsid w:val="005F6DC3"/>
    <w:rsid w:val="005F76C3"/>
    <w:rsid w:val="005F7BA2"/>
    <w:rsid w:val="006000B1"/>
    <w:rsid w:val="006006AC"/>
    <w:rsid w:val="00604447"/>
    <w:rsid w:val="00604718"/>
    <w:rsid w:val="006070B6"/>
    <w:rsid w:val="00607996"/>
    <w:rsid w:val="00614533"/>
    <w:rsid w:val="0061746D"/>
    <w:rsid w:val="00620C4A"/>
    <w:rsid w:val="0062381B"/>
    <w:rsid w:val="00625204"/>
    <w:rsid w:val="006270AE"/>
    <w:rsid w:val="0063138D"/>
    <w:rsid w:val="00631D0B"/>
    <w:rsid w:val="00632152"/>
    <w:rsid w:val="0063755C"/>
    <w:rsid w:val="00642A4C"/>
    <w:rsid w:val="00642C52"/>
    <w:rsid w:val="006479D4"/>
    <w:rsid w:val="006505A5"/>
    <w:rsid w:val="00651573"/>
    <w:rsid w:val="00651CCD"/>
    <w:rsid w:val="00652815"/>
    <w:rsid w:val="00655605"/>
    <w:rsid w:val="00656BA9"/>
    <w:rsid w:val="006607B0"/>
    <w:rsid w:val="0066154B"/>
    <w:rsid w:val="006615FD"/>
    <w:rsid w:val="00662727"/>
    <w:rsid w:val="00671F7E"/>
    <w:rsid w:val="0069325A"/>
    <w:rsid w:val="006A686A"/>
    <w:rsid w:val="006B0E8D"/>
    <w:rsid w:val="006B7F6D"/>
    <w:rsid w:val="006C01C4"/>
    <w:rsid w:val="006C5DC4"/>
    <w:rsid w:val="006C74CC"/>
    <w:rsid w:val="006D6405"/>
    <w:rsid w:val="006D799A"/>
    <w:rsid w:val="006E2CB0"/>
    <w:rsid w:val="006F007B"/>
    <w:rsid w:val="006F2ED1"/>
    <w:rsid w:val="006F4CC4"/>
    <w:rsid w:val="006F599B"/>
    <w:rsid w:val="006F7908"/>
    <w:rsid w:val="00705B9B"/>
    <w:rsid w:val="00705EA9"/>
    <w:rsid w:val="00720D6D"/>
    <w:rsid w:val="00721AE6"/>
    <w:rsid w:val="00725C8A"/>
    <w:rsid w:val="0072784A"/>
    <w:rsid w:val="0072799D"/>
    <w:rsid w:val="00727F0A"/>
    <w:rsid w:val="00730001"/>
    <w:rsid w:val="0073409C"/>
    <w:rsid w:val="00741DB7"/>
    <w:rsid w:val="007431AB"/>
    <w:rsid w:val="007535BA"/>
    <w:rsid w:val="00754D3C"/>
    <w:rsid w:val="00754DDE"/>
    <w:rsid w:val="007551CE"/>
    <w:rsid w:val="0075613A"/>
    <w:rsid w:val="007670A0"/>
    <w:rsid w:val="00774595"/>
    <w:rsid w:val="00777F1E"/>
    <w:rsid w:val="00781685"/>
    <w:rsid w:val="00785107"/>
    <w:rsid w:val="00790583"/>
    <w:rsid w:val="00793C75"/>
    <w:rsid w:val="00794E79"/>
    <w:rsid w:val="007A246A"/>
    <w:rsid w:val="007A3A00"/>
    <w:rsid w:val="007A48C7"/>
    <w:rsid w:val="007A4B20"/>
    <w:rsid w:val="007A692D"/>
    <w:rsid w:val="007B06C0"/>
    <w:rsid w:val="007B39EB"/>
    <w:rsid w:val="007B4B2B"/>
    <w:rsid w:val="007B60CB"/>
    <w:rsid w:val="007B67E8"/>
    <w:rsid w:val="007C68CE"/>
    <w:rsid w:val="007D17C7"/>
    <w:rsid w:val="007D290A"/>
    <w:rsid w:val="007D3740"/>
    <w:rsid w:val="007D4980"/>
    <w:rsid w:val="007D52BA"/>
    <w:rsid w:val="007D5AD2"/>
    <w:rsid w:val="007D6063"/>
    <w:rsid w:val="007D6A3D"/>
    <w:rsid w:val="007E25A3"/>
    <w:rsid w:val="007E2823"/>
    <w:rsid w:val="008009A3"/>
    <w:rsid w:val="0080224B"/>
    <w:rsid w:val="008059DD"/>
    <w:rsid w:val="00810481"/>
    <w:rsid w:val="0081231A"/>
    <w:rsid w:val="00813CE8"/>
    <w:rsid w:val="00825A27"/>
    <w:rsid w:val="00827F14"/>
    <w:rsid w:val="00830846"/>
    <w:rsid w:val="00832F6A"/>
    <w:rsid w:val="00835E4D"/>
    <w:rsid w:val="00836210"/>
    <w:rsid w:val="00852CBB"/>
    <w:rsid w:val="008554C7"/>
    <w:rsid w:val="00855A69"/>
    <w:rsid w:val="00865FD8"/>
    <w:rsid w:val="00866822"/>
    <w:rsid w:val="008700EA"/>
    <w:rsid w:val="00872D1C"/>
    <w:rsid w:val="00874383"/>
    <w:rsid w:val="00874726"/>
    <w:rsid w:val="008749F4"/>
    <w:rsid w:val="008764ED"/>
    <w:rsid w:val="00883708"/>
    <w:rsid w:val="00883A4B"/>
    <w:rsid w:val="0089031D"/>
    <w:rsid w:val="0089368C"/>
    <w:rsid w:val="008971A6"/>
    <w:rsid w:val="008A5766"/>
    <w:rsid w:val="008A7978"/>
    <w:rsid w:val="008B1683"/>
    <w:rsid w:val="008B1C04"/>
    <w:rsid w:val="008B4A3C"/>
    <w:rsid w:val="008B58A0"/>
    <w:rsid w:val="008B7E74"/>
    <w:rsid w:val="008C03A2"/>
    <w:rsid w:val="008C13C8"/>
    <w:rsid w:val="008C1B30"/>
    <w:rsid w:val="008C1C46"/>
    <w:rsid w:val="008C48E8"/>
    <w:rsid w:val="008C5C35"/>
    <w:rsid w:val="008C68D2"/>
    <w:rsid w:val="008D3C4A"/>
    <w:rsid w:val="008D6332"/>
    <w:rsid w:val="008F087A"/>
    <w:rsid w:val="008F1D54"/>
    <w:rsid w:val="008F242A"/>
    <w:rsid w:val="008F2D3D"/>
    <w:rsid w:val="008F44FD"/>
    <w:rsid w:val="009019ED"/>
    <w:rsid w:val="00907AAD"/>
    <w:rsid w:val="00910391"/>
    <w:rsid w:val="0091326A"/>
    <w:rsid w:val="00915521"/>
    <w:rsid w:val="009211B7"/>
    <w:rsid w:val="00921994"/>
    <w:rsid w:val="00923509"/>
    <w:rsid w:val="0092433A"/>
    <w:rsid w:val="00935B62"/>
    <w:rsid w:val="00936724"/>
    <w:rsid w:val="00943B13"/>
    <w:rsid w:val="00950F2B"/>
    <w:rsid w:val="00951A97"/>
    <w:rsid w:val="00953D20"/>
    <w:rsid w:val="00954199"/>
    <w:rsid w:val="009563CD"/>
    <w:rsid w:val="00962366"/>
    <w:rsid w:val="0096484F"/>
    <w:rsid w:val="009656D9"/>
    <w:rsid w:val="00966A7B"/>
    <w:rsid w:val="00967BE6"/>
    <w:rsid w:val="00971A84"/>
    <w:rsid w:val="00975386"/>
    <w:rsid w:val="00977E3E"/>
    <w:rsid w:val="00984505"/>
    <w:rsid w:val="00987561"/>
    <w:rsid w:val="009945CD"/>
    <w:rsid w:val="009A1937"/>
    <w:rsid w:val="009A4588"/>
    <w:rsid w:val="009B00F9"/>
    <w:rsid w:val="009B013A"/>
    <w:rsid w:val="009B01A3"/>
    <w:rsid w:val="009C1642"/>
    <w:rsid w:val="009C35B5"/>
    <w:rsid w:val="009C5FFB"/>
    <w:rsid w:val="009C7CB0"/>
    <w:rsid w:val="009D60FE"/>
    <w:rsid w:val="009D6312"/>
    <w:rsid w:val="009D6F91"/>
    <w:rsid w:val="009E3A66"/>
    <w:rsid w:val="009E453E"/>
    <w:rsid w:val="009E715E"/>
    <w:rsid w:val="009F151E"/>
    <w:rsid w:val="009F2CBA"/>
    <w:rsid w:val="009F42B9"/>
    <w:rsid w:val="009F4368"/>
    <w:rsid w:val="009F44BC"/>
    <w:rsid w:val="009F5E4A"/>
    <w:rsid w:val="00A04B2E"/>
    <w:rsid w:val="00A051CD"/>
    <w:rsid w:val="00A06186"/>
    <w:rsid w:val="00A15944"/>
    <w:rsid w:val="00A17D85"/>
    <w:rsid w:val="00A17D89"/>
    <w:rsid w:val="00A2546A"/>
    <w:rsid w:val="00A30E3E"/>
    <w:rsid w:val="00A32C6A"/>
    <w:rsid w:val="00A330B3"/>
    <w:rsid w:val="00A419A0"/>
    <w:rsid w:val="00A41B65"/>
    <w:rsid w:val="00A44D1B"/>
    <w:rsid w:val="00A53BBD"/>
    <w:rsid w:val="00A54DEA"/>
    <w:rsid w:val="00A55A10"/>
    <w:rsid w:val="00A56712"/>
    <w:rsid w:val="00A56810"/>
    <w:rsid w:val="00A56D62"/>
    <w:rsid w:val="00A72413"/>
    <w:rsid w:val="00A72504"/>
    <w:rsid w:val="00A8036D"/>
    <w:rsid w:val="00A80EE0"/>
    <w:rsid w:val="00A82020"/>
    <w:rsid w:val="00A82142"/>
    <w:rsid w:val="00A85726"/>
    <w:rsid w:val="00A85F41"/>
    <w:rsid w:val="00A87CE8"/>
    <w:rsid w:val="00A94324"/>
    <w:rsid w:val="00A9775F"/>
    <w:rsid w:val="00AA182E"/>
    <w:rsid w:val="00AA4ECC"/>
    <w:rsid w:val="00AB2CAD"/>
    <w:rsid w:val="00AC11D2"/>
    <w:rsid w:val="00AC24D6"/>
    <w:rsid w:val="00AC65BE"/>
    <w:rsid w:val="00AD3011"/>
    <w:rsid w:val="00AD32AA"/>
    <w:rsid w:val="00AE25D1"/>
    <w:rsid w:val="00AE6B95"/>
    <w:rsid w:val="00AE77E8"/>
    <w:rsid w:val="00AF0400"/>
    <w:rsid w:val="00AF073F"/>
    <w:rsid w:val="00AF36EC"/>
    <w:rsid w:val="00AF46D2"/>
    <w:rsid w:val="00B03F29"/>
    <w:rsid w:val="00B079B2"/>
    <w:rsid w:val="00B11144"/>
    <w:rsid w:val="00B145C0"/>
    <w:rsid w:val="00B14BFE"/>
    <w:rsid w:val="00B244D6"/>
    <w:rsid w:val="00B30AEB"/>
    <w:rsid w:val="00B31655"/>
    <w:rsid w:val="00B44980"/>
    <w:rsid w:val="00B46657"/>
    <w:rsid w:val="00B50209"/>
    <w:rsid w:val="00B53133"/>
    <w:rsid w:val="00B60F1F"/>
    <w:rsid w:val="00B64191"/>
    <w:rsid w:val="00B64F35"/>
    <w:rsid w:val="00B708B1"/>
    <w:rsid w:val="00B71691"/>
    <w:rsid w:val="00B75E67"/>
    <w:rsid w:val="00B80553"/>
    <w:rsid w:val="00B8080F"/>
    <w:rsid w:val="00B811E3"/>
    <w:rsid w:val="00B917A6"/>
    <w:rsid w:val="00B938E3"/>
    <w:rsid w:val="00B94209"/>
    <w:rsid w:val="00BA1795"/>
    <w:rsid w:val="00BA197E"/>
    <w:rsid w:val="00BA526E"/>
    <w:rsid w:val="00BA60B2"/>
    <w:rsid w:val="00BA6A6E"/>
    <w:rsid w:val="00BA7EDE"/>
    <w:rsid w:val="00BB1EB3"/>
    <w:rsid w:val="00BB62AD"/>
    <w:rsid w:val="00BB74F2"/>
    <w:rsid w:val="00BC29D2"/>
    <w:rsid w:val="00BC3D11"/>
    <w:rsid w:val="00BC42E8"/>
    <w:rsid w:val="00BD27E2"/>
    <w:rsid w:val="00BD29DE"/>
    <w:rsid w:val="00BD3F8C"/>
    <w:rsid w:val="00BD6C2F"/>
    <w:rsid w:val="00BE26F6"/>
    <w:rsid w:val="00BE3DF9"/>
    <w:rsid w:val="00BE6F5F"/>
    <w:rsid w:val="00BF3E2C"/>
    <w:rsid w:val="00C012C8"/>
    <w:rsid w:val="00C01577"/>
    <w:rsid w:val="00C03E79"/>
    <w:rsid w:val="00C07D70"/>
    <w:rsid w:val="00C10335"/>
    <w:rsid w:val="00C11907"/>
    <w:rsid w:val="00C30BA1"/>
    <w:rsid w:val="00C3384A"/>
    <w:rsid w:val="00C36779"/>
    <w:rsid w:val="00C47DB0"/>
    <w:rsid w:val="00C527C8"/>
    <w:rsid w:val="00C52B9C"/>
    <w:rsid w:val="00C53283"/>
    <w:rsid w:val="00C5379A"/>
    <w:rsid w:val="00C53B4A"/>
    <w:rsid w:val="00C55B86"/>
    <w:rsid w:val="00C56375"/>
    <w:rsid w:val="00C57595"/>
    <w:rsid w:val="00C60696"/>
    <w:rsid w:val="00C60F84"/>
    <w:rsid w:val="00C64FFB"/>
    <w:rsid w:val="00C66417"/>
    <w:rsid w:val="00C6656A"/>
    <w:rsid w:val="00C72A5B"/>
    <w:rsid w:val="00C74011"/>
    <w:rsid w:val="00C76D4C"/>
    <w:rsid w:val="00C76E54"/>
    <w:rsid w:val="00C83C7A"/>
    <w:rsid w:val="00C85F7B"/>
    <w:rsid w:val="00C86B06"/>
    <w:rsid w:val="00C87931"/>
    <w:rsid w:val="00C92D10"/>
    <w:rsid w:val="00C94225"/>
    <w:rsid w:val="00C94C3A"/>
    <w:rsid w:val="00C97D4A"/>
    <w:rsid w:val="00CA0342"/>
    <w:rsid w:val="00CA16E4"/>
    <w:rsid w:val="00CA1A3B"/>
    <w:rsid w:val="00CA4BCA"/>
    <w:rsid w:val="00CA6E00"/>
    <w:rsid w:val="00CB11CF"/>
    <w:rsid w:val="00CB292F"/>
    <w:rsid w:val="00CB31CF"/>
    <w:rsid w:val="00CB4DD5"/>
    <w:rsid w:val="00CB4E26"/>
    <w:rsid w:val="00CC04B4"/>
    <w:rsid w:val="00CC27CD"/>
    <w:rsid w:val="00CC6A1E"/>
    <w:rsid w:val="00CD1E8D"/>
    <w:rsid w:val="00CD2744"/>
    <w:rsid w:val="00CD280E"/>
    <w:rsid w:val="00CD4B96"/>
    <w:rsid w:val="00CD640E"/>
    <w:rsid w:val="00CE1425"/>
    <w:rsid w:val="00CE17D0"/>
    <w:rsid w:val="00CE2FEE"/>
    <w:rsid w:val="00CE5445"/>
    <w:rsid w:val="00CE57E2"/>
    <w:rsid w:val="00CE62A2"/>
    <w:rsid w:val="00D023CC"/>
    <w:rsid w:val="00D02BA2"/>
    <w:rsid w:val="00D06AE5"/>
    <w:rsid w:val="00D06C87"/>
    <w:rsid w:val="00D16D04"/>
    <w:rsid w:val="00D23715"/>
    <w:rsid w:val="00D333E0"/>
    <w:rsid w:val="00D337C5"/>
    <w:rsid w:val="00D33C92"/>
    <w:rsid w:val="00D354A7"/>
    <w:rsid w:val="00D357F4"/>
    <w:rsid w:val="00D422CF"/>
    <w:rsid w:val="00D433EE"/>
    <w:rsid w:val="00D4431A"/>
    <w:rsid w:val="00D44B39"/>
    <w:rsid w:val="00D46F01"/>
    <w:rsid w:val="00D50BED"/>
    <w:rsid w:val="00D5270A"/>
    <w:rsid w:val="00D52B84"/>
    <w:rsid w:val="00D5339F"/>
    <w:rsid w:val="00D54C05"/>
    <w:rsid w:val="00D5664C"/>
    <w:rsid w:val="00D637BC"/>
    <w:rsid w:val="00D660C5"/>
    <w:rsid w:val="00D72C4C"/>
    <w:rsid w:val="00D75AE2"/>
    <w:rsid w:val="00D84253"/>
    <w:rsid w:val="00D84F9E"/>
    <w:rsid w:val="00D85AD4"/>
    <w:rsid w:val="00D918D7"/>
    <w:rsid w:val="00D92219"/>
    <w:rsid w:val="00D927B9"/>
    <w:rsid w:val="00D96135"/>
    <w:rsid w:val="00DA55AA"/>
    <w:rsid w:val="00DA779C"/>
    <w:rsid w:val="00DB0389"/>
    <w:rsid w:val="00DB10FF"/>
    <w:rsid w:val="00DB3ADB"/>
    <w:rsid w:val="00DC11F0"/>
    <w:rsid w:val="00DC27E9"/>
    <w:rsid w:val="00DD181A"/>
    <w:rsid w:val="00DD1A56"/>
    <w:rsid w:val="00DD4249"/>
    <w:rsid w:val="00DD64D5"/>
    <w:rsid w:val="00DD6557"/>
    <w:rsid w:val="00DE2C3A"/>
    <w:rsid w:val="00DE46FD"/>
    <w:rsid w:val="00DF246F"/>
    <w:rsid w:val="00DF5D49"/>
    <w:rsid w:val="00E008D1"/>
    <w:rsid w:val="00E00BCC"/>
    <w:rsid w:val="00E02A21"/>
    <w:rsid w:val="00E038AF"/>
    <w:rsid w:val="00E04F3C"/>
    <w:rsid w:val="00E05CF7"/>
    <w:rsid w:val="00E07741"/>
    <w:rsid w:val="00E10571"/>
    <w:rsid w:val="00E11E0A"/>
    <w:rsid w:val="00E13675"/>
    <w:rsid w:val="00E13C59"/>
    <w:rsid w:val="00E1629A"/>
    <w:rsid w:val="00E20971"/>
    <w:rsid w:val="00E22659"/>
    <w:rsid w:val="00E30F56"/>
    <w:rsid w:val="00E33258"/>
    <w:rsid w:val="00E35A46"/>
    <w:rsid w:val="00E369BD"/>
    <w:rsid w:val="00E37584"/>
    <w:rsid w:val="00E452B3"/>
    <w:rsid w:val="00E54688"/>
    <w:rsid w:val="00E56433"/>
    <w:rsid w:val="00E61AA8"/>
    <w:rsid w:val="00E62406"/>
    <w:rsid w:val="00E631F1"/>
    <w:rsid w:val="00E64A28"/>
    <w:rsid w:val="00E66526"/>
    <w:rsid w:val="00E678B3"/>
    <w:rsid w:val="00E70D99"/>
    <w:rsid w:val="00E75F5E"/>
    <w:rsid w:val="00E8329D"/>
    <w:rsid w:val="00E83A5B"/>
    <w:rsid w:val="00E93C88"/>
    <w:rsid w:val="00E9766B"/>
    <w:rsid w:val="00EA3F6D"/>
    <w:rsid w:val="00EA4E1B"/>
    <w:rsid w:val="00EB626D"/>
    <w:rsid w:val="00EC43AA"/>
    <w:rsid w:val="00EC4BAE"/>
    <w:rsid w:val="00EC673A"/>
    <w:rsid w:val="00ED0E36"/>
    <w:rsid w:val="00ED67B2"/>
    <w:rsid w:val="00ED7F40"/>
    <w:rsid w:val="00EE3A4C"/>
    <w:rsid w:val="00EF1F32"/>
    <w:rsid w:val="00EF2A89"/>
    <w:rsid w:val="00F06208"/>
    <w:rsid w:val="00F07AD0"/>
    <w:rsid w:val="00F07D39"/>
    <w:rsid w:val="00F10196"/>
    <w:rsid w:val="00F15396"/>
    <w:rsid w:val="00F15674"/>
    <w:rsid w:val="00F168EA"/>
    <w:rsid w:val="00F20CB8"/>
    <w:rsid w:val="00F2463A"/>
    <w:rsid w:val="00F2591F"/>
    <w:rsid w:val="00F30661"/>
    <w:rsid w:val="00F40A27"/>
    <w:rsid w:val="00F42EC5"/>
    <w:rsid w:val="00F44E42"/>
    <w:rsid w:val="00F470F6"/>
    <w:rsid w:val="00F475C1"/>
    <w:rsid w:val="00F47D1C"/>
    <w:rsid w:val="00F514A6"/>
    <w:rsid w:val="00F53B79"/>
    <w:rsid w:val="00F5637A"/>
    <w:rsid w:val="00F57397"/>
    <w:rsid w:val="00F61B3A"/>
    <w:rsid w:val="00F66330"/>
    <w:rsid w:val="00F6735E"/>
    <w:rsid w:val="00F67F6D"/>
    <w:rsid w:val="00F72634"/>
    <w:rsid w:val="00F72D89"/>
    <w:rsid w:val="00F73C0F"/>
    <w:rsid w:val="00F75AA1"/>
    <w:rsid w:val="00F77741"/>
    <w:rsid w:val="00F82104"/>
    <w:rsid w:val="00F8254E"/>
    <w:rsid w:val="00F83CC1"/>
    <w:rsid w:val="00F86BB5"/>
    <w:rsid w:val="00F877B8"/>
    <w:rsid w:val="00F917DA"/>
    <w:rsid w:val="00F96479"/>
    <w:rsid w:val="00FA46EC"/>
    <w:rsid w:val="00FA79C8"/>
    <w:rsid w:val="00FB016B"/>
    <w:rsid w:val="00FB1324"/>
    <w:rsid w:val="00FB240B"/>
    <w:rsid w:val="00FC1C60"/>
    <w:rsid w:val="00FC40DF"/>
    <w:rsid w:val="00FC5430"/>
    <w:rsid w:val="00FD00F6"/>
    <w:rsid w:val="00FD0646"/>
    <w:rsid w:val="00FD2299"/>
    <w:rsid w:val="00FD3026"/>
    <w:rsid w:val="00FD6734"/>
    <w:rsid w:val="00FD7410"/>
    <w:rsid w:val="00FD7695"/>
    <w:rsid w:val="00FD76B4"/>
    <w:rsid w:val="00FD7E6B"/>
    <w:rsid w:val="00FE1387"/>
    <w:rsid w:val="00FE3D51"/>
    <w:rsid w:val="00FE48D4"/>
    <w:rsid w:val="00FE78E2"/>
    <w:rsid w:val="00FF03D8"/>
    <w:rsid w:val="00FF04E2"/>
    <w:rsid w:val="00FF1E47"/>
    <w:rsid w:val="00FF4DBE"/>
    <w:rsid w:val="00FF6C6B"/>
    <w:rsid w:val="00FF6E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2514</TotalTime>
  <Pages>6</Pages>
  <Words>3914</Words>
  <Characters>21139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GreencatPC</cp:lastModifiedBy>
  <cp:revision>1232</cp:revision>
  <dcterms:created xsi:type="dcterms:W3CDTF">2022-12-12T17:08:00Z</dcterms:created>
  <dcterms:modified xsi:type="dcterms:W3CDTF">2023-06-16T14:47:00Z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