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B07396" w:rsidRDefault="00866822" w:rsidP="00EA4E1B">
      <w:pPr>
        <w:pStyle w:val="BATitle"/>
        <w:spacing w:before="0" w:after="0" w:line="240" w:lineRule="auto"/>
        <w:ind w:right="0"/>
        <w:jc w:val="both"/>
        <w:rPr>
          <w:sz w:val="32"/>
          <w:lang w:val="pt-BR"/>
        </w:rPr>
      </w:pPr>
      <w:bookmarkStart w:id="0" w:name="_Hlk1324517"/>
      <w:bookmarkStart w:id="1" w:name="_Hlk1324670"/>
      <w:r w:rsidRPr="00B07396">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06E15589" w:rsidR="00EA4E1B" w:rsidRPr="00B07396" w:rsidRDefault="00211F20" w:rsidP="00EA4E1B">
      <w:pPr>
        <w:pStyle w:val="BATitle"/>
        <w:spacing w:before="240" w:line="240" w:lineRule="auto"/>
        <w:ind w:right="-11"/>
        <w:jc w:val="both"/>
        <w:rPr>
          <w:rFonts w:ascii="Times New Roman" w:hAnsi="Times New Roman"/>
          <w:sz w:val="20"/>
          <w:lang w:val="pt-BR"/>
        </w:rPr>
      </w:pPr>
      <w:r w:rsidRPr="00B07396">
        <w:rPr>
          <w:sz w:val="32"/>
          <w:lang w:val="pt-BR"/>
        </w:rPr>
        <w:t>Avaliação d</w:t>
      </w:r>
      <w:r w:rsidR="007657C6" w:rsidRPr="00B07396">
        <w:rPr>
          <w:sz w:val="32"/>
          <w:lang w:val="pt-BR"/>
        </w:rPr>
        <w:t>e</w:t>
      </w:r>
      <w:r w:rsidRPr="00B07396">
        <w:rPr>
          <w:sz w:val="32"/>
          <w:lang w:val="pt-BR"/>
        </w:rPr>
        <w:t xml:space="preserve"> p</w:t>
      </w:r>
      <w:r w:rsidR="009F1B57" w:rsidRPr="00B07396">
        <w:rPr>
          <w:sz w:val="32"/>
          <w:lang w:val="pt-BR"/>
        </w:rPr>
        <w:t>lanejamento fatorial na síntese de hidróxidos duplos lamelares e das propriedades dos óxidos mistos derivados</w:t>
      </w:r>
    </w:p>
    <w:p w14:paraId="18735493" w14:textId="6180F790" w:rsidR="00EA4E1B" w:rsidRPr="00B07396" w:rsidRDefault="00E837AE" w:rsidP="00EA4E1B">
      <w:pPr>
        <w:pStyle w:val="BBAuthorName"/>
        <w:spacing w:after="120"/>
        <w:ind w:right="0"/>
        <w:jc w:val="both"/>
        <w:rPr>
          <w:rFonts w:ascii="Times New Roman" w:hAnsi="Times New Roman"/>
          <w:sz w:val="20"/>
          <w:lang w:val="pt-BR"/>
        </w:rPr>
      </w:pPr>
      <w:r w:rsidRPr="00B07396">
        <w:rPr>
          <w:rFonts w:ascii="Times New Roman" w:hAnsi="Times New Roman"/>
          <w:sz w:val="20"/>
          <w:lang w:val="pt-BR"/>
        </w:rPr>
        <w:t>Felipe R</w:t>
      </w:r>
      <w:r w:rsidR="00DC2290" w:rsidRPr="00B07396">
        <w:rPr>
          <w:rFonts w:ascii="Times New Roman" w:hAnsi="Times New Roman"/>
          <w:sz w:val="20"/>
          <w:lang w:val="pt-BR"/>
        </w:rPr>
        <w:t>eis</w:t>
      </w:r>
      <w:r w:rsidR="00AB053C" w:rsidRPr="00B07396">
        <w:rPr>
          <w:rFonts w:ascii="Times New Roman" w:hAnsi="Times New Roman"/>
          <w:sz w:val="20"/>
          <w:lang w:val="pt-BR"/>
        </w:rPr>
        <w:t xml:space="preserve"> Bernardes</w:t>
      </w:r>
      <w:r w:rsidR="00364E8E" w:rsidRPr="00B07396">
        <w:rPr>
          <w:rFonts w:ascii="Times New Roman" w:hAnsi="Times New Roman"/>
          <w:sz w:val="20"/>
          <w:vertAlign w:val="superscript"/>
          <w:lang w:val="pt-BR"/>
        </w:rPr>
        <w:t>1</w:t>
      </w:r>
      <w:r w:rsidR="00AB053C" w:rsidRPr="00B07396">
        <w:rPr>
          <w:rFonts w:ascii="Times New Roman" w:hAnsi="Times New Roman"/>
          <w:sz w:val="20"/>
          <w:lang w:val="pt-BR"/>
        </w:rPr>
        <w:t xml:space="preserve">, </w:t>
      </w:r>
      <w:proofErr w:type="spellStart"/>
      <w:r w:rsidR="008D3C7A" w:rsidRPr="00B07396">
        <w:rPr>
          <w:rFonts w:ascii="Times New Roman" w:hAnsi="Times New Roman"/>
          <w:sz w:val="20"/>
          <w:lang w:val="pt-BR"/>
        </w:rPr>
        <w:t>Weberton</w:t>
      </w:r>
      <w:proofErr w:type="spellEnd"/>
      <w:r w:rsidR="008D3C7A" w:rsidRPr="00B07396">
        <w:rPr>
          <w:rFonts w:ascii="Times New Roman" w:hAnsi="Times New Roman"/>
          <w:sz w:val="20"/>
          <w:lang w:val="pt-BR"/>
        </w:rPr>
        <w:t xml:space="preserve"> Reis</w:t>
      </w:r>
      <w:r w:rsidR="003420ED" w:rsidRPr="00B07396">
        <w:rPr>
          <w:rFonts w:ascii="Times New Roman" w:hAnsi="Times New Roman"/>
          <w:sz w:val="20"/>
          <w:lang w:val="pt-BR"/>
        </w:rPr>
        <w:t xml:space="preserve"> do Carmo</w:t>
      </w:r>
      <w:r w:rsidR="003420ED" w:rsidRPr="00B07396">
        <w:rPr>
          <w:rFonts w:ascii="Times New Roman" w:hAnsi="Times New Roman"/>
          <w:sz w:val="20"/>
          <w:vertAlign w:val="superscript"/>
          <w:lang w:val="pt-BR"/>
        </w:rPr>
        <w:t>1</w:t>
      </w:r>
      <w:r w:rsidR="003420ED" w:rsidRPr="00B07396">
        <w:rPr>
          <w:rFonts w:ascii="Times New Roman" w:hAnsi="Times New Roman"/>
          <w:sz w:val="20"/>
          <w:lang w:val="pt-BR"/>
        </w:rPr>
        <w:t xml:space="preserve">, </w:t>
      </w:r>
      <w:r w:rsidR="00AB053C" w:rsidRPr="00B07396">
        <w:rPr>
          <w:rFonts w:ascii="Times New Roman" w:hAnsi="Times New Roman"/>
          <w:sz w:val="20"/>
          <w:lang w:val="pt-BR"/>
        </w:rPr>
        <w:t xml:space="preserve">Victor </w:t>
      </w:r>
      <w:r w:rsidR="00DC2290" w:rsidRPr="00B07396">
        <w:rPr>
          <w:rFonts w:ascii="Times New Roman" w:hAnsi="Times New Roman"/>
          <w:sz w:val="20"/>
          <w:lang w:val="pt-BR"/>
        </w:rPr>
        <w:t>Rodrigues</w:t>
      </w:r>
      <w:r w:rsidR="00AB053C" w:rsidRPr="00B07396">
        <w:rPr>
          <w:rFonts w:ascii="Times New Roman" w:hAnsi="Times New Roman"/>
          <w:sz w:val="20"/>
          <w:lang w:val="pt-BR"/>
        </w:rPr>
        <w:t xml:space="preserve"> de Oliveira</w:t>
      </w:r>
      <w:r w:rsidR="00364E8E" w:rsidRPr="00B07396">
        <w:rPr>
          <w:rFonts w:ascii="Times New Roman" w:hAnsi="Times New Roman"/>
          <w:sz w:val="20"/>
          <w:vertAlign w:val="superscript"/>
          <w:lang w:val="pt-BR"/>
        </w:rPr>
        <w:t>1</w:t>
      </w:r>
      <w:r w:rsidR="0086621C" w:rsidRPr="00B07396">
        <w:rPr>
          <w:rFonts w:ascii="Times New Roman" w:hAnsi="Times New Roman"/>
          <w:sz w:val="20"/>
          <w:vertAlign w:val="superscript"/>
          <w:lang w:val="pt-BR"/>
        </w:rPr>
        <w:t>*</w:t>
      </w:r>
      <w:r w:rsidR="00AB053C" w:rsidRPr="00B07396">
        <w:rPr>
          <w:rFonts w:ascii="Times New Roman" w:hAnsi="Times New Roman"/>
          <w:sz w:val="20"/>
          <w:lang w:val="pt-BR"/>
        </w:rPr>
        <w:t xml:space="preserve">, </w:t>
      </w:r>
      <w:r w:rsidR="00662E61" w:rsidRPr="00B07396">
        <w:rPr>
          <w:rFonts w:ascii="Times New Roman" w:hAnsi="Times New Roman"/>
          <w:sz w:val="20"/>
          <w:lang w:val="pt-BR"/>
        </w:rPr>
        <w:t>Arnaldo da Costa F</w:t>
      </w:r>
      <w:r w:rsidR="00DC2290" w:rsidRPr="00B07396">
        <w:rPr>
          <w:rFonts w:ascii="Times New Roman" w:hAnsi="Times New Roman"/>
          <w:sz w:val="20"/>
          <w:lang w:val="pt-BR"/>
        </w:rPr>
        <w:t>aro</w:t>
      </w:r>
      <w:r w:rsidR="00662E61" w:rsidRPr="00B07396">
        <w:rPr>
          <w:rFonts w:ascii="Times New Roman" w:hAnsi="Times New Roman"/>
          <w:sz w:val="20"/>
          <w:lang w:val="pt-BR"/>
        </w:rPr>
        <w:t xml:space="preserve"> Junior</w:t>
      </w:r>
      <w:r w:rsidR="00EA4E1B" w:rsidRPr="00B07396">
        <w:rPr>
          <w:rFonts w:ascii="Times New Roman" w:hAnsi="Times New Roman"/>
          <w:sz w:val="20"/>
          <w:vertAlign w:val="superscript"/>
          <w:lang w:val="pt-BR"/>
        </w:rPr>
        <w:t>1</w:t>
      </w:r>
      <w:r w:rsidR="00C76380" w:rsidRPr="00B07396">
        <w:rPr>
          <w:rFonts w:ascii="Times New Roman" w:hAnsi="Times New Roman"/>
          <w:sz w:val="20"/>
          <w:lang w:val="pt-BR"/>
        </w:rPr>
        <w:t xml:space="preserve">, </w:t>
      </w:r>
      <w:r w:rsidR="002D47DC" w:rsidRPr="00B07396">
        <w:rPr>
          <w:rFonts w:ascii="Times New Roman" w:hAnsi="Times New Roman"/>
          <w:sz w:val="20"/>
          <w:lang w:val="pt-BR"/>
        </w:rPr>
        <w:t xml:space="preserve">Luz </w:t>
      </w:r>
      <w:r w:rsidR="00973F26" w:rsidRPr="00B07396">
        <w:rPr>
          <w:rFonts w:ascii="Times New Roman" w:hAnsi="Times New Roman"/>
          <w:sz w:val="20"/>
          <w:lang w:val="pt-BR"/>
        </w:rPr>
        <w:t>Amparo Pal</w:t>
      </w:r>
      <w:r w:rsidR="00CD5FC1" w:rsidRPr="00B07396">
        <w:rPr>
          <w:rFonts w:ascii="Times New Roman" w:hAnsi="Times New Roman"/>
          <w:sz w:val="20"/>
          <w:lang w:val="pt-BR"/>
        </w:rPr>
        <w:t>acio Santos</w:t>
      </w:r>
      <w:r w:rsidR="00CD5FC1" w:rsidRPr="00B07396">
        <w:rPr>
          <w:rFonts w:ascii="Times New Roman" w:hAnsi="Times New Roman"/>
          <w:sz w:val="20"/>
          <w:vertAlign w:val="superscript"/>
          <w:lang w:val="pt-BR"/>
        </w:rPr>
        <w:t>2</w:t>
      </w:r>
      <w:r w:rsidR="00CD5FC1" w:rsidRPr="00B07396">
        <w:rPr>
          <w:rFonts w:ascii="Times New Roman" w:hAnsi="Times New Roman"/>
          <w:sz w:val="20"/>
          <w:lang w:val="pt-BR"/>
        </w:rPr>
        <w:t xml:space="preserve">, </w:t>
      </w:r>
      <w:r w:rsidR="00C76380" w:rsidRPr="00B07396">
        <w:rPr>
          <w:rFonts w:ascii="Times New Roman" w:hAnsi="Times New Roman"/>
          <w:sz w:val="20"/>
          <w:lang w:val="pt-BR"/>
        </w:rPr>
        <w:t>Sandra S</w:t>
      </w:r>
      <w:r w:rsidR="008D3C7A" w:rsidRPr="00B07396">
        <w:rPr>
          <w:rFonts w:ascii="Times New Roman" w:hAnsi="Times New Roman"/>
          <w:sz w:val="20"/>
          <w:lang w:val="pt-BR"/>
        </w:rPr>
        <w:t>hirley</w:t>
      </w:r>
      <w:r w:rsidR="002D47DC" w:rsidRPr="00B07396">
        <w:rPr>
          <w:rFonts w:ascii="Times New Roman" w:hAnsi="Times New Roman"/>
          <w:sz w:val="20"/>
          <w:lang w:val="pt-BR"/>
        </w:rPr>
        <w:t xml:space="preserve"> </w:t>
      </w:r>
      <w:proofErr w:type="spellStart"/>
      <w:r w:rsidR="002D47DC" w:rsidRPr="00B07396">
        <w:rPr>
          <w:rFonts w:ascii="Times New Roman" w:hAnsi="Times New Roman"/>
          <w:sz w:val="20"/>
          <w:lang w:val="pt-BR"/>
        </w:rPr>
        <w:t>X</w:t>
      </w:r>
      <w:r w:rsidR="008D3C7A" w:rsidRPr="00B07396">
        <w:rPr>
          <w:rFonts w:ascii="Times New Roman" w:hAnsi="Times New Roman"/>
          <w:sz w:val="20"/>
          <w:lang w:val="pt-BR"/>
        </w:rPr>
        <w:t>imeno</w:t>
      </w:r>
      <w:proofErr w:type="spellEnd"/>
      <w:r w:rsidR="002D47DC" w:rsidRPr="00B07396">
        <w:rPr>
          <w:rFonts w:ascii="Times New Roman" w:hAnsi="Times New Roman"/>
          <w:sz w:val="20"/>
          <w:lang w:val="pt-BR"/>
        </w:rPr>
        <w:t xml:space="preserve"> Shiaro</w:t>
      </w:r>
      <w:r w:rsidR="002D47DC" w:rsidRPr="00B07396">
        <w:rPr>
          <w:rFonts w:ascii="Times New Roman" w:hAnsi="Times New Roman"/>
          <w:sz w:val="20"/>
          <w:vertAlign w:val="superscript"/>
          <w:lang w:val="pt-BR"/>
        </w:rPr>
        <w:t>3</w:t>
      </w:r>
    </w:p>
    <w:p w14:paraId="5D6C7083" w14:textId="77777777" w:rsidR="0032423F" w:rsidRPr="00B07396" w:rsidRDefault="00EA4E1B" w:rsidP="00EA4E1B">
      <w:pPr>
        <w:pStyle w:val="BCAuthorAddress"/>
        <w:spacing w:after="0"/>
        <w:ind w:right="0"/>
        <w:jc w:val="both"/>
        <w:rPr>
          <w:lang w:val="pt-BR"/>
        </w:rPr>
      </w:pPr>
      <w:r w:rsidRPr="00B07396">
        <w:rPr>
          <w:vertAlign w:val="superscript"/>
          <w:lang w:val="pt-BR"/>
        </w:rPr>
        <w:t>1</w:t>
      </w:r>
      <w:r w:rsidR="00286698" w:rsidRPr="00B07396">
        <w:rPr>
          <w:lang w:val="pt-BR"/>
        </w:rPr>
        <w:t>Universidade Federal do Rio de Janeiro, Instituto de Química – Rio de Janeiro</w:t>
      </w:r>
      <w:r w:rsidR="00A63B4A" w:rsidRPr="00B07396">
        <w:rPr>
          <w:lang w:val="pt-BR"/>
        </w:rPr>
        <w:t>, RJ-Bra</w:t>
      </w:r>
      <w:r w:rsidR="00435B48" w:rsidRPr="00B07396">
        <w:rPr>
          <w:lang w:val="pt-BR"/>
        </w:rPr>
        <w:t>sil</w:t>
      </w:r>
    </w:p>
    <w:p w14:paraId="0DF1AE5F" w14:textId="3C999805" w:rsidR="003420ED" w:rsidRPr="00B07396" w:rsidRDefault="00CE38E6" w:rsidP="003420ED">
      <w:pPr>
        <w:pStyle w:val="BCAuthorAddress"/>
        <w:spacing w:after="0"/>
        <w:ind w:right="0"/>
        <w:jc w:val="both"/>
        <w:rPr>
          <w:lang w:val="pt-BR"/>
        </w:rPr>
      </w:pPr>
      <w:r w:rsidRPr="00B07396">
        <w:rPr>
          <w:vertAlign w:val="superscript"/>
          <w:lang w:val="pt-BR"/>
        </w:rPr>
        <w:t>2</w:t>
      </w:r>
      <w:r w:rsidR="003420ED" w:rsidRPr="00B07396">
        <w:rPr>
          <w:lang w:val="pt-BR"/>
        </w:rPr>
        <w:t xml:space="preserve">Universidade </w:t>
      </w:r>
      <w:r w:rsidR="00074297" w:rsidRPr="00B07396">
        <w:rPr>
          <w:lang w:val="pt-BR"/>
        </w:rPr>
        <w:t>do Estado</w:t>
      </w:r>
      <w:r w:rsidR="003420ED" w:rsidRPr="00B07396">
        <w:rPr>
          <w:lang w:val="pt-BR"/>
        </w:rPr>
        <w:t xml:space="preserve"> do Rio de Janeiro, Instituto de Química – Rio de Janeiro, RJ-Brasil</w:t>
      </w:r>
    </w:p>
    <w:p w14:paraId="49BB34FE" w14:textId="5D3B141C" w:rsidR="003420ED" w:rsidRPr="00B07396" w:rsidRDefault="00CE38E6" w:rsidP="00CE38E6">
      <w:pPr>
        <w:pStyle w:val="BCAuthorAddress"/>
        <w:spacing w:after="0"/>
        <w:ind w:right="0"/>
        <w:jc w:val="both"/>
        <w:rPr>
          <w:lang w:val="pt-BR"/>
        </w:rPr>
      </w:pPr>
      <w:r w:rsidRPr="00B07396">
        <w:rPr>
          <w:vertAlign w:val="superscript"/>
          <w:lang w:val="pt-BR"/>
        </w:rPr>
        <w:t>3</w:t>
      </w:r>
      <w:r w:rsidR="00435744" w:rsidRPr="00B07396">
        <w:rPr>
          <w:lang w:val="pt-BR"/>
        </w:rPr>
        <w:t>Cenpe</w:t>
      </w:r>
      <w:r w:rsidR="00062281" w:rsidRPr="00B07396">
        <w:rPr>
          <w:lang w:val="pt-BR"/>
        </w:rPr>
        <w:t xml:space="preserve">s, Petrobras </w:t>
      </w:r>
      <w:r w:rsidR="003420ED" w:rsidRPr="00B07396">
        <w:rPr>
          <w:lang w:val="pt-BR"/>
        </w:rPr>
        <w:t>– Rio de Janeiro, RJ-Brasil</w:t>
      </w:r>
    </w:p>
    <w:p w14:paraId="22D38595" w14:textId="1D0A709E" w:rsidR="00EA4E1B" w:rsidRPr="00B07396" w:rsidRDefault="0086621C" w:rsidP="00EA4E1B">
      <w:pPr>
        <w:pStyle w:val="BCAuthorAddress"/>
        <w:spacing w:after="0"/>
        <w:ind w:right="0"/>
        <w:jc w:val="both"/>
        <w:rPr>
          <w:lang w:val="pt-BR"/>
        </w:rPr>
      </w:pPr>
      <w:r w:rsidRPr="00B07396">
        <w:rPr>
          <w:vertAlign w:val="superscript"/>
          <w:lang w:val="pt-BR"/>
        </w:rPr>
        <w:t>*</w:t>
      </w:r>
      <w:r w:rsidR="0032423F" w:rsidRPr="00B07396">
        <w:rPr>
          <w:lang w:val="pt-BR"/>
        </w:rPr>
        <w:t xml:space="preserve"> </w:t>
      </w:r>
      <w:r w:rsidR="00CA0E25" w:rsidRPr="00B07396">
        <w:rPr>
          <w:lang w:val="pt-BR"/>
        </w:rPr>
        <w:t>vicero</w:t>
      </w:r>
      <w:r w:rsidRPr="00B07396">
        <w:rPr>
          <w:lang w:val="pt-BR"/>
        </w:rPr>
        <w:t>drigues@gmail.com</w:t>
      </w:r>
    </w:p>
    <w:bookmarkEnd w:id="0"/>
    <w:p w14:paraId="238E7EC1" w14:textId="5D4AB3B8" w:rsidR="00AF0400" w:rsidRPr="00B07396" w:rsidRDefault="00AF0400" w:rsidP="00EA4E1B">
      <w:pPr>
        <w:pStyle w:val="BDAbstract"/>
        <w:spacing w:before="0" w:after="0" w:line="240" w:lineRule="auto"/>
        <w:rPr>
          <w:rFonts w:ascii="Times New Roman" w:hAnsi="Times New Roman"/>
          <w:b w:val="0"/>
          <w:sz w:val="20"/>
          <w:lang w:val="pt-BR"/>
        </w:rPr>
      </w:pPr>
      <w:r w:rsidRPr="00B07396">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2E8B38C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2E8B38C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B07396" w:rsidRDefault="00AF0400" w:rsidP="00EA4E1B">
      <w:pPr>
        <w:pStyle w:val="BDAbstract"/>
        <w:spacing w:before="0" w:after="0" w:line="240" w:lineRule="auto"/>
        <w:rPr>
          <w:rFonts w:ascii="Times New Roman" w:hAnsi="Times New Roman"/>
          <w:b w:val="0"/>
          <w:sz w:val="20"/>
          <w:lang w:val="pt-BR"/>
        </w:rPr>
      </w:pPr>
    </w:p>
    <w:p w14:paraId="6AE90D67" w14:textId="637AA64F" w:rsidR="00EA4E1B" w:rsidRPr="00B07396" w:rsidRDefault="00EA4E1B" w:rsidP="00EA4E1B">
      <w:pPr>
        <w:pStyle w:val="BDAbstract"/>
        <w:spacing w:before="0" w:after="0" w:line="240" w:lineRule="auto"/>
        <w:rPr>
          <w:rFonts w:ascii="Times New Roman" w:hAnsi="Times New Roman"/>
          <w:b w:val="0"/>
          <w:sz w:val="20"/>
          <w:lang w:val="pt-BR"/>
        </w:rPr>
      </w:pPr>
      <w:r w:rsidRPr="00B07396">
        <w:rPr>
          <w:rFonts w:ascii="Times New Roman" w:hAnsi="Times New Roman"/>
          <w:b w:val="0"/>
          <w:sz w:val="20"/>
          <w:lang w:val="pt-BR"/>
        </w:rPr>
        <w:t xml:space="preserve">RESUMO - </w:t>
      </w:r>
      <w:r w:rsidR="00894970" w:rsidRPr="00B07396">
        <w:rPr>
          <w:rFonts w:ascii="Times New Roman" w:hAnsi="Times New Roman"/>
          <w:b w:val="0"/>
          <w:sz w:val="20"/>
          <w:lang w:val="pt-BR"/>
        </w:rPr>
        <w:t xml:space="preserve">Hidróxidos duplos lamelares </w:t>
      </w:r>
      <w:proofErr w:type="spellStart"/>
      <w:r w:rsidR="00894970" w:rsidRPr="00B07396">
        <w:rPr>
          <w:rFonts w:ascii="Times New Roman" w:hAnsi="Times New Roman"/>
          <w:b w:val="0"/>
          <w:sz w:val="20"/>
          <w:lang w:val="pt-BR"/>
        </w:rPr>
        <w:t>trimetálicos</w:t>
      </w:r>
      <w:proofErr w:type="spellEnd"/>
      <w:r w:rsidR="00894970" w:rsidRPr="00B07396">
        <w:rPr>
          <w:rFonts w:ascii="Times New Roman" w:hAnsi="Times New Roman"/>
          <w:b w:val="0"/>
          <w:sz w:val="20"/>
          <w:lang w:val="pt-BR"/>
        </w:rPr>
        <w:t xml:space="preserve"> com diferentes ânions </w:t>
      </w:r>
      <w:proofErr w:type="spellStart"/>
      <w:r w:rsidR="00894970" w:rsidRPr="00B07396">
        <w:rPr>
          <w:rFonts w:ascii="Times New Roman" w:hAnsi="Times New Roman"/>
          <w:b w:val="0"/>
          <w:sz w:val="20"/>
          <w:lang w:val="pt-BR"/>
        </w:rPr>
        <w:t>dicarboxílicos</w:t>
      </w:r>
      <w:proofErr w:type="spellEnd"/>
      <w:r w:rsidR="00894970" w:rsidRPr="00B07396">
        <w:rPr>
          <w:rFonts w:ascii="Times New Roman" w:hAnsi="Times New Roman"/>
          <w:b w:val="0"/>
          <w:sz w:val="20"/>
          <w:lang w:val="pt-BR"/>
        </w:rPr>
        <w:t xml:space="preserve"> e seus correspondentes óxidos mistos foram preparados por </w:t>
      </w:r>
      <w:proofErr w:type="spellStart"/>
      <w:r w:rsidR="00894970" w:rsidRPr="00B07396">
        <w:rPr>
          <w:rFonts w:ascii="Times New Roman" w:hAnsi="Times New Roman"/>
          <w:b w:val="0"/>
          <w:sz w:val="20"/>
          <w:lang w:val="pt-BR"/>
        </w:rPr>
        <w:t>co-precipitação</w:t>
      </w:r>
      <w:proofErr w:type="spellEnd"/>
      <w:r w:rsidR="00894970" w:rsidRPr="00B07396">
        <w:rPr>
          <w:rFonts w:ascii="Times New Roman" w:hAnsi="Times New Roman"/>
          <w:b w:val="0"/>
          <w:sz w:val="20"/>
          <w:lang w:val="pt-BR"/>
        </w:rPr>
        <w:t xml:space="preserve"> a pH fixo; </w:t>
      </w:r>
      <w:r w:rsidR="0066378B" w:rsidRPr="00B07396">
        <w:rPr>
          <w:rFonts w:ascii="Times New Roman" w:hAnsi="Times New Roman"/>
          <w:b w:val="0"/>
          <w:sz w:val="20"/>
          <w:lang w:val="pt-BR"/>
        </w:rPr>
        <w:t>com duas opções para</w:t>
      </w:r>
      <w:r w:rsidR="00894970" w:rsidRPr="00B07396">
        <w:rPr>
          <w:rFonts w:ascii="Times New Roman" w:hAnsi="Times New Roman"/>
          <w:b w:val="0"/>
          <w:sz w:val="20"/>
          <w:lang w:val="pt-BR"/>
        </w:rPr>
        <w:t xml:space="preserve"> a temperatura, pH e o ânion. Desse modo, um fatorial do tipo 2</w:t>
      </w:r>
      <w:r w:rsidR="00894970" w:rsidRPr="00B07396">
        <w:rPr>
          <w:rFonts w:ascii="Times New Roman" w:hAnsi="Times New Roman"/>
          <w:b w:val="0"/>
          <w:sz w:val="20"/>
          <w:vertAlign w:val="superscript"/>
          <w:lang w:val="pt-BR"/>
        </w:rPr>
        <w:t>3</w:t>
      </w:r>
      <w:r w:rsidR="00894970" w:rsidRPr="00B07396">
        <w:rPr>
          <w:rFonts w:ascii="Times New Roman" w:hAnsi="Times New Roman"/>
          <w:b w:val="0"/>
          <w:sz w:val="20"/>
          <w:lang w:val="pt-BR"/>
        </w:rPr>
        <w:t xml:space="preserve"> foi utilizado para avaliar o efeito dessas variáveis na área superficial e volume de poros dos óxidos mistos</w:t>
      </w:r>
      <w:r w:rsidR="00A21FF5" w:rsidRPr="00B07396">
        <w:rPr>
          <w:rFonts w:ascii="Times New Roman" w:hAnsi="Times New Roman"/>
          <w:b w:val="0"/>
          <w:sz w:val="20"/>
          <w:lang w:val="pt-BR"/>
        </w:rPr>
        <w:t xml:space="preserve"> </w:t>
      </w:r>
      <w:r w:rsidR="006F74EB" w:rsidRPr="00B07396">
        <w:rPr>
          <w:rFonts w:ascii="Times New Roman" w:hAnsi="Times New Roman"/>
          <w:b w:val="0"/>
          <w:sz w:val="20"/>
          <w:lang w:val="pt-BR"/>
        </w:rPr>
        <w:t xml:space="preserve">obtidos após a calcinação dos </w:t>
      </w:r>
      <w:proofErr w:type="spellStart"/>
      <w:r w:rsidR="006F74EB" w:rsidRPr="00B07396">
        <w:rPr>
          <w:rFonts w:ascii="Times New Roman" w:hAnsi="Times New Roman"/>
          <w:b w:val="0"/>
          <w:sz w:val="20"/>
          <w:lang w:val="pt-BR"/>
        </w:rPr>
        <w:t>HDLs</w:t>
      </w:r>
      <w:proofErr w:type="spellEnd"/>
      <w:r w:rsidR="00894970" w:rsidRPr="00B07396">
        <w:rPr>
          <w:rFonts w:ascii="Times New Roman" w:hAnsi="Times New Roman"/>
          <w:b w:val="0"/>
          <w:sz w:val="20"/>
          <w:lang w:val="pt-BR"/>
        </w:rPr>
        <w:t xml:space="preserve">. O estudo fatorial demostrou que o </w:t>
      </w:r>
      <w:r w:rsidR="007B1925" w:rsidRPr="00B07396">
        <w:rPr>
          <w:rFonts w:ascii="Times New Roman" w:hAnsi="Times New Roman"/>
          <w:b w:val="0"/>
          <w:sz w:val="20"/>
          <w:lang w:val="pt-BR"/>
        </w:rPr>
        <w:t>comprimento</w:t>
      </w:r>
      <w:r w:rsidR="005A16AF" w:rsidRPr="00B07396">
        <w:rPr>
          <w:rFonts w:ascii="Times New Roman" w:hAnsi="Times New Roman"/>
          <w:b w:val="0"/>
          <w:sz w:val="20"/>
          <w:lang w:val="pt-BR"/>
        </w:rPr>
        <w:t xml:space="preserve"> </w:t>
      </w:r>
      <w:r w:rsidR="00894970" w:rsidRPr="00B07396">
        <w:rPr>
          <w:rFonts w:ascii="Times New Roman" w:hAnsi="Times New Roman"/>
          <w:b w:val="0"/>
          <w:sz w:val="20"/>
          <w:lang w:val="pt-BR"/>
        </w:rPr>
        <w:t xml:space="preserve">do ânion </w:t>
      </w:r>
      <w:proofErr w:type="spellStart"/>
      <w:r w:rsidR="00894970" w:rsidRPr="00B07396">
        <w:rPr>
          <w:rFonts w:ascii="Times New Roman" w:hAnsi="Times New Roman"/>
          <w:b w:val="0"/>
          <w:sz w:val="20"/>
          <w:lang w:val="pt-BR"/>
        </w:rPr>
        <w:t>dicarboxílico</w:t>
      </w:r>
      <w:proofErr w:type="spellEnd"/>
      <w:r w:rsidR="00894970" w:rsidRPr="00B07396">
        <w:rPr>
          <w:rFonts w:ascii="Times New Roman" w:hAnsi="Times New Roman"/>
          <w:b w:val="0"/>
          <w:sz w:val="20"/>
          <w:lang w:val="pt-BR"/>
        </w:rPr>
        <w:t xml:space="preserve"> foi a variável </w:t>
      </w:r>
      <w:r w:rsidR="00935057" w:rsidRPr="00B07396">
        <w:rPr>
          <w:rFonts w:ascii="Times New Roman" w:hAnsi="Times New Roman"/>
          <w:b w:val="0"/>
          <w:sz w:val="20"/>
          <w:lang w:val="pt-BR"/>
        </w:rPr>
        <w:t>signific</w:t>
      </w:r>
      <w:r w:rsidR="00A544EE" w:rsidRPr="00B07396">
        <w:rPr>
          <w:rFonts w:ascii="Times New Roman" w:hAnsi="Times New Roman"/>
          <w:b w:val="0"/>
          <w:sz w:val="20"/>
          <w:lang w:val="pt-BR"/>
        </w:rPr>
        <w:t>ante</w:t>
      </w:r>
      <w:r w:rsidR="000E7DA1" w:rsidRPr="00B07396">
        <w:rPr>
          <w:rFonts w:ascii="Times New Roman" w:hAnsi="Times New Roman"/>
          <w:b w:val="0"/>
          <w:sz w:val="20"/>
          <w:lang w:val="pt-BR"/>
        </w:rPr>
        <w:t xml:space="preserve"> </w:t>
      </w:r>
      <w:r w:rsidR="007012DA" w:rsidRPr="00B07396">
        <w:rPr>
          <w:rFonts w:ascii="Times New Roman" w:hAnsi="Times New Roman"/>
          <w:b w:val="0"/>
          <w:sz w:val="20"/>
          <w:lang w:val="pt-BR"/>
        </w:rPr>
        <w:t>para ambas as respostas</w:t>
      </w:r>
      <w:r w:rsidR="00894970" w:rsidRPr="00B07396">
        <w:rPr>
          <w:rFonts w:ascii="Times New Roman" w:hAnsi="Times New Roman"/>
          <w:b w:val="0"/>
          <w:sz w:val="20"/>
          <w:lang w:val="pt-BR"/>
        </w:rPr>
        <w:t xml:space="preserve">. As amostras de HDL apresentaram picos de DRX bem conservados relativos aos índices 003, 006 e 009 com espaçamentos basais equivalentes aos ânions utilizados, o espectro de FTIR apresentou </w:t>
      </w:r>
      <w:r w:rsidR="00336B82" w:rsidRPr="00B07396">
        <w:rPr>
          <w:rFonts w:ascii="Times New Roman" w:hAnsi="Times New Roman"/>
          <w:b w:val="0"/>
          <w:sz w:val="20"/>
          <w:lang w:val="pt-BR"/>
        </w:rPr>
        <w:t xml:space="preserve">absorções </w:t>
      </w:r>
      <w:r w:rsidR="00894970" w:rsidRPr="00B07396">
        <w:rPr>
          <w:rFonts w:ascii="Times New Roman" w:hAnsi="Times New Roman"/>
          <w:b w:val="0"/>
          <w:sz w:val="20"/>
          <w:lang w:val="pt-BR"/>
        </w:rPr>
        <w:t>relativas aos ânions e metais</w:t>
      </w:r>
      <w:r w:rsidR="00E54597" w:rsidRPr="00B07396">
        <w:rPr>
          <w:rFonts w:ascii="Times New Roman" w:hAnsi="Times New Roman"/>
          <w:b w:val="0"/>
          <w:sz w:val="20"/>
          <w:lang w:val="pt-BR"/>
        </w:rPr>
        <w:t>.</w:t>
      </w:r>
      <w:r w:rsidR="00894970" w:rsidRPr="00B07396">
        <w:rPr>
          <w:rFonts w:ascii="Times New Roman" w:hAnsi="Times New Roman"/>
          <w:b w:val="0"/>
          <w:sz w:val="20"/>
          <w:lang w:val="pt-BR"/>
        </w:rPr>
        <w:t xml:space="preserve"> </w:t>
      </w:r>
      <w:r w:rsidR="00E54597" w:rsidRPr="00B07396">
        <w:rPr>
          <w:rFonts w:ascii="Times New Roman" w:hAnsi="Times New Roman"/>
          <w:b w:val="0"/>
          <w:sz w:val="20"/>
          <w:lang w:val="pt-BR"/>
        </w:rPr>
        <w:t>N</w:t>
      </w:r>
      <w:r w:rsidR="00894970" w:rsidRPr="00B07396">
        <w:rPr>
          <w:rFonts w:ascii="Times New Roman" w:hAnsi="Times New Roman"/>
          <w:b w:val="0"/>
          <w:sz w:val="20"/>
          <w:lang w:val="pt-BR"/>
        </w:rPr>
        <w:t>ão foram detectad</w:t>
      </w:r>
      <w:r w:rsidR="00C87D24" w:rsidRPr="00B07396">
        <w:rPr>
          <w:rFonts w:ascii="Times New Roman" w:hAnsi="Times New Roman"/>
          <w:b w:val="0"/>
          <w:sz w:val="20"/>
          <w:lang w:val="pt-BR"/>
        </w:rPr>
        <w:t>a</w:t>
      </w:r>
      <w:r w:rsidR="00894970" w:rsidRPr="00B07396">
        <w:rPr>
          <w:rFonts w:ascii="Times New Roman" w:hAnsi="Times New Roman"/>
          <w:b w:val="0"/>
          <w:sz w:val="20"/>
          <w:lang w:val="pt-BR"/>
        </w:rPr>
        <w:t xml:space="preserve">s </w:t>
      </w:r>
      <w:r w:rsidR="006F58A1" w:rsidRPr="00B07396">
        <w:rPr>
          <w:rFonts w:ascii="Times New Roman" w:hAnsi="Times New Roman"/>
          <w:b w:val="0"/>
          <w:sz w:val="20"/>
          <w:lang w:val="pt-BR"/>
        </w:rPr>
        <w:t>absorções</w:t>
      </w:r>
      <w:r w:rsidR="00F46998" w:rsidRPr="00B07396">
        <w:rPr>
          <w:rFonts w:ascii="Times New Roman" w:hAnsi="Times New Roman"/>
          <w:b w:val="0"/>
          <w:sz w:val="20"/>
          <w:lang w:val="pt-BR"/>
        </w:rPr>
        <w:t xml:space="preserve"> </w:t>
      </w:r>
      <w:r w:rsidR="00E54597" w:rsidRPr="00B07396">
        <w:rPr>
          <w:rFonts w:ascii="Times New Roman" w:hAnsi="Times New Roman"/>
          <w:b w:val="0"/>
          <w:sz w:val="20"/>
          <w:lang w:val="pt-BR"/>
        </w:rPr>
        <w:t>relativa</w:t>
      </w:r>
      <w:r w:rsidR="00866AEF" w:rsidRPr="00B07396">
        <w:rPr>
          <w:rFonts w:ascii="Times New Roman" w:hAnsi="Times New Roman"/>
          <w:b w:val="0"/>
          <w:sz w:val="20"/>
          <w:lang w:val="pt-BR"/>
        </w:rPr>
        <w:t>s</w:t>
      </w:r>
      <w:r w:rsidR="00E54597" w:rsidRPr="00B07396">
        <w:rPr>
          <w:rFonts w:ascii="Times New Roman" w:hAnsi="Times New Roman"/>
          <w:b w:val="0"/>
          <w:sz w:val="20"/>
          <w:lang w:val="pt-BR"/>
        </w:rPr>
        <w:t xml:space="preserve"> ao </w:t>
      </w:r>
      <w:r w:rsidR="00EE38AB" w:rsidRPr="00B07396">
        <w:rPr>
          <w:rFonts w:ascii="Times New Roman" w:hAnsi="Times New Roman"/>
          <w:b w:val="0"/>
          <w:sz w:val="20"/>
          <w:lang w:val="pt-BR"/>
        </w:rPr>
        <w:t>nitrato,</w:t>
      </w:r>
      <w:r w:rsidR="00894970" w:rsidRPr="00B07396">
        <w:rPr>
          <w:rFonts w:ascii="Times New Roman" w:hAnsi="Times New Roman"/>
          <w:b w:val="0"/>
          <w:sz w:val="20"/>
          <w:lang w:val="pt-BR"/>
        </w:rPr>
        <w:t xml:space="preserve"> </w:t>
      </w:r>
      <w:r w:rsidR="00412F68" w:rsidRPr="00B07396">
        <w:rPr>
          <w:rFonts w:ascii="Times New Roman" w:hAnsi="Times New Roman"/>
          <w:b w:val="0"/>
          <w:sz w:val="20"/>
          <w:lang w:val="pt-BR"/>
        </w:rPr>
        <w:t xml:space="preserve">entretanto </w:t>
      </w:r>
      <w:r w:rsidR="00894970" w:rsidRPr="00B07396">
        <w:rPr>
          <w:rFonts w:ascii="Times New Roman" w:hAnsi="Times New Roman"/>
          <w:b w:val="0"/>
          <w:sz w:val="20"/>
          <w:lang w:val="pt-BR"/>
        </w:rPr>
        <w:t xml:space="preserve">foram </w:t>
      </w:r>
      <w:r w:rsidR="00862528" w:rsidRPr="00B07396">
        <w:rPr>
          <w:rFonts w:ascii="Times New Roman" w:hAnsi="Times New Roman"/>
          <w:b w:val="0"/>
          <w:sz w:val="20"/>
          <w:lang w:val="pt-BR"/>
        </w:rPr>
        <w:t>encontradas</w:t>
      </w:r>
      <w:r w:rsidR="00894970" w:rsidRPr="00B07396">
        <w:rPr>
          <w:rFonts w:ascii="Times New Roman" w:hAnsi="Times New Roman"/>
          <w:b w:val="0"/>
          <w:sz w:val="20"/>
          <w:lang w:val="pt-BR"/>
        </w:rPr>
        <w:t xml:space="preserve"> </w:t>
      </w:r>
      <w:r w:rsidR="00412F68" w:rsidRPr="00B07396">
        <w:rPr>
          <w:rFonts w:ascii="Times New Roman" w:hAnsi="Times New Roman"/>
          <w:b w:val="0"/>
          <w:sz w:val="20"/>
          <w:lang w:val="pt-BR"/>
        </w:rPr>
        <w:t xml:space="preserve">absorções </w:t>
      </w:r>
      <w:r w:rsidR="00894970" w:rsidRPr="00B07396">
        <w:rPr>
          <w:rFonts w:ascii="Times New Roman" w:hAnsi="Times New Roman"/>
          <w:b w:val="0"/>
          <w:sz w:val="20"/>
          <w:lang w:val="pt-BR"/>
        </w:rPr>
        <w:t xml:space="preserve">fracas </w:t>
      </w:r>
      <w:r w:rsidR="00412F68" w:rsidRPr="00B07396">
        <w:rPr>
          <w:rFonts w:ascii="Times New Roman" w:hAnsi="Times New Roman"/>
          <w:b w:val="0"/>
          <w:sz w:val="20"/>
          <w:lang w:val="pt-BR"/>
        </w:rPr>
        <w:t>referentes a</w:t>
      </w:r>
      <w:r w:rsidR="00894970" w:rsidRPr="00B07396">
        <w:rPr>
          <w:rFonts w:ascii="Times New Roman" w:hAnsi="Times New Roman"/>
          <w:b w:val="0"/>
          <w:sz w:val="20"/>
          <w:lang w:val="pt-BR"/>
        </w:rPr>
        <w:t xml:space="preserve"> carbonato em duas amostras</w:t>
      </w:r>
      <w:r w:rsidR="00E54597" w:rsidRPr="00B07396">
        <w:rPr>
          <w:rFonts w:ascii="Times New Roman" w:hAnsi="Times New Roman"/>
          <w:b w:val="0"/>
          <w:sz w:val="20"/>
          <w:lang w:val="pt-BR"/>
        </w:rPr>
        <w:t>.</w:t>
      </w:r>
      <w:r w:rsidR="00894970" w:rsidRPr="00B07396">
        <w:rPr>
          <w:rFonts w:ascii="Times New Roman" w:hAnsi="Times New Roman"/>
          <w:b w:val="0"/>
          <w:sz w:val="20"/>
          <w:lang w:val="pt-BR"/>
        </w:rPr>
        <w:t xml:space="preserve"> </w:t>
      </w:r>
      <w:r w:rsidR="006F58A1" w:rsidRPr="00B07396">
        <w:rPr>
          <w:rFonts w:ascii="Times New Roman" w:hAnsi="Times New Roman"/>
          <w:b w:val="0"/>
          <w:sz w:val="20"/>
          <w:lang w:val="pt-BR"/>
        </w:rPr>
        <w:t xml:space="preserve">Em média, </w:t>
      </w:r>
      <w:r w:rsidR="00A627AE" w:rsidRPr="00B07396">
        <w:rPr>
          <w:rFonts w:ascii="Times New Roman" w:hAnsi="Times New Roman"/>
          <w:b w:val="0"/>
          <w:sz w:val="20"/>
          <w:lang w:val="pt-BR"/>
        </w:rPr>
        <w:t xml:space="preserve">o uso de </w:t>
      </w:r>
      <w:proofErr w:type="spellStart"/>
      <w:r w:rsidR="00A627AE" w:rsidRPr="00B07396">
        <w:rPr>
          <w:rFonts w:ascii="Times New Roman" w:hAnsi="Times New Roman"/>
          <w:b w:val="0"/>
          <w:sz w:val="20"/>
          <w:lang w:val="pt-BR"/>
        </w:rPr>
        <w:t>sebacato</w:t>
      </w:r>
      <w:proofErr w:type="spellEnd"/>
      <w:r w:rsidR="00A627AE" w:rsidRPr="00B07396">
        <w:rPr>
          <w:rFonts w:ascii="Times New Roman" w:hAnsi="Times New Roman"/>
          <w:b w:val="0"/>
          <w:sz w:val="20"/>
          <w:lang w:val="pt-BR"/>
        </w:rPr>
        <w:t xml:space="preserve"> em relação ao </w:t>
      </w:r>
      <w:proofErr w:type="spellStart"/>
      <w:r w:rsidR="00A627AE" w:rsidRPr="00B07396">
        <w:rPr>
          <w:rFonts w:ascii="Times New Roman" w:hAnsi="Times New Roman"/>
          <w:b w:val="0"/>
          <w:sz w:val="20"/>
          <w:lang w:val="pt-BR"/>
        </w:rPr>
        <w:t>succinato</w:t>
      </w:r>
      <w:proofErr w:type="spellEnd"/>
      <w:r w:rsidR="00894970" w:rsidRPr="00B07396">
        <w:rPr>
          <w:rFonts w:ascii="Times New Roman" w:hAnsi="Times New Roman"/>
          <w:b w:val="0"/>
          <w:sz w:val="20"/>
          <w:lang w:val="pt-BR"/>
        </w:rPr>
        <w:t xml:space="preserve"> foi capaz de aumentar em </w:t>
      </w:r>
      <w:r w:rsidR="00313A97" w:rsidRPr="00B07396">
        <w:rPr>
          <w:rFonts w:ascii="Times New Roman" w:hAnsi="Times New Roman"/>
          <w:b w:val="0"/>
          <w:sz w:val="20"/>
          <w:lang w:val="pt-BR"/>
        </w:rPr>
        <w:t>32</w:t>
      </w:r>
      <w:r w:rsidR="00894970" w:rsidRPr="00B07396">
        <w:rPr>
          <w:rFonts w:ascii="Times New Roman" w:hAnsi="Times New Roman"/>
          <w:b w:val="0"/>
          <w:sz w:val="20"/>
          <w:lang w:val="pt-BR"/>
        </w:rPr>
        <w:t xml:space="preserve">% a área superficial e </w:t>
      </w:r>
      <w:r w:rsidR="00BD1BE0" w:rsidRPr="00B07396">
        <w:rPr>
          <w:rFonts w:ascii="Times New Roman" w:hAnsi="Times New Roman"/>
          <w:b w:val="0"/>
          <w:sz w:val="20"/>
          <w:lang w:val="pt-BR"/>
        </w:rPr>
        <w:t>6</w:t>
      </w:r>
      <w:r w:rsidR="00976017" w:rsidRPr="00B07396">
        <w:rPr>
          <w:rFonts w:ascii="Times New Roman" w:hAnsi="Times New Roman"/>
          <w:b w:val="0"/>
          <w:sz w:val="20"/>
          <w:lang w:val="pt-BR"/>
        </w:rPr>
        <w:t>4</w:t>
      </w:r>
      <w:r w:rsidR="00894970" w:rsidRPr="00B07396">
        <w:rPr>
          <w:rFonts w:ascii="Times New Roman" w:hAnsi="Times New Roman"/>
          <w:b w:val="0"/>
          <w:sz w:val="20"/>
          <w:lang w:val="pt-BR"/>
        </w:rPr>
        <w:t>% o volume de poros dos óxidos mistos</w:t>
      </w:r>
      <w:r w:rsidR="009F62F6" w:rsidRPr="00B07396">
        <w:rPr>
          <w:rFonts w:ascii="Times New Roman" w:hAnsi="Times New Roman"/>
          <w:b w:val="0"/>
          <w:sz w:val="20"/>
          <w:lang w:val="pt-BR"/>
        </w:rPr>
        <w:t>.</w:t>
      </w:r>
    </w:p>
    <w:p w14:paraId="09B41B70" w14:textId="7A5116FA" w:rsidR="00EA4E1B" w:rsidRPr="00B07396" w:rsidRDefault="00EA4E1B" w:rsidP="00EA4E1B">
      <w:pPr>
        <w:pStyle w:val="BDAbstract"/>
        <w:spacing w:before="0" w:after="0" w:line="240" w:lineRule="auto"/>
        <w:rPr>
          <w:rFonts w:ascii="Times New Roman" w:hAnsi="Times New Roman"/>
          <w:b w:val="0"/>
          <w:sz w:val="20"/>
          <w:lang w:val="pt-BR"/>
        </w:rPr>
      </w:pPr>
      <w:r w:rsidRPr="00B07396">
        <w:rPr>
          <w:rFonts w:ascii="Times New Roman" w:hAnsi="Times New Roman"/>
          <w:b w:val="0"/>
          <w:i/>
          <w:sz w:val="20"/>
          <w:lang w:val="pt-BR"/>
        </w:rPr>
        <w:t xml:space="preserve">Palavras-chave: </w:t>
      </w:r>
      <w:r w:rsidR="00961F5C" w:rsidRPr="00B07396">
        <w:rPr>
          <w:rFonts w:ascii="Times New Roman" w:hAnsi="Times New Roman"/>
          <w:b w:val="0"/>
          <w:i/>
          <w:sz w:val="20"/>
          <w:lang w:val="pt-BR"/>
        </w:rPr>
        <w:t xml:space="preserve">hidróxido </w:t>
      </w:r>
      <w:r w:rsidR="00805DDD" w:rsidRPr="00B07396">
        <w:rPr>
          <w:rFonts w:ascii="Times New Roman" w:hAnsi="Times New Roman"/>
          <w:b w:val="0"/>
          <w:i/>
          <w:sz w:val="20"/>
          <w:lang w:val="pt-BR"/>
        </w:rPr>
        <w:t xml:space="preserve">duplo lamelar, </w:t>
      </w:r>
      <w:r w:rsidR="00AA1B6C" w:rsidRPr="00B07396">
        <w:rPr>
          <w:rFonts w:ascii="Times New Roman" w:hAnsi="Times New Roman"/>
          <w:b w:val="0"/>
          <w:i/>
          <w:sz w:val="20"/>
          <w:lang w:val="pt-BR"/>
        </w:rPr>
        <w:t xml:space="preserve">planejamento fatorial, </w:t>
      </w:r>
      <w:r w:rsidR="00914438" w:rsidRPr="00B07396">
        <w:rPr>
          <w:rFonts w:ascii="Times New Roman" w:hAnsi="Times New Roman"/>
          <w:b w:val="0"/>
          <w:i/>
          <w:sz w:val="20"/>
          <w:lang w:val="pt-BR"/>
        </w:rPr>
        <w:t xml:space="preserve">óxido misto, </w:t>
      </w:r>
      <w:proofErr w:type="spellStart"/>
      <w:r w:rsidR="00C536D5" w:rsidRPr="00B07396">
        <w:rPr>
          <w:rFonts w:ascii="Times New Roman" w:hAnsi="Times New Roman"/>
          <w:b w:val="0"/>
          <w:i/>
          <w:sz w:val="20"/>
          <w:lang w:val="pt-BR"/>
        </w:rPr>
        <w:t>co-precipitação</w:t>
      </w:r>
      <w:proofErr w:type="spellEnd"/>
      <w:r w:rsidR="009113D3" w:rsidRPr="00B07396">
        <w:rPr>
          <w:rFonts w:ascii="Times New Roman" w:hAnsi="Times New Roman"/>
          <w:b w:val="0"/>
          <w:i/>
          <w:sz w:val="20"/>
          <w:lang w:val="pt-BR"/>
        </w:rPr>
        <w:t xml:space="preserve">, </w:t>
      </w:r>
      <w:proofErr w:type="spellStart"/>
      <w:r w:rsidR="009113D3" w:rsidRPr="00B07396">
        <w:rPr>
          <w:rFonts w:ascii="Times New Roman" w:hAnsi="Times New Roman"/>
          <w:b w:val="0"/>
          <w:i/>
          <w:sz w:val="20"/>
          <w:lang w:val="pt-BR"/>
        </w:rPr>
        <w:t>m</w:t>
      </w:r>
      <w:r w:rsidR="001903E9" w:rsidRPr="00B07396">
        <w:rPr>
          <w:rFonts w:ascii="Times New Roman" w:hAnsi="Times New Roman"/>
          <w:b w:val="0"/>
          <w:i/>
          <w:sz w:val="20"/>
          <w:lang w:val="pt-BR"/>
        </w:rPr>
        <w:t>esoporos</w:t>
      </w:r>
      <w:proofErr w:type="spellEnd"/>
      <w:r w:rsidRPr="00B07396">
        <w:rPr>
          <w:rFonts w:ascii="Times New Roman" w:hAnsi="Times New Roman"/>
          <w:b w:val="0"/>
          <w:i/>
          <w:sz w:val="20"/>
          <w:lang w:val="pt-BR"/>
        </w:rPr>
        <w:t>.</w:t>
      </w:r>
    </w:p>
    <w:p w14:paraId="5D8D4445" w14:textId="11D77547" w:rsidR="00EA4E1B" w:rsidRPr="00B07396" w:rsidRDefault="00EA4E1B" w:rsidP="00EA4E1B">
      <w:pPr>
        <w:pStyle w:val="BDAbstract"/>
        <w:spacing w:before="0" w:after="0" w:line="240" w:lineRule="auto"/>
        <w:rPr>
          <w:rFonts w:ascii="Times New Roman" w:hAnsi="Times New Roman"/>
          <w:b w:val="0"/>
          <w:sz w:val="20"/>
          <w:lang w:val="pt-BR"/>
        </w:rPr>
      </w:pPr>
    </w:p>
    <w:p w14:paraId="28CA1531" w14:textId="734B14A4" w:rsidR="00B67E8C" w:rsidRPr="00B07396" w:rsidRDefault="00EA4E1B" w:rsidP="00EA4E1B">
      <w:pPr>
        <w:pStyle w:val="BDAbstract"/>
        <w:spacing w:before="0" w:after="0" w:line="240" w:lineRule="auto"/>
        <w:rPr>
          <w:rFonts w:ascii="Times New Roman" w:hAnsi="Times New Roman"/>
          <w:b w:val="0"/>
          <w:sz w:val="20"/>
        </w:rPr>
      </w:pPr>
      <w:r w:rsidRPr="00B07396">
        <w:rPr>
          <w:rFonts w:ascii="Times New Roman" w:hAnsi="Times New Roman"/>
          <w:b w:val="0"/>
          <w:sz w:val="20"/>
        </w:rPr>
        <w:t xml:space="preserve">ABSTRACT </w:t>
      </w:r>
      <w:r w:rsidR="00B67E8C" w:rsidRPr="00B07396">
        <w:rPr>
          <w:rFonts w:ascii="Times New Roman" w:hAnsi="Times New Roman"/>
          <w:b w:val="0"/>
          <w:sz w:val="20"/>
        </w:rPr>
        <w:t>–</w:t>
      </w:r>
      <w:r w:rsidRPr="00B07396">
        <w:rPr>
          <w:rFonts w:ascii="Times New Roman" w:hAnsi="Times New Roman"/>
          <w:b w:val="0"/>
          <w:sz w:val="20"/>
        </w:rPr>
        <w:t xml:space="preserve"> </w:t>
      </w:r>
      <w:r w:rsidR="00B67E8C" w:rsidRPr="00B07396">
        <w:rPr>
          <w:rFonts w:ascii="Times New Roman" w:hAnsi="Times New Roman"/>
          <w:b w:val="0"/>
          <w:sz w:val="20"/>
        </w:rPr>
        <w:t xml:space="preserve">Trimetallic lamellar double hydroxides with different dicarboxylic anions and their corresponding mixed oxides were prepared by co-precipitation at fixed pH; with two options for temperature, </w:t>
      </w:r>
      <w:proofErr w:type="gramStart"/>
      <w:r w:rsidR="00B67E8C" w:rsidRPr="00B07396">
        <w:rPr>
          <w:rFonts w:ascii="Times New Roman" w:hAnsi="Times New Roman"/>
          <w:b w:val="0"/>
          <w:sz w:val="20"/>
        </w:rPr>
        <w:t>pH</w:t>
      </w:r>
      <w:proofErr w:type="gramEnd"/>
      <w:r w:rsidR="00B67E8C" w:rsidRPr="00B07396">
        <w:rPr>
          <w:rFonts w:ascii="Times New Roman" w:hAnsi="Times New Roman"/>
          <w:b w:val="0"/>
          <w:sz w:val="20"/>
        </w:rPr>
        <w:t xml:space="preserve"> and anion. Thus, a 2</w:t>
      </w:r>
      <w:r w:rsidR="00B67E8C" w:rsidRPr="00B07396">
        <w:rPr>
          <w:rFonts w:ascii="Times New Roman" w:hAnsi="Times New Roman"/>
          <w:b w:val="0"/>
          <w:sz w:val="20"/>
          <w:vertAlign w:val="superscript"/>
        </w:rPr>
        <w:t xml:space="preserve">3 </w:t>
      </w:r>
      <w:r w:rsidR="00B67E8C" w:rsidRPr="00B07396">
        <w:rPr>
          <w:rFonts w:ascii="Times New Roman" w:hAnsi="Times New Roman"/>
          <w:b w:val="0"/>
          <w:sz w:val="20"/>
        </w:rPr>
        <w:t>factorial was used to evaluate the effect of these variables on the surface area and pore volume of the derived mixed oxides</w:t>
      </w:r>
      <w:r w:rsidR="00402EEB" w:rsidRPr="00B07396">
        <w:rPr>
          <w:rFonts w:ascii="Times New Roman" w:hAnsi="Times New Roman"/>
          <w:b w:val="0"/>
          <w:sz w:val="20"/>
        </w:rPr>
        <w:t xml:space="preserve"> obtained after calcination</w:t>
      </w:r>
      <w:r w:rsidR="00B67E8C" w:rsidRPr="00B07396">
        <w:rPr>
          <w:rFonts w:ascii="Times New Roman" w:hAnsi="Times New Roman"/>
          <w:b w:val="0"/>
          <w:sz w:val="20"/>
        </w:rPr>
        <w:t xml:space="preserve">. The factorial study showed that the length of the dicarboxylic anion was the significant variable for both responses. The HDL samples showed well-preserved XRD peaks related to indices 003, 006 and 009 with basal spacing equivalent to the anions used, the FTIR spectrum showed absorptions related to anions and metals. Absorptions related to nitrate were not detected, however weak absorptions related to carbonate were found in two samples. On average, the use of </w:t>
      </w:r>
      <w:proofErr w:type="spellStart"/>
      <w:r w:rsidR="00B67E8C" w:rsidRPr="00B07396">
        <w:rPr>
          <w:rFonts w:ascii="Times New Roman" w:hAnsi="Times New Roman"/>
          <w:b w:val="0"/>
          <w:sz w:val="20"/>
        </w:rPr>
        <w:t>sebacate</w:t>
      </w:r>
      <w:proofErr w:type="spellEnd"/>
      <w:r w:rsidR="00B67E8C" w:rsidRPr="00B07396">
        <w:rPr>
          <w:rFonts w:ascii="Times New Roman" w:hAnsi="Times New Roman"/>
          <w:b w:val="0"/>
          <w:sz w:val="20"/>
        </w:rPr>
        <w:t xml:space="preserve"> in relation to succinate was able to increase the surface area by </w:t>
      </w:r>
      <w:r w:rsidR="00976017" w:rsidRPr="00B07396">
        <w:rPr>
          <w:rFonts w:ascii="Times New Roman" w:hAnsi="Times New Roman"/>
          <w:b w:val="0"/>
          <w:sz w:val="20"/>
        </w:rPr>
        <w:t>32</w:t>
      </w:r>
      <w:r w:rsidR="00B67E8C" w:rsidRPr="00B07396">
        <w:rPr>
          <w:rFonts w:ascii="Times New Roman" w:hAnsi="Times New Roman"/>
          <w:b w:val="0"/>
          <w:sz w:val="20"/>
        </w:rPr>
        <w:t xml:space="preserve">% and the pore volume by </w:t>
      </w:r>
      <w:r w:rsidR="00896E35" w:rsidRPr="00B07396">
        <w:rPr>
          <w:rFonts w:ascii="Times New Roman" w:hAnsi="Times New Roman"/>
          <w:b w:val="0"/>
          <w:sz w:val="20"/>
        </w:rPr>
        <w:t>6</w:t>
      </w:r>
      <w:r w:rsidR="00976017" w:rsidRPr="00B07396">
        <w:rPr>
          <w:rFonts w:ascii="Times New Roman" w:hAnsi="Times New Roman"/>
          <w:b w:val="0"/>
          <w:sz w:val="20"/>
        </w:rPr>
        <w:t>4</w:t>
      </w:r>
      <w:r w:rsidR="00B67E8C" w:rsidRPr="00B07396">
        <w:rPr>
          <w:rFonts w:ascii="Times New Roman" w:hAnsi="Times New Roman"/>
          <w:b w:val="0"/>
          <w:sz w:val="20"/>
        </w:rPr>
        <w:t>% of the mixed oxides.</w:t>
      </w:r>
    </w:p>
    <w:p w14:paraId="48D9B0C4" w14:textId="2E0C7A9C" w:rsidR="00EA4E1B" w:rsidRPr="00B07396" w:rsidRDefault="00EA4E1B" w:rsidP="00862528">
      <w:pPr>
        <w:pStyle w:val="BDAbstract"/>
        <w:spacing w:before="0" w:after="120" w:line="240" w:lineRule="auto"/>
        <w:sectPr w:rsidR="00EA4E1B" w:rsidRPr="00B07396" w:rsidSect="00EA4E1B">
          <w:headerReference w:type="default" r:id="rId8"/>
          <w:endnotePr>
            <w:numFmt w:val="decimal"/>
          </w:endnotePr>
          <w:pgSz w:w="11906" w:h="16838"/>
          <w:pgMar w:top="1418" w:right="1094" w:bottom="1418" w:left="567" w:header="709" w:footer="709" w:gutter="0"/>
          <w:cols w:space="708"/>
          <w:docGrid w:linePitch="360"/>
        </w:sectPr>
      </w:pPr>
      <w:r w:rsidRPr="00B07396">
        <w:rPr>
          <w:rFonts w:ascii="Times New Roman" w:hAnsi="Times New Roman"/>
          <w:b w:val="0"/>
          <w:i/>
          <w:sz w:val="20"/>
        </w:rPr>
        <w:t xml:space="preserve">Keywords: </w:t>
      </w:r>
      <w:bookmarkEnd w:id="1"/>
      <w:r w:rsidR="00862528" w:rsidRPr="00B07396">
        <w:rPr>
          <w:rFonts w:ascii="Times New Roman" w:hAnsi="Times New Roman"/>
          <w:b w:val="0"/>
          <w:i/>
          <w:sz w:val="20"/>
        </w:rPr>
        <w:t>lamellar double hydroxide, factorial design, mixed oxide, co-precipitation, mesopores.</w:t>
      </w:r>
    </w:p>
    <w:p w14:paraId="625F2C0A" w14:textId="77777777" w:rsidR="00EA4E1B" w:rsidRPr="00B07396" w:rsidRDefault="00EA4E1B" w:rsidP="00EA4E1B">
      <w:pPr>
        <w:pStyle w:val="Ttulo2"/>
        <w:spacing w:before="0"/>
        <w:rPr>
          <w:rFonts w:ascii="Helvetica" w:hAnsi="Helvetica" w:cs="Helvetica"/>
          <w:sz w:val="24"/>
          <w:szCs w:val="24"/>
        </w:rPr>
      </w:pPr>
      <w:r w:rsidRPr="00B07396">
        <w:rPr>
          <w:rFonts w:ascii="Helvetica" w:hAnsi="Helvetica" w:cs="Helvetica"/>
          <w:sz w:val="24"/>
          <w:szCs w:val="24"/>
        </w:rPr>
        <w:t>Introdução</w:t>
      </w:r>
    </w:p>
    <w:p w14:paraId="6F7EE327" w14:textId="42463A61" w:rsidR="00296938" w:rsidRPr="00B07396" w:rsidRDefault="00296938" w:rsidP="00526CA7">
      <w:pPr>
        <w:pStyle w:val="TAMainText"/>
        <w:rPr>
          <w:rFonts w:ascii="Times New Roman" w:hAnsi="Times New Roman"/>
          <w:lang w:val="pt-BR"/>
        </w:rPr>
      </w:pPr>
      <w:r w:rsidRPr="00B07396">
        <w:rPr>
          <w:rFonts w:ascii="Times New Roman" w:hAnsi="Times New Roman"/>
          <w:lang w:val="pt-BR"/>
        </w:rPr>
        <w:t xml:space="preserve">Hidróxidos duplos lamelares (HDL) ou compostos tipo </w:t>
      </w:r>
      <w:proofErr w:type="spellStart"/>
      <w:r w:rsidRPr="00B07396">
        <w:rPr>
          <w:rFonts w:ascii="Times New Roman" w:hAnsi="Times New Roman"/>
          <w:lang w:val="pt-BR"/>
        </w:rPr>
        <w:t>hidrotalcita</w:t>
      </w:r>
      <w:proofErr w:type="spellEnd"/>
      <w:r w:rsidRPr="00B07396">
        <w:rPr>
          <w:rFonts w:ascii="Times New Roman" w:hAnsi="Times New Roman"/>
          <w:lang w:val="pt-BR"/>
        </w:rPr>
        <w:t xml:space="preserve"> são argilas aniônicas que possuem a fórmula </w:t>
      </w:r>
      <w:r w:rsidR="00506B27" w:rsidRPr="00B07396">
        <w:rPr>
          <w:rFonts w:ascii="Times New Roman" w:hAnsi="Times New Roman"/>
          <w:lang w:val="pt-BR"/>
        </w:rPr>
        <w:t>[M(II)</w:t>
      </w:r>
      <w:r w:rsidR="00506B27" w:rsidRPr="00B07396">
        <w:rPr>
          <w:rFonts w:ascii="Times New Roman" w:hAnsi="Times New Roman"/>
          <w:vertAlign w:val="subscript"/>
          <w:lang w:val="pt-BR"/>
        </w:rPr>
        <w:t>1-</w:t>
      </w:r>
      <w:proofErr w:type="gramStart"/>
      <w:r w:rsidR="00506B27" w:rsidRPr="00B07396">
        <w:rPr>
          <w:rFonts w:ascii="Times New Roman" w:hAnsi="Times New Roman"/>
          <w:vertAlign w:val="subscript"/>
          <w:lang w:val="pt-BR"/>
        </w:rPr>
        <w:t>x</w:t>
      </w:r>
      <w:r w:rsidR="00506B27" w:rsidRPr="00B07396">
        <w:rPr>
          <w:rFonts w:ascii="Times New Roman" w:hAnsi="Times New Roman"/>
          <w:lang w:val="pt-BR"/>
        </w:rPr>
        <w:t>M(</w:t>
      </w:r>
      <w:proofErr w:type="gramEnd"/>
      <w:r w:rsidR="00506B27" w:rsidRPr="00B07396">
        <w:rPr>
          <w:rFonts w:ascii="Times New Roman" w:hAnsi="Times New Roman"/>
          <w:lang w:val="pt-BR"/>
        </w:rPr>
        <w:t>III)</w:t>
      </w:r>
      <w:r w:rsidR="00506B27" w:rsidRPr="00B07396">
        <w:rPr>
          <w:rFonts w:ascii="Times New Roman" w:hAnsi="Times New Roman"/>
          <w:vertAlign w:val="subscript"/>
          <w:lang w:val="pt-BR"/>
        </w:rPr>
        <w:t>x</w:t>
      </w:r>
      <w:r w:rsidR="00506B27" w:rsidRPr="00B07396">
        <w:rPr>
          <w:rFonts w:ascii="Times New Roman" w:hAnsi="Times New Roman"/>
          <w:lang w:val="pt-BR"/>
        </w:rPr>
        <w:t>]</w:t>
      </w:r>
      <w:r w:rsidR="00506B27" w:rsidRPr="00B07396">
        <w:rPr>
          <w:rFonts w:ascii="Times New Roman" w:hAnsi="Times New Roman"/>
          <w:vertAlign w:val="superscript"/>
          <w:lang w:val="pt-BR"/>
        </w:rPr>
        <w:t>x+:</w:t>
      </w:r>
      <w:r w:rsidR="00506B27" w:rsidRPr="00B07396">
        <w:rPr>
          <w:rFonts w:ascii="Times New Roman" w:hAnsi="Times New Roman"/>
          <w:lang w:val="pt-BR"/>
        </w:rPr>
        <w:t>(OH)</w:t>
      </w:r>
      <w:r w:rsidR="00506B27" w:rsidRPr="00B07396">
        <w:rPr>
          <w:rFonts w:ascii="Times New Roman" w:hAnsi="Times New Roman"/>
          <w:vertAlign w:val="subscript"/>
          <w:lang w:val="pt-BR"/>
        </w:rPr>
        <w:t>2</w:t>
      </w:r>
      <w:r w:rsidR="00506B27" w:rsidRPr="00B07396">
        <w:rPr>
          <w:rFonts w:ascii="Times New Roman" w:hAnsi="Times New Roman"/>
          <w:lang w:val="pt-BR"/>
        </w:rPr>
        <w:t>A</w:t>
      </w:r>
      <w:r w:rsidR="00506B27" w:rsidRPr="00B07396">
        <w:rPr>
          <w:rFonts w:ascii="Times New Roman" w:hAnsi="Times New Roman"/>
          <w:vertAlign w:val="superscript"/>
          <w:lang w:val="pt-BR"/>
        </w:rPr>
        <w:t>n-</w:t>
      </w:r>
      <w:r w:rsidR="00506B27" w:rsidRPr="00B07396">
        <w:rPr>
          <w:rFonts w:ascii="Times New Roman" w:hAnsi="Times New Roman"/>
          <w:vertAlign w:val="subscript"/>
          <w:lang w:val="pt-BR"/>
        </w:rPr>
        <w:t>x/n</w:t>
      </w:r>
      <w:r w:rsidR="00506B27" w:rsidRPr="00B07396">
        <w:rPr>
          <w:rFonts w:ascii="Times New Roman" w:hAnsi="Times New Roman"/>
          <w:lang w:val="pt-BR"/>
        </w:rPr>
        <w:t>.mH</w:t>
      </w:r>
      <w:r w:rsidR="00506B27" w:rsidRPr="00B07396">
        <w:rPr>
          <w:rFonts w:ascii="Times New Roman" w:hAnsi="Times New Roman"/>
          <w:vertAlign w:val="subscript"/>
          <w:lang w:val="pt-BR"/>
        </w:rPr>
        <w:t>2</w:t>
      </w:r>
      <w:r w:rsidR="00506B27" w:rsidRPr="00B07396">
        <w:rPr>
          <w:rFonts w:ascii="Times New Roman" w:hAnsi="Times New Roman"/>
          <w:lang w:val="pt-BR"/>
        </w:rPr>
        <w:t>O</w:t>
      </w:r>
      <w:r w:rsidRPr="00B07396">
        <w:rPr>
          <w:rFonts w:ascii="Times New Roman" w:hAnsi="Times New Roman"/>
          <w:lang w:val="pt-BR"/>
        </w:rPr>
        <w:t xml:space="preserve">, onde M(II) e M(III) são cátions metálicos </w:t>
      </w:r>
      <w:proofErr w:type="spellStart"/>
      <w:r w:rsidRPr="00B07396">
        <w:rPr>
          <w:rFonts w:ascii="Times New Roman" w:hAnsi="Times New Roman"/>
          <w:lang w:val="pt-BR"/>
        </w:rPr>
        <w:t>di</w:t>
      </w:r>
      <w:proofErr w:type="spellEnd"/>
      <w:r w:rsidRPr="00B07396">
        <w:rPr>
          <w:rFonts w:ascii="Times New Roman" w:hAnsi="Times New Roman"/>
          <w:lang w:val="pt-BR"/>
        </w:rPr>
        <w:t xml:space="preserve"> e trivalente respectivamente, x é a fração molar entre o cátion trivalente e os cátions totais  e </w:t>
      </w:r>
      <w:proofErr w:type="spellStart"/>
      <w:r w:rsidRPr="00B07396">
        <w:rPr>
          <w:rFonts w:ascii="Times New Roman" w:hAnsi="Times New Roman"/>
          <w:lang w:val="pt-BR"/>
        </w:rPr>
        <w:t>A</w:t>
      </w:r>
      <w:r w:rsidRPr="00B07396">
        <w:rPr>
          <w:rFonts w:ascii="Times New Roman" w:hAnsi="Times New Roman"/>
          <w:vertAlign w:val="superscript"/>
          <w:lang w:val="pt-BR"/>
        </w:rPr>
        <w:t>n</w:t>
      </w:r>
      <w:proofErr w:type="spellEnd"/>
      <w:r w:rsidRPr="00B07396">
        <w:rPr>
          <w:rFonts w:ascii="Times New Roman" w:hAnsi="Times New Roman"/>
          <w:vertAlign w:val="superscript"/>
          <w:lang w:val="pt-BR"/>
        </w:rPr>
        <w:t>-</w:t>
      </w:r>
      <w:r w:rsidRPr="00B07396">
        <w:rPr>
          <w:rFonts w:ascii="Times New Roman" w:hAnsi="Times New Roman"/>
          <w:lang w:val="pt-BR"/>
        </w:rPr>
        <w:t xml:space="preserve">  é um ânion de compensação localizado no espaço </w:t>
      </w:r>
      <w:proofErr w:type="spellStart"/>
      <w:r w:rsidRPr="00B07396">
        <w:rPr>
          <w:rFonts w:ascii="Times New Roman" w:hAnsi="Times New Roman"/>
          <w:lang w:val="pt-BR"/>
        </w:rPr>
        <w:t>interlamelar</w:t>
      </w:r>
      <w:proofErr w:type="spellEnd"/>
      <w:r w:rsidRPr="00B07396">
        <w:rPr>
          <w:rFonts w:ascii="Times New Roman" w:hAnsi="Times New Roman"/>
          <w:lang w:val="pt-BR"/>
        </w:rPr>
        <w:t xml:space="preserve"> </w:t>
      </w:r>
      <w:r w:rsidR="00CA335D" w:rsidRPr="00B07396">
        <w:rPr>
          <w:rFonts w:ascii="Times New Roman" w:hAnsi="Times New Roman"/>
          <w:lang w:val="pt-BR"/>
        </w:rPr>
        <w:t>(</w:t>
      </w:r>
      <w:r w:rsidRPr="00B07396">
        <w:rPr>
          <w:rFonts w:ascii="Times New Roman" w:hAnsi="Times New Roman"/>
          <w:lang w:val="pt-BR"/>
        </w:rPr>
        <w:t>1,2</w:t>
      </w:r>
      <w:r w:rsidR="00CA335D" w:rsidRPr="00B07396">
        <w:rPr>
          <w:rFonts w:ascii="Times New Roman" w:hAnsi="Times New Roman"/>
          <w:lang w:val="pt-BR"/>
        </w:rPr>
        <w:t>)</w:t>
      </w:r>
      <w:r w:rsidRPr="00B07396">
        <w:rPr>
          <w:rFonts w:ascii="Times New Roman" w:hAnsi="Times New Roman"/>
          <w:lang w:val="pt-BR"/>
        </w:rPr>
        <w:t xml:space="preserve">.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vêm ganhando destaque em diversas áreas como catálise heterogênea, biomedicina, eletroquímica, </w:t>
      </w:r>
      <w:proofErr w:type="spellStart"/>
      <w:r w:rsidRPr="00B07396">
        <w:rPr>
          <w:rFonts w:ascii="Times New Roman" w:hAnsi="Times New Roman"/>
          <w:lang w:val="pt-BR"/>
        </w:rPr>
        <w:t>retardância</w:t>
      </w:r>
      <w:proofErr w:type="spellEnd"/>
      <w:r w:rsidRPr="00B07396">
        <w:rPr>
          <w:rFonts w:ascii="Times New Roman" w:hAnsi="Times New Roman"/>
          <w:lang w:val="pt-BR"/>
        </w:rPr>
        <w:t xml:space="preserve"> de chamas, tratamento de água, </w:t>
      </w:r>
      <w:proofErr w:type="spellStart"/>
      <w:r w:rsidRPr="00B07396">
        <w:rPr>
          <w:rFonts w:ascii="Times New Roman" w:hAnsi="Times New Roman"/>
          <w:lang w:val="pt-BR"/>
        </w:rPr>
        <w:t>nanocompósitos</w:t>
      </w:r>
      <w:proofErr w:type="spellEnd"/>
      <w:r w:rsidRPr="00B07396">
        <w:rPr>
          <w:rFonts w:ascii="Times New Roman" w:hAnsi="Times New Roman"/>
          <w:lang w:val="pt-BR"/>
        </w:rPr>
        <w:t xml:space="preserve"> etc. devido a presença de propriedades naturais interessantes como: atividade catalítica básica, a</w:t>
      </w:r>
      <w:r w:rsidR="00E709B4" w:rsidRPr="00B07396">
        <w:rPr>
          <w:rFonts w:ascii="Times New Roman" w:hAnsi="Times New Roman"/>
          <w:lang w:val="pt-BR"/>
        </w:rPr>
        <w:t>d</w:t>
      </w:r>
      <w:r w:rsidRPr="00B07396">
        <w:rPr>
          <w:rFonts w:ascii="Times New Roman" w:hAnsi="Times New Roman"/>
          <w:lang w:val="pt-BR"/>
        </w:rPr>
        <w:t>sorventes, trocadores e a formação de óxidos mistos estáveis</w:t>
      </w:r>
      <w:r w:rsidR="00503A11" w:rsidRPr="00B07396">
        <w:rPr>
          <w:rFonts w:ascii="Times New Roman" w:hAnsi="Times New Roman"/>
          <w:lang w:val="pt-BR"/>
        </w:rPr>
        <w:t xml:space="preserve"> (</w:t>
      </w:r>
      <w:r w:rsidRPr="00B07396">
        <w:rPr>
          <w:rFonts w:ascii="Times New Roman" w:hAnsi="Times New Roman"/>
          <w:lang w:val="pt-BR"/>
        </w:rPr>
        <w:t>1,2</w:t>
      </w:r>
      <w:r w:rsidR="00503A11" w:rsidRPr="00B07396">
        <w:rPr>
          <w:rFonts w:ascii="Times New Roman" w:hAnsi="Times New Roman"/>
          <w:lang w:val="pt-BR"/>
        </w:rPr>
        <w:t>).</w:t>
      </w:r>
      <w:r w:rsidR="00526CA7" w:rsidRPr="00B07396">
        <w:rPr>
          <w:rFonts w:ascii="Times New Roman" w:hAnsi="Times New Roman"/>
          <w:lang w:val="pt-BR"/>
        </w:rPr>
        <w:t xml:space="preserve"> </w:t>
      </w:r>
      <w:r w:rsidRPr="00B07396">
        <w:rPr>
          <w:rFonts w:ascii="Times New Roman" w:hAnsi="Times New Roman"/>
          <w:lang w:val="pt-BR"/>
        </w:rPr>
        <w:t xml:space="preserve">Mas a síntese de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possui algumas </w:t>
      </w:r>
      <w:r w:rsidR="00AB4956" w:rsidRPr="00B07396">
        <w:rPr>
          <w:rFonts w:ascii="Times New Roman" w:hAnsi="Times New Roman"/>
          <w:lang w:val="pt-BR"/>
        </w:rPr>
        <w:t>condi</w:t>
      </w:r>
      <w:r w:rsidRPr="00B07396">
        <w:rPr>
          <w:rFonts w:ascii="Times New Roman" w:hAnsi="Times New Roman"/>
          <w:lang w:val="pt-BR"/>
        </w:rPr>
        <w:t>ções,</w:t>
      </w:r>
      <w:r w:rsidR="00526CA7" w:rsidRPr="00B07396">
        <w:rPr>
          <w:rFonts w:ascii="Times New Roman" w:hAnsi="Times New Roman"/>
          <w:lang w:val="pt-BR"/>
        </w:rPr>
        <w:t xml:space="preserve"> tais como:</w:t>
      </w:r>
      <w:r w:rsidRPr="00B07396">
        <w:rPr>
          <w:rFonts w:ascii="Times New Roman" w:hAnsi="Times New Roman"/>
          <w:lang w:val="pt-BR"/>
        </w:rPr>
        <w:t xml:space="preserve"> raio iônico similares</w:t>
      </w:r>
      <w:r w:rsidR="00526CA7" w:rsidRPr="00B07396">
        <w:rPr>
          <w:rFonts w:ascii="Times New Roman" w:hAnsi="Times New Roman"/>
          <w:lang w:val="pt-BR"/>
        </w:rPr>
        <w:t xml:space="preserve"> dos cátions</w:t>
      </w:r>
      <w:r w:rsidRPr="00B07396">
        <w:rPr>
          <w:rFonts w:ascii="Times New Roman" w:hAnsi="Times New Roman"/>
          <w:lang w:val="pt-BR"/>
        </w:rPr>
        <w:t xml:space="preserve"> para que haja uma substituição isomórfica que não desestabilize a rede</w:t>
      </w:r>
      <w:r w:rsidR="00206552" w:rsidRPr="00B07396">
        <w:rPr>
          <w:rFonts w:ascii="Times New Roman" w:hAnsi="Times New Roman"/>
          <w:lang w:val="pt-BR"/>
        </w:rPr>
        <w:t xml:space="preserve"> (</w:t>
      </w:r>
      <w:r w:rsidRPr="00B07396">
        <w:rPr>
          <w:rFonts w:ascii="Times New Roman" w:hAnsi="Times New Roman"/>
          <w:lang w:val="pt-BR"/>
        </w:rPr>
        <w:t>1,3</w:t>
      </w:r>
      <w:r w:rsidR="00206552" w:rsidRPr="00B07396">
        <w:rPr>
          <w:rFonts w:ascii="Times New Roman" w:hAnsi="Times New Roman"/>
          <w:lang w:val="pt-BR"/>
        </w:rPr>
        <w:t>)</w:t>
      </w:r>
      <w:r w:rsidRPr="00B07396">
        <w:rPr>
          <w:rFonts w:ascii="Times New Roman" w:hAnsi="Times New Roman"/>
          <w:lang w:val="pt-BR"/>
        </w:rPr>
        <w:t>. Outr</w:t>
      </w:r>
      <w:r w:rsidR="008E60C9" w:rsidRPr="00B07396">
        <w:rPr>
          <w:rFonts w:ascii="Times New Roman" w:hAnsi="Times New Roman"/>
          <w:lang w:val="pt-BR"/>
        </w:rPr>
        <w:t>a</w:t>
      </w:r>
      <w:r w:rsidRPr="00B07396">
        <w:rPr>
          <w:rFonts w:ascii="Times New Roman" w:hAnsi="Times New Roman"/>
          <w:lang w:val="pt-BR"/>
        </w:rPr>
        <w:t xml:space="preserve"> </w:t>
      </w:r>
      <w:r w:rsidR="008E60C9" w:rsidRPr="00B07396">
        <w:rPr>
          <w:rFonts w:ascii="Times New Roman" w:hAnsi="Times New Roman"/>
          <w:lang w:val="pt-BR"/>
        </w:rPr>
        <w:t>con</w:t>
      </w:r>
      <w:r w:rsidR="0019571E" w:rsidRPr="00B07396">
        <w:rPr>
          <w:rFonts w:ascii="Times New Roman" w:hAnsi="Times New Roman"/>
          <w:lang w:val="pt-BR"/>
        </w:rPr>
        <w:t xml:space="preserve">dição para a síntese de </w:t>
      </w:r>
      <w:proofErr w:type="spellStart"/>
      <w:r w:rsidR="0019571E" w:rsidRPr="00B07396">
        <w:rPr>
          <w:rFonts w:ascii="Times New Roman" w:hAnsi="Times New Roman"/>
          <w:lang w:val="pt-BR"/>
        </w:rPr>
        <w:t>HDLs</w:t>
      </w:r>
      <w:proofErr w:type="spellEnd"/>
      <w:r w:rsidR="0019571E" w:rsidRPr="00B07396">
        <w:rPr>
          <w:rFonts w:ascii="Times New Roman" w:hAnsi="Times New Roman"/>
          <w:lang w:val="pt-BR"/>
        </w:rPr>
        <w:t xml:space="preserve"> cristalinos puros</w:t>
      </w:r>
      <w:r w:rsidRPr="00B07396">
        <w:rPr>
          <w:rFonts w:ascii="Times New Roman" w:hAnsi="Times New Roman"/>
          <w:lang w:val="pt-BR"/>
        </w:rPr>
        <w:t xml:space="preserve"> é a faixa ideal para o valor de x, esta é </w:t>
      </w:r>
      <w:r w:rsidRPr="00B07396">
        <w:rPr>
          <w:rFonts w:ascii="Times New Roman" w:hAnsi="Times New Roman"/>
          <w:lang w:val="pt-BR"/>
        </w:rPr>
        <w:t>normalmente aceita como na faixa de 0,2 e 0,35</w:t>
      </w:r>
      <w:r w:rsidR="00BF7730" w:rsidRPr="00B07396">
        <w:rPr>
          <w:rFonts w:ascii="Times New Roman" w:hAnsi="Times New Roman"/>
          <w:lang w:val="pt-BR"/>
        </w:rPr>
        <w:t>,</w:t>
      </w:r>
      <w:r w:rsidR="00C05D22" w:rsidRPr="00B07396">
        <w:rPr>
          <w:rFonts w:ascii="Times New Roman" w:hAnsi="Times New Roman"/>
          <w:lang w:val="pt-BR"/>
        </w:rPr>
        <w:t xml:space="preserve"> </w:t>
      </w:r>
      <w:r w:rsidR="00885B08" w:rsidRPr="00B07396">
        <w:rPr>
          <w:rFonts w:ascii="Times New Roman" w:hAnsi="Times New Roman"/>
          <w:lang w:val="pt-BR"/>
        </w:rPr>
        <w:t>P</w:t>
      </w:r>
      <w:r w:rsidR="00C05D22" w:rsidRPr="00B07396">
        <w:rPr>
          <w:rFonts w:ascii="Times New Roman" w:hAnsi="Times New Roman"/>
          <w:lang w:val="pt-BR"/>
        </w:rPr>
        <w:t xml:space="preserve">ara valores </w:t>
      </w:r>
      <w:r w:rsidR="00BF7730" w:rsidRPr="00B07396">
        <w:rPr>
          <w:rFonts w:ascii="Times New Roman" w:hAnsi="Times New Roman"/>
          <w:lang w:val="pt-BR"/>
        </w:rPr>
        <w:t xml:space="preserve">fora </w:t>
      </w:r>
      <w:r w:rsidR="00274E65" w:rsidRPr="00B07396">
        <w:rPr>
          <w:rFonts w:ascii="Times New Roman" w:hAnsi="Times New Roman"/>
          <w:lang w:val="pt-BR"/>
        </w:rPr>
        <w:t>menores ou maiores</w:t>
      </w:r>
      <w:r w:rsidR="00C05D22" w:rsidRPr="00B07396">
        <w:rPr>
          <w:rFonts w:ascii="Times New Roman" w:hAnsi="Times New Roman"/>
          <w:lang w:val="pt-BR"/>
        </w:rPr>
        <w:t xml:space="preserve"> de x</w:t>
      </w:r>
      <w:r w:rsidR="00885B08" w:rsidRPr="00B07396">
        <w:rPr>
          <w:rFonts w:ascii="Times New Roman" w:hAnsi="Times New Roman"/>
          <w:lang w:val="pt-BR"/>
        </w:rPr>
        <w:t>, acredita-se</w:t>
      </w:r>
      <w:r w:rsidR="00274E65" w:rsidRPr="00B07396">
        <w:rPr>
          <w:rFonts w:ascii="Times New Roman" w:hAnsi="Times New Roman"/>
          <w:lang w:val="pt-BR"/>
        </w:rPr>
        <w:t xml:space="preserve">, respectivamente, </w:t>
      </w:r>
      <w:proofErr w:type="gramStart"/>
      <w:r w:rsidR="00274E65" w:rsidRPr="00B07396">
        <w:rPr>
          <w:rFonts w:ascii="Times New Roman" w:hAnsi="Times New Roman"/>
          <w:lang w:val="pt-BR"/>
        </w:rPr>
        <w:t>que</w:t>
      </w:r>
      <w:r w:rsidR="00885B08" w:rsidRPr="00B07396">
        <w:rPr>
          <w:rFonts w:ascii="Times New Roman" w:hAnsi="Times New Roman"/>
          <w:lang w:val="pt-BR"/>
        </w:rPr>
        <w:t xml:space="preserve"> </w:t>
      </w:r>
      <w:r w:rsidR="00C05D22" w:rsidRPr="00B07396">
        <w:rPr>
          <w:rFonts w:ascii="Times New Roman" w:hAnsi="Times New Roman"/>
          <w:lang w:val="pt-BR"/>
        </w:rPr>
        <w:t xml:space="preserve"> </w:t>
      </w:r>
      <w:r w:rsidR="00885B08" w:rsidRPr="00B07396">
        <w:rPr>
          <w:rFonts w:ascii="Times New Roman" w:hAnsi="Times New Roman"/>
          <w:lang w:val="pt-BR"/>
        </w:rPr>
        <w:t>haja</w:t>
      </w:r>
      <w:proofErr w:type="gramEnd"/>
      <w:r w:rsidR="00885B08" w:rsidRPr="00B07396">
        <w:rPr>
          <w:rFonts w:ascii="Times New Roman" w:hAnsi="Times New Roman"/>
          <w:lang w:val="pt-BR"/>
        </w:rPr>
        <w:t xml:space="preserve"> a formação de fases </w:t>
      </w:r>
      <w:r w:rsidR="00274E65" w:rsidRPr="00B07396">
        <w:rPr>
          <w:rFonts w:ascii="Times New Roman" w:hAnsi="Times New Roman"/>
          <w:lang w:val="pt-BR"/>
        </w:rPr>
        <w:t xml:space="preserve">amorfas </w:t>
      </w:r>
      <w:r w:rsidR="00885B08" w:rsidRPr="00B07396">
        <w:rPr>
          <w:rFonts w:ascii="Times New Roman" w:hAnsi="Times New Roman"/>
          <w:lang w:val="pt-BR"/>
        </w:rPr>
        <w:t>de Mg(OH)</w:t>
      </w:r>
      <w:r w:rsidR="00841A2B" w:rsidRPr="00B07396">
        <w:rPr>
          <w:rFonts w:ascii="Times New Roman" w:hAnsi="Times New Roman"/>
          <w:vertAlign w:val="subscript"/>
          <w:lang w:val="pt-BR"/>
        </w:rPr>
        <w:t>2</w:t>
      </w:r>
      <w:r w:rsidR="00885B08" w:rsidRPr="00B07396">
        <w:rPr>
          <w:rFonts w:ascii="Times New Roman" w:hAnsi="Times New Roman"/>
          <w:lang w:val="pt-BR"/>
        </w:rPr>
        <w:t xml:space="preserve"> e Al(OH)</w:t>
      </w:r>
      <w:r w:rsidR="00841A2B" w:rsidRPr="00B07396">
        <w:rPr>
          <w:rFonts w:ascii="Times New Roman" w:hAnsi="Times New Roman"/>
          <w:vertAlign w:val="subscript"/>
          <w:lang w:val="pt-BR"/>
        </w:rPr>
        <w:t>3</w:t>
      </w:r>
      <w:r w:rsidRPr="00B07396">
        <w:rPr>
          <w:rFonts w:ascii="Times New Roman" w:hAnsi="Times New Roman"/>
          <w:lang w:val="pt-BR"/>
        </w:rPr>
        <w:t xml:space="preserve"> </w:t>
      </w:r>
      <w:r w:rsidR="00503A11" w:rsidRPr="00B07396">
        <w:rPr>
          <w:rFonts w:ascii="Times New Roman" w:hAnsi="Times New Roman"/>
          <w:lang w:val="pt-BR"/>
        </w:rPr>
        <w:t>(</w:t>
      </w:r>
      <w:r w:rsidRPr="00B07396">
        <w:rPr>
          <w:rFonts w:ascii="Times New Roman" w:hAnsi="Times New Roman"/>
          <w:lang w:val="pt-BR"/>
        </w:rPr>
        <w:t>1,3,4</w:t>
      </w:r>
      <w:r w:rsidR="00503A11" w:rsidRPr="00B07396">
        <w:rPr>
          <w:rFonts w:ascii="Times New Roman" w:hAnsi="Times New Roman"/>
          <w:lang w:val="pt-BR"/>
        </w:rPr>
        <w:t>)</w:t>
      </w:r>
      <w:r w:rsidRPr="00B07396">
        <w:rPr>
          <w:rFonts w:ascii="Times New Roman" w:hAnsi="Times New Roman"/>
          <w:lang w:val="pt-BR"/>
        </w:rPr>
        <w:t xml:space="preserve">. No entanto, já foram reportadas sínteses de </w:t>
      </w:r>
      <w:proofErr w:type="spellStart"/>
      <w:r w:rsidRPr="00B07396">
        <w:rPr>
          <w:rFonts w:ascii="Times New Roman" w:hAnsi="Times New Roman"/>
          <w:lang w:val="pt-BR"/>
        </w:rPr>
        <w:t>hidrotalcitas</w:t>
      </w:r>
      <w:proofErr w:type="spellEnd"/>
      <w:r w:rsidRPr="00B07396">
        <w:rPr>
          <w:rFonts w:ascii="Times New Roman" w:hAnsi="Times New Roman"/>
          <w:lang w:val="pt-BR"/>
        </w:rPr>
        <w:t xml:space="preserve"> com valores de x acima dessa faixa</w:t>
      </w:r>
      <w:r w:rsidR="00762AB0" w:rsidRPr="00B07396">
        <w:rPr>
          <w:rFonts w:ascii="Times New Roman" w:hAnsi="Times New Roman"/>
          <w:lang w:val="pt-BR"/>
        </w:rPr>
        <w:t>,</w:t>
      </w:r>
      <w:r w:rsidRPr="00B07396">
        <w:rPr>
          <w:rFonts w:ascii="Times New Roman" w:hAnsi="Times New Roman"/>
          <w:lang w:val="pt-BR"/>
        </w:rPr>
        <w:t xml:space="preserve"> </w:t>
      </w:r>
      <w:r w:rsidR="00762AB0" w:rsidRPr="00B07396">
        <w:rPr>
          <w:rFonts w:ascii="Times New Roman" w:hAnsi="Times New Roman"/>
          <w:lang w:val="pt-BR"/>
        </w:rPr>
        <w:t>t</w:t>
      </w:r>
      <w:r w:rsidRPr="00B07396">
        <w:rPr>
          <w:rFonts w:ascii="Times New Roman" w:hAnsi="Times New Roman"/>
          <w:lang w:val="pt-BR"/>
        </w:rPr>
        <w:t xml:space="preserve">ambém </w:t>
      </w:r>
      <w:r w:rsidR="00B82374" w:rsidRPr="00B07396">
        <w:rPr>
          <w:rFonts w:ascii="Times New Roman" w:hAnsi="Times New Roman"/>
          <w:lang w:val="pt-BR"/>
        </w:rPr>
        <w:t>se acredita</w:t>
      </w:r>
      <w:r w:rsidRPr="00B07396">
        <w:rPr>
          <w:rFonts w:ascii="Times New Roman" w:hAnsi="Times New Roman"/>
          <w:lang w:val="pt-BR"/>
        </w:rPr>
        <w:t xml:space="preserve"> que os ânions </w:t>
      </w:r>
      <w:proofErr w:type="spellStart"/>
      <w:r w:rsidRPr="00B07396">
        <w:rPr>
          <w:rFonts w:ascii="Times New Roman" w:hAnsi="Times New Roman"/>
          <w:lang w:val="pt-BR"/>
        </w:rPr>
        <w:t>dicarboxílicos</w:t>
      </w:r>
      <w:proofErr w:type="spellEnd"/>
      <w:r w:rsidRPr="00B07396">
        <w:rPr>
          <w:rFonts w:ascii="Times New Roman" w:hAnsi="Times New Roman"/>
          <w:lang w:val="pt-BR"/>
        </w:rPr>
        <w:t xml:space="preserve"> ajudem a estabilizar as fases de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com valores elevados de x, devido a presença de dois grupos aniônicos nas extremidades opostas que interagem com duas lamelas adjacentes de cátions</w:t>
      </w:r>
      <w:r w:rsidR="00503A11" w:rsidRPr="00B07396">
        <w:rPr>
          <w:rFonts w:ascii="Times New Roman" w:hAnsi="Times New Roman"/>
          <w:lang w:val="pt-BR"/>
        </w:rPr>
        <w:t xml:space="preserve"> (</w:t>
      </w:r>
      <w:r w:rsidRPr="00B07396">
        <w:rPr>
          <w:rFonts w:ascii="Times New Roman" w:hAnsi="Times New Roman"/>
          <w:lang w:val="pt-BR"/>
        </w:rPr>
        <w:t>5,6</w:t>
      </w:r>
      <w:r w:rsidR="00503A11" w:rsidRPr="00B07396">
        <w:rPr>
          <w:rFonts w:ascii="Times New Roman" w:hAnsi="Times New Roman"/>
          <w:lang w:val="pt-BR"/>
        </w:rPr>
        <w:t>).</w:t>
      </w:r>
    </w:p>
    <w:p w14:paraId="71DD3A50" w14:textId="2CA49233" w:rsidR="00296938" w:rsidRPr="00B07396" w:rsidRDefault="00296938" w:rsidP="00296938">
      <w:pPr>
        <w:pStyle w:val="TAMainText"/>
        <w:rPr>
          <w:rFonts w:ascii="Times New Roman" w:hAnsi="Times New Roman"/>
          <w:lang w:val="pt-BR"/>
        </w:rPr>
      </w:pPr>
      <w:r w:rsidRPr="00B07396">
        <w:rPr>
          <w:rFonts w:ascii="Times New Roman" w:hAnsi="Times New Roman"/>
          <w:lang w:val="pt-BR"/>
        </w:rPr>
        <w:t xml:space="preserve">Os óxidos mistos obtidos pela calcinação de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possuem propriedades</w:t>
      </w:r>
      <w:r w:rsidR="008B28A2" w:rsidRPr="00B07396">
        <w:rPr>
          <w:rFonts w:ascii="Times New Roman" w:hAnsi="Times New Roman"/>
          <w:lang w:val="pt-BR"/>
        </w:rPr>
        <w:t xml:space="preserve"> de interesse</w:t>
      </w:r>
      <w:r w:rsidRPr="00B07396">
        <w:rPr>
          <w:rFonts w:ascii="Times New Roman" w:hAnsi="Times New Roman"/>
          <w:lang w:val="pt-BR"/>
        </w:rPr>
        <w:t xml:space="preserve">, </w:t>
      </w:r>
      <w:r w:rsidR="00B5660C" w:rsidRPr="00B07396">
        <w:rPr>
          <w:rFonts w:ascii="Times New Roman" w:hAnsi="Times New Roman"/>
          <w:lang w:val="pt-BR"/>
        </w:rPr>
        <w:t>incluindo composição metálic</w:t>
      </w:r>
      <w:r w:rsidR="00762561" w:rsidRPr="00B07396">
        <w:rPr>
          <w:rFonts w:ascii="Times New Roman" w:hAnsi="Times New Roman"/>
          <w:lang w:val="pt-BR"/>
        </w:rPr>
        <w:t xml:space="preserve">a </w:t>
      </w:r>
      <w:r w:rsidR="00887AA5" w:rsidRPr="00B07396">
        <w:rPr>
          <w:rFonts w:ascii="Times New Roman" w:hAnsi="Times New Roman"/>
          <w:lang w:val="pt-BR"/>
        </w:rPr>
        <w:t>de d</w:t>
      </w:r>
      <w:r w:rsidR="00742D3B" w:rsidRPr="00B07396">
        <w:rPr>
          <w:rFonts w:ascii="Times New Roman" w:hAnsi="Times New Roman"/>
          <w:lang w:val="pt-BR"/>
        </w:rPr>
        <w:t>istribuição</w:t>
      </w:r>
      <w:r w:rsidR="00887AA5" w:rsidRPr="00B07396">
        <w:rPr>
          <w:rFonts w:ascii="Times New Roman" w:hAnsi="Times New Roman"/>
          <w:lang w:val="pt-BR"/>
        </w:rPr>
        <w:t xml:space="preserve"> homogênea e teores dependentes dos utilizados na síntese</w:t>
      </w:r>
      <w:r w:rsidRPr="00B07396">
        <w:rPr>
          <w:rFonts w:ascii="Times New Roman" w:hAnsi="Times New Roman"/>
          <w:lang w:val="pt-BR"/>
        </w:rPr>
        <w:t>, área superficial e volume de poros elevados, além do chamado "efeito memória”, a recuperação do HDL quando entram em contato com soluções aquosas com ânions</w:t>
      </w:r>
      <w:r w:rsidR="00CE0B13" w:rsidRPr="00B07396">
        <w:rPr>
          <w:rFonts w:ascii="Times New Roman" w:hAnsi="Times New Roman"/>
          <w:lang w:val="pt-BR"/>
        </w:rPr>
        <w:t xml:space="preserve"> </w:t>
      </w:r>
      <w:r w:rsidR="007C4C5C" w:rsidRPr="00B07396">
        <w:rPr>
          <w:rFonts w:ascii="Times New Roman" w:hAnsi="Times New Roman"/>
          <w:lang w:val="pt-BR"/>
        </w:rPr>
        <w:t>e incluindo o</w:t>
      </w:r>
      <w:r w:rsidR="0047192A" w:rsidRPr="00B07396">
        <w:rPr>
          <w:rFonts w:ascii="Times New Roman" w:hAnsi="Times New Roman"/>
          <w:lang w:val="pt-BR"/>
        </w:rPr>
        <w:t xml:space="preserve"> CO</w:t>
      </w:r>
      <w:r w:rsidR="0047192A" w:rsidRPr="00B07396">
        <w:rPr>
          <w:rFonts w:ascii="Times New Roman" w:hAnsi="Times New Roman"/>
          <w:vertAlign w:val="subscript"/>
          <w:lang w:val="pt-BR"/>
        </w:rPr>
        <w:t>2</w:t>
      </w:r>
      <w:r w:rsidR="002C7352" w:rsidRPr="00B07396">
        <w:rPr>
          <w:rFonts w:ascii="Times New Roman" w:hAnsi="Times New Roman"/>
          <w:lang w:val="pt-BR"/>
        </w:rPr>
        <w:t xml:space="preserve"> atmosférico</w:t>
      </w:r>
      <w:r w:rsidR="00B25CA6" w:rsidRPr="00B07396">
        <w:rPr>
          <w:rFonts w:ascii="Times New Roman" w:hAnsi="Times New Roman"/>
          <w:lang w:val="pt-BR"/>
        </w:rPr>
        <w:t xml:space="preserve"> </w:t>
      </w:r>
      <w:r w:rsidR="00503A11" w:rsidRPr="00B07396">
        <w:rPr>
          <w:rFonts w:ascii="Times New Roman" w:hAnsi="Times New Roman"/>
          <w:lang w:val="pt-BR"/>
        </w:rPr>
        <w:t>(</w:t>
      </w:r>
      <w:r w:rsidRPr="00B07396">
        <w:rPr>
          <w:rFonts w:ascii="Times New Roman" w:hAnsi="Times New Roman"/>
          <w:lang w:val="pt-BR"/>
        </w:rPr>
        <w:t>1</w:t>
      </w:r>
      <w:r w:rsidR="00503A11" w:rsidRPr="00B07396">
        <w:rPr>
          <w:rFonts w:ascii="Times New Roman" w:hAnsi="Times New Roman"/>
          <w:lang w:val="pt-BR"/>
        </w:rPr>
        <w:t>)</w:t>
      </w:r>
      <w:r w:rsidRPr="00B07396">
        <w:rPr>
          <w:rFonts w:ascii="Times New Roman" w:hAnsi="Times New Roman"/>
          <w:lang w:val="pt-BR"/>
        </w:rPr>
        <w:t>.</w:t>
      </w:r>
    </w:p>
    <w:p w14:paraId="6DB850C6" w14:textId="53EA0784" w:rsidR="00EA4E1B" w:rsidRPr="00B07396" w:rsidRDefault="00296938" w:rsidP="00296938">
      <w:pPr>
        <w:pStyle w:val="TAMainText"/>
        <w:rPr>
          <w:rFonts w:ascii="Times New Roman" w:hAnsi="Times New Roman"/>
          <w:b/>
          <w:lang w:val="pt-BR"/>
        </w:rPr>
      </w:pPr>
      <w:r w:rsidRPr="00B07396">
        <w:rPr>
          <w:rFonts w:ascii="Times New Roman" w:hAnsi="Times New Roman"/>
          <w:lang w:val="pt-BR"/>
        </w:rPr>
        <w:lastRenderedPageBreak/>
        <w:t xml:space="preserve">Sendo assim, o presente trabalho buscou sínteses planejadas avaliando diferentes fatores de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w:t>
      </w:r>
      <w:proofErr w:type="spellStart"/>
      <w:r w:rsidRPr="00B07396">
        <w:rPr>
          <w:rFonts w:ascii="Times New Roman" w:hAnsi="Times New Roman"/>
          <w:lang w:val="pt-BR"/>
        </w:rPr>
        <w:t>trimetálicos</w:t>
      </w:r>
      <w:proofErr w:type="spellEnd"/>
      <w:r w:rsidRPr="00B07396">
        <w:rPr>
          <w:rFonts w:ascii="Times New Roman" w:hAnsi="Times New Roman"/>
          <w:lang w:val="pt-BR"/>
        </w:rPr>
        <w:t xml:space="preserve"> com Co, Mg e Al de fração molar x de 0,5 pelo método da </w:t>
      </w:r>
      <w:proofErr w:type="spellStart"/>
      <w:r w:rsidRPr="00B07396">
        <w:rPr>
          <w:rFonts w:ascii="Times New Roman" w:hAnsi="Times New Roman"/>
          <w:lang w:val="pt-BR"/>
        </w:rPr>
        <w:t>co-precipitação</w:t>
      </w:r>
      <w:proofErr w:type="spellEnd"/>
      <w:r w:rsidRPr="00B07396">
        <w:rPr>
          <w:rFonts w:ascii="Times New Roman" w:hAnsi="Times New Roman"/>
          <w:lang w:val="pt-BR"/>
        </w:rPr>
        <w:t xml:space="preserve"> a pH controlado e o preparo dos seus respectivos óxidos mistos por tratamento térmico. Os compostos de HDL sintetizados foram avaliados</w:t>
      </w:r>
      <w:r w:rsidR="00D7732E" w:rsidRPr="00B07396">
        <w:rPr>
          <w:rFonts w:ascii="Times New Roman" w:hAnsi="Times New Roman"/>
          <w:lang w:val="pt-BR"/>
        </w:rPr>
        <w:t xml:space="preserve"> por</w:t>
      </w:r>
      <w:r w:rsidRPr="00B07396">
        <w:rPr>
          <w:rFonts w:ascii="Times New Roman" w:hAnsi="Times New Roman"/>
          <w:lang w:val="pt-BR"/>
        </w:rPr>
        <w:t xml:space="preserve"> FTIR e DRX e os óxidos mistos obtidos por </w:t>
      </w:r>
      <w:proofErr w:type="spellStart"/>
      <w:r w:rsidRPr="00B07396">
        <w:rPr>
          <w:rFonts w:ascii="Times New Roman" w:hAnsi="Times New Roman"/>
          <w:lang w:val="pt-BR"/>
        </w:rPr>
        <w:t>fisissorção</w:t>
      </w:r>
      <w:proofErr w:type="spellEnd"/>
      <w:r w:rsidRPr="00B07396">
        <w:rPr>
          <w:rFonts w:ascii="Times New Roman" w:hAnsi="Times New Roman"/>
          <w:lang w:val="pt-BR"/>
        </w:rPr>
        <w:t xml:space="preserve"> de nitrogênio na temperatura de ebulição. As propriedades cristalinas dos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e as propriedades texturais dos óxidos mistos sintetizados no planejamento fatorial foram avaliadas pelo método de Pareto.</w:t>
      </w:r>
      <w:r w:rsidR="00EA4E1B" w:rsidRPr="00B07396">
        <w:rPr>
          <w:rFonts w:ascii="Times New Roman" w:hAnsi="Times New Roman"/>
          <w:b/>
          <w:lang w:val="pt-BR"/>
        </w:rPr>
        <w:t xml:space="preserve"> </w:t>
      </w:r>
    </w:p>
    <w:p w14:paraId="52FFAC79" w14:textId="77777777" w:rsidR="00EA4E1B" w:rsidRPr="00B07396" w:rsidRDefault="00EA4E1B" w:rsidP="00EA4E1B">
      <w:pPr>
        <w:pStyle w:val="Ttulo2"/>
        <w:rPr>
          <w:rFonts w:ascii="Helvetica" w:hAnsi="Helvetica" w:cs="Helvetica"/>
          <w:sz w:val="24"/>
          <w:szCs w:val="24"/>
        </w:rPr>
      </w:pPr>
      <w:r w:rsidRPr="00B07396">
        <w:rPr>
          <w:rFonts w:ascii="Helvetica" w:hAnsi="Helvetica" w:cs="Helvetica"/>
          <w:sz w:val="24"/>
          <w:szCs w:val="24"/>
        </w:rPr>
        <w:t>Experimental</w:t>
      </w:r>
    </w:p>
    <w:p w14:paraId="35887134" w14:textId="11ACD371" w:rsidR="00EA4E1B" w:rsidRPr="00B07396" w:rsidRDefault="00602706" w:rsidP="00EA4E1B">
      <w:pPr>
        <w:pStyle w:val="TAMainText"/>
        <w:ind w:firstLine="0"/>
        <w:rPr>
          <w:rFonts w:ascii="Times New Roman" w:hAnsi="Times New Roman"/>
          <w:i/>
          <w:lang w:val="pt-BR"/>
        </w:rPr>
      </w:pPr>
      <w:r w:rsidRPr="00B07396">
        <w:rPr>
          <w:rFonts w:ascii="Times New Roman" w:hAnsi="Times New Roman"/>
          <w:i/>
          <w:lang w:val="pt-BR"/>
        </w:rPr>
        <w:t>Sínteses</w:t>
      </w:r>
    </w:p>
    <w:p w14:paraId="0F22D57D" w14:textId="408969CC" w:rsidR="00A658CE" w:rsidRPr="00B07396" w:rsidRDefault="00A658CE" w:rsidP="00A658CE">
      <w:pPr>
        <w:pStyle w:val="TAMainText"/>
        <w:rPr>
          <w:rFonts w:ascii="Times New Roman" w:hAnsi="Times New Roman"/>
          <w:lang w:val="pt-BR"/>
        </w:rPr>
      </w:pPr>
      <w:r w:rsidRPr="00B07396">
        <w:rPr>
          <w:rFonts w:ascii="Times New Roman" w:hAnsi="Times New Roman"/>
          <w:lang w:val="pt-BR"/>
        </w:rPr>
        <w:t xml:space="preserve">A síntese dos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por </w:t>
      </w:r>
      <w:proofErr w:type="spellStart"/>
      <w:r w:rsidRPr="00B07396">
        <w:rPr>
          <w:rFonts w:ascii="Times New Roman" w:hAnsi="Times New Roman"/>
          <w:lang w:val="pt-BR"/>
        </w:rPr>
        <w:t>co-precipitação</w:t>
      </w:r>
      <w:proofErr w:type="spellEnd"/>
      <w:r w:rsidRPr="00B07396">
        <w:rPr>
          <w:rFonts w:ascii="Times New Roman" w:hAnsi="Times New Roman"/>
          <w:lang w:val="pt-BR"/>
        </w:rPr>
        <w:t xml:space="preserve"> a pH controlado </w:t>
      </w:r>
      <w:r w:rsidR="006828A6" w:rsidRPr="00B07396">
        <w:rPr>
          <w:rFonts w:ascii="Times New Roman" w:hAnsi="Times New Roman"/>
          <w:lang w:val="pt-BR"/>
        </w:rPr>
        <w:t xml:space="preserve">se </w:t>
      </w:r>
      <w:r w:rsidRPr="00B07396">
        <w:rPr>
          <w:rFonts w:ascii="Times New Roman" w:hAnsi="Times New Roman"/>
          <w:lang w:val="pt-BR"/>
        </w:rPr>
        <w:t xml:space="preserve">deu pelo gotejamento de uma solução </w:t>
      </w:r>
      <w:r w:rsidR="0037483B" w:rsidRPr="00B07396">
        <w:rPr>
          <w:rFonts w:ascii="Times New Roman" w:hAnsi="Times New Roman"/>
          <w:lang w:val="pt-BR"/>
        </w:rPr>
        <w:t>de nitrato de alumínio [Al(NO₃)₃·9H₂O]</w:t>
      </w:r>
      <w:r w:rsidR="00F90662" w:rsidRPr="00B07396">
        <w:rPr>
          <w:rFonts w:ascii="Times New Roman" w:hAnsi="Times New Roman"/>
          <w:lang w:val="pt-BR"/>
        </w:rPr>
        <w:t xml:space="preserve"> 0,25 mol/L</w:t>
      </w:r>
      <w:r w:rsidR="0037483B" w:rsidRPr="00B07396">
        <w:rPr>
          <w:rFonts w:ascii="Times New Roman" w:hAnsi="Times New Roman"/>
          <w:lang w:val="pt-BR"/>
        </w:rPr>
        <w:t>, nitrato de cobalto [ </w:t>
      </w:r>
      <w:hyperlink r:id="rId9" w:tooltip="Cobalto" w:history="1">
        <w:r w:rsidR="0037483B" w:rsidRPr="00B07396">
          <w:rPr>
            <w:rStyle w:val="Hyperlink"/>
            <w:rFonts w:ascii="Times New Roman" w:hAnsi="Times New Roman"/>
            <w:color w:val="auto"/>
            <w:u w:val="none"/>
            <w:lang w:val="pt-BR"/>
          </w:rPr>
          <w:t>Co</w:t>
        </w:r>
      </w:hyperlink>
      <w:r w:rsidR="0037483B" w:rsidRPr="00B07396">
        <w:rPr>
          <w:rFonts w:ascii="Times New Roman" w:hAnsi="Times New Roman"/>
          <w:lang w:val="pt-BR"/>
        </w:rPr>
        <w:t>(</w:t>
      </w:r>
      <w:hyperlink r:id="rId10" w:tooltip="Nitrogênio" w:history="1">
        <w:r w:rsidR="0037483B" w:rsidRPr="00B07396">
          <w:rPr>
            <w:rStyle w:val="Hyperlink"/>
            <w:rFonts w:ascii="Times New Roman" w:hAnsi="Times New Roman"/>
            <w:color w:val="auto"/>
            <w:u w:val="none"/>
            <w:lang w:val="pt-BR"/>
          </w:rPr>
          <w:t>N</w:t>
        </w:r>
      </w:hyperlink>
      <w:hyperlink r:id="rId11" w:tooltip="Oxigênio" w:history="1">
        <w:r w:rsidR="0037483B" w:rsidRPr="00B07396">
          <w:rPr>
            <w:rStyle w:val="Hyperlink"/>
            <w:rFonts w:ascii="Times New Roman" w:hAnsi="Times New Roman"/>
            <w:color w:val="auto"/>
            <w:u w:val="none"/>
            <w:lang w:val="pt-BR"/>
          </w:rPr>
          <w:t>O</w:t>
        </w:r>
      </w:hyperlink>
      <w:r w:rsidR="0037483B" w:rsidRPr="00B07396">
        <w:rPr>
          <w:rFonts w:ascii="Times New Roman" w:hAnsi="Times New Roman"/>
          <w:vertAlign w:val="subscript"/>
          <w:lang w:val="pt-BR"/>
        </w:rPr>
        <w:t>3</w:t>
      </w:r>
      <w:r w:rsidR="0037483B" w:rsidRPr="00B07396">
        <w:rPr>
          <w:rFonts w:ascii="Times New Roman" w:hAnsi="Times New Roman"/>
          <w:lang w:val="pt-BR"/>
        </w:rPr>
        <w:t>)</w:t>
      </w:r>
      <w:r w:rsidR="0037483B" w:rsidRPr="00B07396">
        <w:rPr>
          <w:rFonts w:ascii="Times New Roman" w:hAnsi="Times New Roman"/>
          <w:vertAlign w:val="subscript"/>
          <w:lang w:val="pt-BR"/>
        </w:rPr>
        <w:t>2</w:t>
      </w:r>
      <w:r w:rsidR="0037483B" w:rsidRPr="00B07396">
        <w:rPr>
          <w:rFonts w:ascii="Times New Roman" w:hAnsi="Times New Roman"/>
          <w:lang w:val="pt-BR"/>
        </w:rPr>
        <w:t>.6</w:t>
      </w:r>
      <w:hyperlink r:id="rId12" w:tooltip="Hidrogênio" w:history="1">
        <w:r w:rsidR="0037483B" w:rsidRPr="00B07396">
          <w:rPr>
            <w:rStyle w:val="Hyperlink"/>
            <w:rFonts w:ascii="Times New Roman" w:hAnsi="Times New Roman"/>
            <w:color w:val="auto"/>
            <w:u w:val="none"/>
            <w:lang w:val="pt-BR"/>
          </w:rPr>
          <w:t>H</w:t>
        </w:r>
      </w:hyperlink>
      <w:r w:rsidR="0037483B" w:rsidRPr="00B07396">
        <w:rPr>
          <w:rFonts w:ascii="Times New Roman" w:hAnsi="Times New Roman"/>
          <w:vertAlign w:val="subscript"/>
          <w:lang w:val="pt-BR"/>
        </w:rPr>
        <w:t>2</w:t>
      </w:r>
      <w:hyperlink r:id="rId13" w:history="1">
        <w:r w:rsidR="0037483B" w:rsidRPr="00B07396">
          <w:rPr>
            <w:rStyle w:val="Hyperlink"/>
            <w:rFonts w:ascii="Times New Roman" w:hAnsi="Times New Roman"/>
            <w:color w:val="auto"/>
            <w:u w:val="none"/>
            <w:lang w:val="pt-BR"/>
          </w:rPr>
          <w:t>O</w:t>
        </w:r>
      </w:hyperlink>
      <w:r w:rsidR="0037483B" w:rsidRPr="00B07396">
        <w:rPr>
          <w:rFonts w:ascii="Times New Roman" w:hAnsi="Times New Roman"/>
          <w:lang w:val="pt-BR"/>
        </w:rPr>
        <w:t xml:space="preserve">] </w:t>
      </w:r>
      <w:r w:rsidR="006852E6" w:rsidRPr="00B07396">
        <w:rPr>
          <w:rFonts w:ascii="Times New Roman" w:hAnsi="Times New Roman"/>
          <w:lang w:val="pt-BR"/>
        </w:rPr>
        <w:t>0,</w:t>
      </w:r>
      <w:r w:rsidR="00A579BA" w:rsidRPr="00B07396">
        <w:rPr>
          <w:rFonts w:ascii="Times New Roman" w:hAnsi="Times New Roman"/>
          <w:lang w:val="pt-BR"/>
        </w:rPr>
        <w:t>15</w:t>
      </w:r>
      <w:r w:rsidR="006852E6" w:rsidRPr="00B07396">
        <w:rPr>
          <w:rFonts w:ascii="Times New Roman" w:hAnsi="Times New Roman"/>
          <w:lang w:val="pt-BR"/>
        </w:rPr>
        <w:t xml:space="preserve"> mol/L  </w:t>
      </w:r>
      <w:r w:rsidR="00024033" w:rsidRPr="00B07396">
        <w:rPr>
          <w:rFonts w:ascii="Times New Roman" w:hAnsi="Times New Roman"/>
          <w:lang w:val="pt-BR"/>
        </w:rPr>
        <w:t xml:space="preserve">e </w:t>
      </w:r>
      <w:r w:rsidR="0037483B" w:rsidRPr="00B07396">
        <w:rPr>
          <w:rFonts w:ascii="Times New Roman" w:hAnsi="Times New Roman"/>
          <w:lang w:val="pt-BR"/>
        </w:rPr>
        <w:t>nitrato de magnésio [Mg(NO</w:t>
      </w:r>
      <w:r w:rsidR="0037483B" w:rsidRPr="00B07396">
        <w:rPr>
          <w:rFonts w:ascii="Times New Roman" w:hAnsi="Times New Roman"/>
          <w:vertAlign w:val="subscript"/>
          <w:lang w:val="pt-BR"/>
        </w:rPr>
        <w:t>3</w:t>
      </w:r>
      <w:r w:rsidR="0037483B" w:rsidRPr="00B07396">
        <w:rPr>
          <w:rFonts w:ascii="Times New Roman" w:hAnsi="Times New Roman"/>
          <w:lang w:val="pt-BR"/>
        </w:rPr>
        <w:t>)</w:t>
      </w:r>
      <w:r w:rsidR="0037483B" w:rsidRPr="00B07396">
        <w:rPr>
          <w:rFonts w:ascii="Times New Roman" w:hAnsi="Times New Roman"/>
          <w:vertAlign w:val="subscript"/>
          <w:lang w:val="pt-BR"/>
        </w:rPr>
        <w:t>2</w:t>
      </w:r>
      <w:r w:rsidR="0037483B" w:rsidRPr="00B07396">
        <w:rPr>
          <w:rFonts w:ascii="Times New Roman" w:hAnsi="Times New Roman"/>
          <w:lang w:val="pt-BR"/>
        </w:rPr>
        <w:t>.6H</w:t>
      </w:r>
      <w:r w:rsidR="0037483B" w:rsidRPr="00B07396">
        <w:rPr>
          <w:rFonts w:ascii="Times New Roman" w:hAnsi="Times New Roman"/>
          <w:vertAlign w:val="subscript"/>
          <w:lang w:val="pt-BR"/>
        </w:rPr>
        <w:t>2</w:t>
      </w:r>
      <w:r w:rsidR="0037483B" w:rsidRPr="00B07396">
        <w:rPr>
          <w:rFonts w:ascii="Times New Roman" w:hAnsi="Times New Roman"/>
          <w:lang w:val="pt-BR"/>
        </w:rPr>
        <w:t>O]</w:t>
      </w:r>
      <w:r w:rsidR="00024033" w:rsidRPr="00B07396">
        <w:rPr>
          <w:rFonts w:ascii="Times New Roman" w:hAnsi="Times New Roman"/>
          <w:lang w:val="pt-BR"/>
        </w:rPr>
        <w:t xml:space="preserve"> </w:t>
      </w:r>
      <w:r w:rsidR="006852E6" w:rsidRPr="00B07396">
        <w:rPr>
          <w:rFonts w:ascii="Times New Roman" w:hAnsi="Times New Roman"/>
          <w:lang w:val="pt-BR"/>
        </w:rPr>
        <w:t xml:space="preserve"> 0,</w:t>
      </w:r>
      <w:r w:rsidR="00A579BA" w:rsidRPr="00B07396">
        <w:rPr>
          <w:rFonts w:ascii="Times New Roman" w:hAnsi="Times New Roman"/>
          <w:lang w:val="pt-BR"/>
        </w:rPr>
        <w:t>1</w:t>
      </w:r>
      <w:r w:rsidR="006852E6" w:rsidRPr="00B07396">
        <w:rPr>
          <w:rFonts w:ascii="Times New Roman" w:hAnsi="Times New Roman"/>
          <w:lang w:val="pt-BR"/>
        </w:rPr>
        <w:t xml:space="preserve"> mol/L </w:t>
      </w:r>
      <w:r w:rsidR="00024033" w:rsidRPr="00B07396">
        <w:rPr>
          <w:rFonts w:ascii="Times New Roman" w:hAnsi="Times New Roman"/>
          <w:lang w:val="pt-BR"/>
        </w:rPr>
        <w:t>(</w:t>
      </w:r>
      <w:proofErr w:type="spellStart"/>
      <w:r w:rsidR="00B25CA6" w:rsidRPr="00B07396">
        <w:rPr>
          <w:rFonts w:ascii="Times New Roman" w:hAnsi="Times New Roman"/>
          <w:lang w:val="pt-BR"/>
        </w:rPr>
        <w:t>Isofar</w:t>
      </w:r>
      <w:proofErr w:type="spellEnd"/>
      <w:r w:rsidR="00E27DA8" w:rsidRPr="00B07396">
        <w:rPr>
          <w:rFonts w:ascii="Times New Roman" w:hAnsi="Times New Roman"/>
          <w:lang w:val="pt-BR"/>
        </w:rPr>
        <w:t>, ≥98%</w:t>
      </w:r>
      <w:r w:rsidR="00B25CA6" w:rsidRPr="00B07396">
        <w:rPr>
          <w:rFonts w:ascii="Times New Roman" w:hAnsi="Times New Roman"/>
          <w:lang w:val="pt-BR"/>
        </w:rPr>
        <w:t>)</w:t>
      </w:r>
      <w:r w:rsidRPr="00B07396">
        <w:rPr>
          <w:rFonts w:ascii="Times New Roman" w:hAnsi="Times New Roman"/>
          <w:lang w:val="pt-BR"/>
        </w:rPr>
        <w:t xml:space="preserve"> e uma solução de hidróxido de sódio</w:t>
      </w:r>
      <w:r w:rsidR="00AE1CAE" w:rsidRPr="00B07396">
        <w:rPr>
          <w:rFonts w:ascii="Times New Roman" w:hAnsi="Times New Roman"/>
          <w:lang w:val="pt-BR"/>
        </w:rPr>
        <w:t xml:space="preserve"> </w:t>
      </w:r>
      <w:r w:rsidR="00C61752" w:rsidRPr="00B07396">
        <w:rPr>
          <w:rFonts w:ascii="Times New Roman" w:hAnsi="Times New Roman"/>
          <w:lang w:val="pt-BR"/>
        </w:rPr>
        <w:t xml:space="preserve">1,0 mol/L </w:t>
      </w:r>
      <w:r w:rsidR="00AE1CAE" w:rsidRPr="00B07396">
        <w:rPr>
          <w:rFonts w:ascii="Times New Roman" w:hAnsi="Times New Roman"/>
          <w:lang w:val="pt-BR"/>
        </w:rPr>
        <w:t>(</w:t>
      </w:r>
      <w:proofErr w:type="spellStart"/>
      <w:r w:rsidR="00AE1CAE" w:rsidRPr="00B07396">
        <w:rPr>
          <w:rFonts w:ascii="Times New Roman" w:hAnsi="Times New Roman"/>
          <w:lang w:val="pt-BR"/>
        </w:rPr>
        <w:t>Synth</w:t>
      </w:r>
      <w:proofErr w:type="spellEnd"/>
      <w:r w:rsidR="00AE1CAE" w:rsidRPr="00B07396">
        <w:rPr>
          <w:rFonts w:ascii="Times New Roman" w:hAnsi="Times New Roman"/>
          <w:lang w:val="pt-BR"/>
        </w:rPr>
        <w:t xml:space="preserve">, </w:t>
      </w:r>
      <w:r w:rsidRPr="00B07396">
        <w:rPr>
          <w:rFonts w:ascii="Times New Roman" w:hAnsi="Times New Roman"/>
          <w:lang w:val="pt-BR"/>
        </w:rPr>
        <w:t xml:space="preserve"> </w:t>
      </w:r>
      <w:r w:rsidR="00AE1CAE" w:rsidRPr="00B07396">
        <w:rPr>
          <w:rFonts w:ascii="Times New Roman" w:hAnsi="Times New Roman"/>
          <w:lang w:val="pt-BR"/>
        </w:rPr>
        <w:t>≥97%)</w:t>
      </w:r>
      <w:r w:rsidRPr="00B07396">
        <w:rPr>
          <w:rFonts w:ascii="Times New Roman" w:hAnsi="Times New Roman"/>
          <w:lang w:val="pt-BR"/>
        </w:rPr>
        <w:t xml:space="preserve">e o correspondente ânion </w:t>
      </w:r>
      <w:proofErr w:type="spellStart"/>
      <w:r w:rsidR="00A678D7" w:rsidRPr="00B07396">
        <w:rPr>
          <w:rFonts w:ascii="Times New Roman" w:hAnsi="Times New Roman"/>
          <w:lang w:val="pt-BR"/>
        </w:rPr>
        <w:t>dicarboxíli</w:t>
      </w:r>
      <w:r w:rsidR="00061CEC" w:rsidRPr="00B07396">
        <w:rPr>
          <w:rFonts w:ascii="Times New Roman" w:hAnsi="Times New Roman"/>
          <w:lang w:val="pt-BR"/>
        </w:rPr>
        <w:t>c</w:t>
      </w:r>
      <w:r w:rsidR="00A678D7" w:rsidRPr="00B07396">
        <w:rPr>
          <w:rFonts w:ascii="Times New Roman" w:hAnsi="Times New Roman"/>
          <w:lang w:val="pt-BR"/>
        </w:rPr>
        <w:t>o</w:t>
      </w:r>
      <w:proofErr w:type="spellEnd"/>
      <w:r w:rsidR="00024033" w:rsidRPr="00B07396">
        <w:rPr>
          <w:rFonts w:ascii="Times New Roman" w:hAnsi="Times New Roman"/>
          <w:lang w:val="pt-BR"/>
        </w:rPr>
        <w:t xml:space="preserve">, podendo ser o ácido </w:t>
      </w:r>
      <w:proofErr w:type="spellStart"/>
      <w:r w:rsidR="00024033" w:rsidRPr="00B07396">
        <w:rPr>
          <w:rFonts w:ascii="Times New Roman" w:hAnsi="Times New Roman"/>
          <w:lang w:val="pt-BR"/>
        </w:rPr>
        <w:t>succínico</w:t>
      </w:r>
      <w:proofErr w:type="spellEnd"/>
      <w:r w:rsidR="00024033" w:rsidRPr="00B07396">
        <w:rPr>
          <w:rFonts w:ascii="Times New Roman" w:hAnsi="Times New Roman"/>
          <w:lang w:val="pt-BR"/>
        </w:rPr>
        <w:t xml:space="preserve"> [C</w:t>
      </w:r>
      <w:r w:rsidR="00024033" w:rsidRPr="00B07396">
        <w:rPr>
          <w:rFonts w:ascii="Times New Roman" w:hAnsi="Times New Roman"/>
          <w:vertAlign w:val="subscript"/>
          <w:lang w:val="pt-BR"/>
        </w:rPr>
        <w:t>4</w:t>
      </w:r>
      <w:r w:rsidR="00024033" w:rsidRPr="00B07396">
        <w:rPr>
          <w:rFonts w:ascii="Times New Roman" w:hAnsi="Times New Roman"/>
          <w:lang w:val="pt-BR"/>
        </w:rPr>
        <w:t>H</w:t>
      </w:r>
      <w:r w:rsidR="00024033" w:rsidRPr="00B07396">
        <w:rPr>
          <w:rFonts w:ascii="Times New Roman" w:hAnsi="Times New Roman"/>
          <w:vertAlign w:val="subscript"/>
          <w:lang w:val="pt-BR"/>
        </w:rPr>
        <w:t>6</w:t>
      </w:r>
      <w:r w:rsidR="00024033" w:rsidRPr="00B07396">
        <w:rPr>
          <w:rFonts w:ascii="Times New Roman" w:hAnsi="Times New Roman"/>
          <w:lang w:val="pt-BR"/>
        </w:rPr>
        <w:t>O</w:t>
      </w:r>
      <w:r w:rsidR="00024033" w:rsidRPr="00B07396">
        <w:rPr>
          <w:rFonts w:ascii="Times New Roman" w:hAnsi="Times New Roman"/>
          <w:vertAlign w:val="subscript"/>
          <w:lang w:val="pt-BR"/>
        </w:rPr>
        <w:t>4</w:t>
      </w:r>
      <w:r w:rsidR="00024033" w:rsidRPr="00B07396">
        <w:rPr>
          <w:rFonts w:ascii="Times New Roman" w:hAnsi="Times New Roman"/>
          <w:lang w:val="pt-BR"/>
        </w:rPr>
        <w:t xml:space="preserve">] ou ácido </w:t>
      </w:r>
      <w:proofErr w:type="spellStart"/>
      <w:r w:rsidR="00024033" w:rsidRPr="00B07396">
        <w:rPr>
          <w:rFonts w:ascii="Times New Roman" w:hAnsi="Times New Roman"/>
          <w:lang w:val="pt-BR"/>
        </w:rPr>
        <w:t>sebácico</w:t>
      </w:r>
      <w:proofErr w:type="spellEnd"/>
      <w:r w:rsidR="00024033" w:rsidRPr="00B07396">
        <w:rPr>
          <w:rFonts w:ascii="Times New Roman" w:hAnsi="Times New Roman"/>
          <w:lang w:val="pt-BR"/>
        </w:rPr>
        <w:t xml:space="preserve"> [C</w:t>
      </w:r>
      <w:r w:rsidR="00024033" w:rsidRPr="00B07396">
        <w:rPr>
          <w:rFonts w:ascii="Times New Roman" w:hAnsi="Times New Roman"/>
          <w:vertAlign w:val="subscript"/>
          <w:lang w:val="pt-BR"/>
        </w:rPr>
        <w:t>10</w:t>
      </w:r>
      <w:r w:rsidR="00024033" w:rsidRPr="00B07396">
        <w:rPr>
          <w:rFonts w:ascii="Times New Roman" w:hAnsi="Times New Roman"/>
          <w:lang w:val="pt-BR"/>
        </w:rPr>
        <w:t>H</w:t>
      </w:r>
      <w:r w:rsidR="00024033" w:rsidRPr="00B07396">
        <w:rPr>
          <w:rFonts w:ascii="Times New Roman" w:hAnsi="Times New Roman"/>
          <w:vertAlign w:val="subscript"/>
          <w:lang w:val="pt-BR"/>
        </w:rPr>
        <w:t>18</w:t>
      </w:r>
      <w:r w:rsidR="00024033" w:rsidRPr="00B07396">
        <w:rPr>
          <w:rFonts w:ascii="Times New Roman" w:hAnsi="Times New Roman"/>
          <w:lang w:val="pt-BR"/>
        </w:rPr>
        <w:t>O</w:t>
      </w:r>
      <w:r w:rsidR="00024033" w:rsidRPr="00B07396">
        <w:rPr>
          <w:rFonts w:ascii="Times New Roman" w:hAnsi="Times New Roman"/>
          <w:vertAlign w:val="subscript"/>
          <w:lang w:val="pt-BR"/>
        </w:rPr>
        <w:t>4</w:t>
      </w:r>
      <w:r w:rsidR="00024033" w:rsidRPr="00B07396">
        <w:rPr>
          <w:rFonts w:ascii="Times New Roman" w:hAnsi="Times New Roman"/>
          <w:lang w:val="pt-BR"/>
        </w:rPr>
        <w:t xml:space="preserve">] </w:t>
      </w:r>
      <w:r w:rsidR="00B64621" w:rsidRPr="00B07396">
        <w:rPr>
          <w:rFonts w:ascii="Times New Roman" w:hAnsi="Times New Roman"/>
          <w:lang w:val="pt-BR"/>
        </w:rPr>
        <w:t xml:space="preserve">0,14 mol/L </w:t>
      </w:r>
      <w:r w:rsidR="00024033" w:rsidRPr="00B07396">
        <w:rPr>
          <w:rFonts w:ascii="Times New Roman" w:hAnsi="Times New Roman"/>
          <w:lang w:val="pt-BR"/>
        </w:rPr>
        <w:t>(Sigma-</w:t>
      </w:r>
      <w:proofErr w:type="spellStart"/>
      <w:r w:rsidR="00024033" w:rsidRPr="00B07396">
        <w:rPr>
          <w:rFonts w:ascii="Times New Roman" w:hAnsi="Times New Roman"/>
          <w:lang w:val="pt-BR"/>
        </w:rPr>
        <w:t>Aldritch</w:t>
      </w:r>
      <w:proofErr w:type="spellEnd"/>
      <w:r w:rsidR="00083442" w:rsidRPr="00B07396">
        <w:rPr>
          <w:rFonts w:ascii="Times New Roman" w:hAnsi="Times New Roman"/>
          <w:lang w:val="pt-BR"/>
        </w:rPr>
        <w:t>,</w:t>
      </w:r>
      <w:r w:rsidR="00277B6D" w:rsidRPr="00B07396">
        <w:rPr>
          <w:rFonts w:ascii="Times New Roman" w:hAnsi="Times New Roman"/>
          <w:lang w:val="pt-BR"/>
        </w:rPr>
        <w:t xml:space="preserve"> </w:t>
      </w:r>
      <w:r w:rsidR="0054193E" w:rsidRPr="00B07396">
        <w:rPr>
          <w:rFonts w:ascii="Times New Roman" w:hAnsi="Times New Roman"/>
          <w:lang w:val="pt-BR"/>
        </w:rPr>
        <w:t>≥99%</w:t>
      </w:r>
      <w:r w:rsidR="00024033" w:rsidRPr="00B07396">
        <w:rPr>
          <w:rFonts w:ascii="Times New Roman" w:hAnsi="Times New Roman"/>
          <w:lang w:val="pt-BR"/>
        </w:rPr>
        <w:t>)</w:t>
      </w:r>
      <w:r w:rsidR="00277B6D" w:rsidRPr="00B07396">
        <w:rPr>
          <w:rFonts w:ascii="Times New Roman" w:hAnsi="Times New Roman"/>
          <w:lang w:val="pt-BR"/>
        </w:rPr>
        <w:t xml:space="preserve"> </w:t>
      </w:r>
      <w:r w:rsidRPr="00B07396">
        <w:rPr>
          <w:rFonts w:ascii="Times New Roman" w:hAnsi="Times New Roman"/>
          <w:lang w:val="pt-BR"/>
        </w:rPr>
        <w:t xml:space="preserve">com auxílio de um </w:t>
      </w:r>
      <w:proofErr w:type="spellStart"/>
      <w:r w:rsidRPr="00B07396">
        <w:rPr>
          <w:rFonts w:ascii="Times New Roman" w:hAnsi="Times New Roman"/>
          <w:lang w:val="pt-BR"/>
        </w:rPr>
        <w:t>titulador</w:t>
      </w:r>
      <w:proofErr w:type="spellEnd"/>
      <w:r w:rsidRPr="00B07396">
        <w:rPr>
          <w:rFonts w:ascii="Times New Roman" w:hAnsi="Times New Roman"/>
          <w:lang w:val="pt-BR"/>
        </w:rPr>
        <w:t xml:space="preserve"> automático em água de forma a manter o pH fixo no valor estipulado para cada reação e sob temperatura constante. Após o término, o recipiente foi mantido sob agitação e vedado em atmosfera ausente de CO</w:t>
      </w:r>
      <w:r w:rsidRPr="00B07396">
        <w:rPr>
          <w:rFonts w:ascii="Times New Roman" w:hAnsi="Times New Roman"/>
          <w:vertAlign w:val="subscript"/>
          <w:lang w:val="pt-BR"/>
        </w:rPr>
        <w:t>2</w:t>
      </w:r>
      <w:r w:rsidRPr="00B07396">
        <w:rPr>
          <w:rFonts w:ascii="Times New Roman" w:hAnsi="Times New Roman"/>
          <w:lang w:val="pt-BR"/>
        </w:rPr>
        <w:t xml:space="preserve"> por 4 horas, seguidos de mais 16 horas vedado e a temperatura ambiente, ao término foi filtrado a vácuo. Para a obtenção dos respectivos óxidos mistos as amostras de HDL foram calcinadas a 500 °C em fluxo de ar (200 mL.min</w:t>
      </w:r>
      <w:r w:rsidRPr="00B07396">
        <w:rPr>
          <w:rFonts w:ascii="Times New Roman" w:hAnsi="Times New Roman"/>
          <w:vertAlign w:val="superscript"/>
          <w:lang w:val="pt-BR"/>
        </w:rPr>
        <w:t>-1</w:t>
      </w:r>
      <w:r w:rsidRPr="00B07396">
        <w:rPr>
          <w:rFonts w:ascii="Times New Roman" w:hAnsi="Times New Roman"/>
          <w:lang w:val="pt-BR"/>
        </w:rPr>
        <w:t>) por 4 horas</w:t>
      </w:r>
      <w:r w:rsidR="002E451E" w:rsidRPr="00B07396">
        <w:rPr>
          <w:rFonts w:ascii="Times New Roman" w:hAnsi="Times New Roman"/>
          <w:lang w:val="pt-BR"/>
        </w:rPr>
        <w:t xml:space="preserve"> (</w:t>
      </w:r>
      <w:r w:rsidR="00971B43" w:rsidRPr="00B07396">
        <w:rPr>
          <w:rFonts w:ascii="Times New Roman" w:hAnsi="Times New Roman"/>
          <w:lang w:val="pt-BR"/>
        </w:rPr>
        <w:t>5,</w:t>
      </w:r>
      <w:r w:rsidR="00B87630" w:rsidRPr="00B07396">
        <w:rPr>
          <w:rFonts w:ascii="Times New Roman" w:hAnsi="Times New Roman"/>
          <w:lang w:val="pt-BR"/>
        </w:rPr>
        <w:t>6</w:t>
      </w:r>
      <w:r w:rsidR="002E451E" w:rsidRPr="00B07396">
        <w:rPr>
          <w:rFonts w:ascii="Times New Roman" w:hAnsi="Times New Roman"/>
          <w:lang w:val="pt-BR"/>
        </w:rPr>
        <w:t>)</w:t>
      </w:r>
      <w:r w:rsidRPr="00B07396">
        <w:rPr>
          <w:rFonts w:ascii="Times New Roman" w:hAnsi="Times New Roman"/>
          <w:lang w:val="pt-BR"/>
        </w:rPr>
        <w:t>.</w:t>
      </w:r>
    </w:p>
    <w:p w14:paraId="4DC41F46" w14:textId="28F1D6B7" w:rsidR="00ED52A1" w:rsidRPr="00B07396" w:rsidRDefault="0089327B" w:rsidP="00ED52A1">
      <w:pPr>
        <w:pStyle w:val="TAMainText"/>
        <w:ind w:firstLine="0"/>
        <w:rPr>
          <w:rFonts w:ascii="Times New Roman" w:hAnsi="Times New Roman"/>
          <w:i/>
          <w:lang w:val="pt-BR"/>
        </w:rPr>
      </w:pPr>
      <w:r w:rsidRPr="00B07396">
        <w:rPr>
          <w:rFonts w:ascii="Times New Roman" w:hAnsi="Times New Roman"/>
          <w:i/>
          <w:lang w:val="pt-BR"/>
        </w:rPr>
        <w:t>Planejamento fatorial</w:t>
      </w:r>
    </w:p>
    <w:p w14:paraId="1566A788" w14:textId="174082C9" w:rsidR="00683E3B" w:rsidRPr="00B07396" w:rsidRDefault="00831574" w:rsidP="00683E3B">
      <w:pPr>
        <w:pStyle w:val="TAMainText"/>
        <w:rPr>
          <w:rFonts w:ascii="Times New Roman" w:hAnsi="Times New Roman"/>
          <w:lang w:val="pt-BR"/>
        </w:rPr>
      </w:pPr>
      <w:r w:rsidRPr="00B07396">
        <w:rPr>
          <w:rFonts w:ascii="Times New Roman" w:hAnsi="Times New Roman"/>
          <w:lang w:val="pt-BR"/>
        </w:rPr>
        <w:t>Foi realizado um design fatorial completo do tipo 2</w:t>
      </w:r>
      <w:r w:rsidRPr="00B07396">
        <w:rPr>
          <w:rFonts w:ascii="Times New Roman" w:hAnsi="Times New Roman"/>
          <w:vertAlign w:val="superscript"/>
          <w:lang w:val="pt-BR"/>
        </w:rPr>
        <w:t>3</w:t>
      </w:r>
      <w:r w:rsidRPr="00B07396">
        <w:rPr>
          <w:rFonts w:ascii="Times New Roman" w:hAnsi="Times New Roman"/>
          <w:lang w:val="pt-BR"/>
        </w:rPr>
        <w:t>, ou seja, 3 fatores a dois níveis com 8 experimentos no total</w:t>
      </w:r>
      <w:r w:rsidR="00B27173" w:rsidRPr="00B07396">
        <w:rPr>
          <w:rFonts w:ascii="Times New Roman" w:hAnsi="Times New Roman"/>
          <w:lang w:val="pt-BR"/>
        </w:rPr>
        <w:t xml:space="preserve"> para se avaliar a áre</w:t>
      </w:r>
      <w:r w:rsidR="00BD5C94" w:rsidRPr="00B07396">
        <w:rPr>
          <w:rFonts w:ascii="Times New Roman" w:hAnsi="Times New Roman"/>
          <w:lang w:val="pt-BR"/>
        </w:rPr>
        <w:t xml:space="preserve">a </w:t>
      </w:r>
      <w:r w:rsidR="0029780E" w:rsidRPr="00B07396">
        <w:rPr>
          <w:rFonts w:ascii="Times New Roman" w:hAnsi="Times New Roman"/>
          <w:lang w:val="pt-BR"/>
        </w:rPr>
        <w:t>superficial</w:t>
      </w:r>
      <w:r w:rsidR="00BD5C94" w:rsidRPr="00B07396">
        <w:rPr>
          <w:rFonts w:ascii="Times New Roman" w:hAnsi="Times New Roman"/>
          <w:lang w:val="pt-BR"/>
        </w:rPr>
        <w:t xml:space="preserve"> e volume de poros dos óxidos mistos obtidos após a calcinação </w:t>
      </w:r>
      <w:r w:rsidR="00590666" w:rsidRPr="00B07396">
        <w:rPr>
          <w:rFonts w:ascii="Times New Roman" w:hAnsi="Times New Roman"/>
          <w:lang w:val="pt-BR"/>
        </w:rPr>
        <w:t xml:space="preserve">dos </w:t>
      </w:r>
      <w:proofErr w:type="spellStart"/>
      <w:r w:rsidR="00590666" w:rsidRPr="00B07396">
        <w:rPr>
          <w:rFonts w:ascii="Times New Roman" w:hAnsi="Times New Roman"/>
          <w:lang w:val="pt-BR"/>
        </w:rPr>
        <w:t>HDLs</w:t>
      </w:r>
      <w:proofErr w:type="spellEnd"/>
      <w:r w:rsidRPr="00B07396">
        <w:rPr>
          <w:rFonts w:ascii="Times New Roman" w:hAnsi="Times New Roman"/>
          <w:lang w:val="pt-BR"/>
        </w:rPr>
        <w:t>. Os fatores escolhidos foram: pH (valores de 6,5 e 8,5); temperatura (50°C e 70°C) e ânion [</w:t>
      </w:r>
      <w:proofErr w:type="spellStart"/>
      <w:r w:rsidRPr="00B07396">
        <w:rPr>
          <w:rFonts w:ascii="Times New Roman" w:hAnsi="Times New Roman"/>
          <w:lang w:val="pt-BR"/>
        </w:rPr>
        <w:t>succinato</w:t>
      </w:r>
      <w:proofErr w:type="spellEnd"/>
      <w:r w:rsidRPr="00B07396">
        <w:rPr>
          <w:rFonts w:ascii="Times New Roman" w:hAnsi="Times New Roman"/>
          <w:lang w:val="pt-BR"/>
        </w:rPr>
        <w:t xml:space="preserve"> (C4) e </w:t>
      </w:r>
      <w:proofErr w:type="spellStart"/>
      <w:r w:rsidRPr="00B07396">
        <w:rPr>
          <w:rFonts w:ascii="Times New Roman" w:hAnsi="Times New Roman"/>
          <w:lang w:val="pt-BR"/>
        </w:rPr>
        <w:t>sebacato</w:t>
      </w:r>
      <w:proofErr w:type="spellEnd"/>
      <w:r w:rsidRPr="00B07396">
        <w:rPr>
          <w:rFonts w:ascii="Times New Roman" w:hAnsi="Times New Roman"/>
          <w:lang w:val="pt-BR"/>
        </w:rPr>
        <w:t xml:space="preserve"> (C10)] </w:t>
      </w:r>
      <w:r w:rsidR="00590666" w:rsidRPr="00B07396">
        <w:rPr>
          <w:rFonts w:ascii="Times New Roman" w:hAnsi="Times New Roman"/>
          <w:lang w:val="pt-BR"/>
        </w:rPr>
        <w:t xml:space="preserve">utilizados na síntese do HDL de origem. </w:t>
      </w:r>
      <w:r w:rsidR="00683E3B" w:rsidRPr="00B07396">
        <w:rPr>
          <w:rFonts w:ascii="Times New Roman" w:hAnsi="Times New Roman"/>
          <w:lang w:val="pt-BR"/>
        </w:rPr>
        <w:t>A partir da tabela de design (tabela 1) e das respostas obtidas, foi montado um modelo estatístico caracterizado por coeficientes de contraste que descrevem a dependência linear de cada reposta sob a variação de cada fator e as suas interações, conforme mostrado na equação 1.</w:t>
      </w:r>
    </w:p>
    <w:p w14:paraId="1E35C774" w14:textId="4A14C1AA" w:rsidR="00683E3B" w:rsidRPr="00B07396" w:rsidRDefault="00683E3B" w:rsidP="00683E3B">
      <w:pPr>
        <w:pStyle w:val="TAMainText"/>
        <w:rPr>
          <w:rFonts w:ascii="Times New Roman" w:hAnsi="Times New Roman"/>
          <w:lang w:val="pt-BR"/>
        </w:rPr>
      </w:pPr>
      <w:r w:rsidRPr="00B07396">
        <w:rPr>
          <w:rFonts w:ascii="Times New Roman" w:hAnsi="Times New Roman"/>
          <w:lang w:val="pt-BR"/>
        </w:rPr>
        <w:t>Y</w:t>
      </w:r>
      <w:r w:rsidR="00D56F55" w:rsidRPr="00B07396">
        <w:rPr>
          <w:rFonts w:ascii="Times New Roman" w:hAnsi="Times New Roman"/>
          <w:lang w:val="pt-BR"/>
        </w:rPr>
        <w:t>(</w:t>
      </w:r>
      <w:proofErr w:type="gramStart"/>
      <w:r w:rsidR="00D56F55" w:rsidRPr="00B07396">
        <w:rPr>
          <w:rFonts w:ascii="Times New Roman" w:hAnsi="Times New Roman"/>
          <w:lang w:val="pt-BR"/>
        </w:rPr>
        <w:t>C.T,P</w:t>
      </w:r>
      <w:proofErr w:type="gramEnd"/>
      <w:r w:rsidR="00D56F55" w:rsidRPr="00B07396">
        <w:rPr>
          <w:rFonts w:ascii="Times New Roman" w:hAnsi="Times New Roman"/>
          <w:lang w:val="pt-BR"/>
        </w:rPr>
        <w:t>)</w:t>
      </w:r>
      <w:r w:rsidRPr="00B07396">
        <w:rPr>
          <w:rFonts w:ascii="Times New Roman" w:hAnsi="Times New Roman"/>
          <w:lang w:val="pt-BR"/>
        </w:rPr>
        <w:t xml:space="preserve"> = b</w:t>
      </w:r>
      <w:r w:rsidRPr="00B07396">
        <w:rPr>
          <w:rFonts w:ascii="Times New Roman" w:hAnsi="Times New Roman"/>
          <w:vertAlign w:val="subscript"/>
          <w:lang w:val="pt-BR"/>
        </w:rPr>
        <w:t>0</w:t>
      </w:r>
      <w:r w:rsidRPr="00B07396">
        <w:rPr>
          <w:rFonts w:ascii="Times New Roman" w:hAnsi="Times New Roman"/>
          <w:lang w:val="pt-BR"/>
        </w:rPr>
        <w:t xml:space="preserve"> +b</w:t>
      </w:r>
      <w:r w:rsidRPr="00B07396">
        <w:rPr>
          <w:rFonts w:ascii="Times New Roman" w:hAnsi="Times New Roman"/>
          <w:vertAlign w:val="subscript"/>
          <w:lang w:val="pt-BR"/>
        </w:rPr>
        <w:t>1</w:t>
      </w:r>
      <w:r w:rsidRPr="00B07396">
        <w:rPr>
          <w:rFonts w:ascii="Times New Roman" w:hAnsi="Times New Roman"/>
          <w:lang w:val="pt-BR"/>
        </w:rPr>
        <w:t>C + b</w:t>
      </w:r>
      <w:r w:rsidRPr="00B07396">
        <w:rPr>
          <w:rFonts w:ascii="Times New Roman" w:hAnsi="Times New Roman"/>
          <w:vertAlign w:val="subscript"/>
          <w:lang w:val="pt-BR"/>
        </w:rPr>
        <w:t>2</w:t>
      </w:r>
      <w:r w:rsidRPr="00B07396">
        <w:rPr>
          <w:rFonts w:ascii="Times New Roman" w:hAnsi="Times New Roman"/>
          <w:lang w:val="pt-BR"/>
        </w:rPr>
        <w:t>T + b</w:t>
      </w:r>
      <w:r w:rsidRPr="00B07396">
        <w:rPr>
          <w:rFonts w:ascii="Times New Roman" w:hAnsi="Times New Roman"/>
          <w:vertAlign w:val="subscript"/>
          <w:lang w:val="pt-BR"/>
        </w:rPr>
        <w:t>3</w:t>
      </w:r>
      <w:r w:rsidRPr="00B07396">
        <w:rPr>
          <w:rFonts w:ascii="Times New Roman" w:hAnsi="Times New Roman"/>
          <w:lang w:val="pt-BR"/>
        </w:rPr>
        <w:t>P + b</w:t>
      </w:r>
      <w:r w:rsidRPr="00B07396">
        <w:rPr>
          <w:rFonts w:ascii="Times New Roman" w:hAnsi="Times New Roman"/>
          <w:vertAlign w:val="subscript"/>
          <w:lang w:val="pt-BR"/>
        </w:rPr>
        <w:t>12</w:t>
      </w:r>
      <w:r w:rsidRPr="00B07396">
        <w:rPr>
          <w:rFonts w:ascii="Times New Roman" w:hAnsi="Times New Roman"/>
          <w:lang w:val="pt-BR"/>
        </w:rPr>
        <w:t>C.T + b</w:t>
      </w:r>
      <w:r w:rsidRPr="00B07396">
        <w:rPr>
          <w:rFonts w:ascii="Times New Roman" w:hAnsi="Times New Roman"/>
          <w:vertAlign w:val="subscript"/>
          <w:lang w:val="pt-BR"/>
        </w:rPr>
        <w:t>13</w:t>
      </w:r>
      <w:r w:rsidRPr="00B07396">
        <w:rPr>
          <w:rFonts w:ascii="Times New Roman" w:hAnsi="Times New Roman"/>
          <w:lang w:val="pt-BR"/>
        </w:rPr>
        <w:t>C.P + b</w:t>
      </w:r>
      <w:r w:rsidRPr="00B07396">
        <w:rPr>
          <w:rFonts w:ascii="Times New Roman" w:hAnsi="Times New Roman"/>
          <w:vertAlign w:val="subscript"/>
          <w:lang w:val="pt-BR"/>
        </w:rPr>
        <w:t>23</w:t>
      </w:r>
      <w:r w:rsidRPr="00B07396">
        <w:rPr>
          <w:rFonts w:ascii="Times New Roman" w:hAnsi="Times New Roman"/>
          <w:lang w:val="pt-BR"/>
        </w:rPr>
        <w:t>T.P</w:t>
      </w:r>
    </w:p>
    <w:p w14:paraId="1C9CFB48" w14:textId="38F29DDC" w:rsidR="00D417B1" w:rsidRPr="00B07396" w:rsidRDefault="00683E3B" w:rsidP="00D417B1">
      <w:pPr>
        <w:pStyle w:val="TAMainText"/>
        <w:rPr>
          <w:rFonts w:ascii="Times New Roman" w:hAnsi="Times New Roman"/>
          <w:lang w:val="pt-BR"/>
        </w:rPr>
      </w:pPr>
      <w:r w:rsidRPr="00B07396">
        <w:rPr>
          <w:rFonts w:ascii="Times New Roman" w:hAnsi="Times New Roman"/>
          <w:lang w:val="pt-BR"/>
        </w:rPr>
        <w:t>Onde C é o ânion, T é a temperatura, P o pH, Y é a resposta, b0 é o coeficiente linear, b</w:t>
      </w:r>
      <w:r w:rsidRPr="00B07396">
        <w:rPr>
          <w:rFonts w:ascii="Times New Roman" w:hAnsi="Times New Roman"/>
          <w:vertAlign w:val="subscript"/>
          <w:lang w:val="pt-BR"/>
        </w:rPr>
        <w:t>1</w:t>
      </w:r>
      <w:r w:rsidRPr="00B07396">
        <w:rPr>
          <w:rFonts w:ascii="Times New Roman" w:hAnsi="Times New Roman"/>
          <w:lang w:val="pt-BR"/>
        </w:rPr>
        <w:t>, b</w:t>
      </w:r>
      <w:r w:rsidRPr="00B07396">
        <w:rPr>
          <w:rFonts w:ascii="Times New Roman" w:hAnsi="Times New Roman"/>
          <w:vertAlign w:val="subscript"/>
          <w:lang w:val="pt-BR"/>
        </w:rPr>
        <w:t>2</w:t>
      </w:r>
      <w:r w:rsidRPr="00B07396">
        <w:rPr>
          <w:rFonts w:ascii="Times New Roman" w:hAnsi="Times New Roman"/>
          <w:lang w:val="pt-BR"/>
        </w:rPr>
        <w:t>, b</w:t>
      </w:r>
      <w:r w:rsidRPr="00B07396">
        <w:rPr>
          <w:rFonts w:ascii="Times New Roman" w:hAnsi="Times New Roman"/>
          <w:vertAlign w:val="subscript"/>
          <w:lang w:val="pt-BR"/>
        </w:rPr>
        <w:t>3</w:t>
      </w:r>
      <w:r w:rsidRPr="00B07396">
        <w:rPr>
          <w:rFonts w:ascii="Times New Roman" w:hAnsi="Times New Roman"/>
          <w:lang w:val="pt-BR"/>
        </w:rPr>
        <w:t xml:space="preserve"> os coeficientes dos fatores temperatura, pH e ânion respectivamente e b</w:t>
      </w:r>
      <w:r w:rsidRPr="00B07396">
        <w:rPr>
          <w:rFonts w:ascii="Times New Roman" w:hAnsi="Times New Roman"/>
          <w:vertAlign w:val="subscript"/>
          <w:lang w:val="pt-BR"/>
        </w:rPr>
        <w:t>12</w:t>
      </w:r>
      <w:r w:rsidRPr="00B07396">
        <w:rPr>
          <w:rFonts w:ascii="Times New Roman" w:hAnsi="Times New Roman"/>
          <w:lang w:val="pt-BR"/>
        </w:rPr>
        <w:t>, b</w:t>
      </w:r>
      <w:r w:rsidRPr="00B07396">
        <w:rPr>
          <w:rFonts w:ascii="Times New Roman" w:hAnsi="Times New Roman"/>
          <w:vertAlign w:val="subscript"/>
          <w:lang w:val="pt-BR"/>
        </w:rPr>
        <w:t>13</w:t>
      </w:r>
      <w:r w:rsidRPr="00B07396">
        <w:rPr>
          <w:rFonts w:ascii="Times New Roman" w:hAnsi="Times New Roman"/>
          <w:lang w:val="pt-BR"/>
        </w:rPr>
        <w:t>, b</w:t>
      </w:r>
      <w:r w:rsidRPr="00B07396">
        <w:rPr>
          <w:rFonts w:ascii="Times New Roman" w:hAnsi="Times New Roman"/>
          <w:vertAlign w:val="subscript"/>
          <w:lang w:val="pt-BR"/>
        </w:rPr>
        <w:t>23</w:t>
      </w:r>
      <w:r w:rsidR="00753549" w:rsidRPr="00B07396">
        <w:rPr>
          <w:rFonts w:ascii="Times New Roman" w:hAnsi="Times New Roman"/>
          <w:vertAlign w:val="subscript"/>
          <w:lang w:val="pt-BR"/>
        </w:rPr>
        <w:t xml:space="preserve"> </w:t>
      </w:r>
      <w:r w:rsidRPr="00B07396">
        <w:rPr>
          <w:rFonts w:ascii="Times New Roman" w:hAnsi="Times New Roman"/>
          <w:lang w:val="pt-BR"/>
        </w:rPr>
        <w:t>são os coeficientes de interação entre dois e três fatores. Como interações entre três fatores são raras, sendo geralmente atribuídas a flutuações aleatórias, estas não foram incluídas no modelo</w:t>
      </w:r>
      <w:r w:rsidR="0046440E" w:rsidRPr="00B07396">
        <w:rPr>
          <w:rFonts w:ascii="Times New Roman" w:hAnsi="Times New Roman"/>
          <w:lang w:val="pt-BR"/>
        </w:rPr>
        <w:t xml:space="preserve">, também foram realizadas duplicatas </w:t>
      </w:r>
      <w:r w:rsidR="00A01552" w:rsidRPr="00B07396">
        <w:rPr>
          <w:rFonts w:ascii="Times New Roman" w:hAnsi="Times New Roman"/>
          <w:lang w:val="pt-BR"/>
        </w:rPr>
        <w:t>das amostras 70</w:t>
      </w:r>
      <w:r w:rsidR="00605A7C" w:rsidRPr="00B07396">
        <w:rPr>
          <w:rFonts w:ascii="Times New Roman" w:hAnsi="Times New Roman"/>
          <w:lang w:val="pt-BR"/>
        </w:rPr>
        <w:t>.</w:t>
      </w:r>
      <w:r w:rsidR="00A01552" w:rsidRPr="00B07396">
        <w:rPr>
          <w:rFonts w:ascii="Times New Roman" w:hAnsi="Times New Roman"/>
          <w:lang w:val="pt-BR"/>
        </w:rPr>
        <w:t>85.C4 e 70,65</w:t>
      </w:r>
      <w:r w:rsidR="001376A0" w:rsidRPr="00B07396">
        <w:rPr>
          <w:rFonts w:ascii="Times New Roman" w:hAnsi="Times New Roman"/>
          <w:lang w:val="pt-BR"/>
        </w:rPr>
        <w:t>.</w:t>
      </w:r>
      <w:r w:rsidR="00A01552" w:rsidRPr="00B07396">
        <w:rPr>
          <w:rFonts w:ascii="Times New Roman" w:hAnsi="Times New Roman"/>
          <w:lang w:val="pt-BR"/>
        </w:rPr>
        <w:t>C10</w:t>
      </w:r>
      <w:r w:rsidR="00053823" w:rsidRPr="00B07396">
        <w:rPr>
          <w:rFonts w:ascii="Times New Roman" w:hAnsi="Times New Roman"/>
          <w:lang w:val="pt-BR"/>
        </w:rPr>
        <w:t xml:space="preserve"> para </w:t>
      </w:r>
      <w:r w:rsidR="00053823" w:rsidRPr="00B07396">
        <w:rPr>
          <w:rFonts w:ascii="Times New Roman" w:hAnsi="Times New Roman"/>
          <w:lang w:val="pt-BR"/>
        </w:rPr>
        <w:t>aument</w:t>
      </w:r>
      <w:r w:rsidR="00333C00" w:rsidRPr="00B07396">
        <w:rPr>
          <w:rFonts w:ascii="Times New Roman" w:hAnsi="Times New Roman"/>
          <w:lang w:val="pt-BR"/>
        </w:rPr>
        <w:t>ar o grau de liberdade</w:t>
      </w:r>
      <w:r w:rsidR="005E2168" w:rsidRPr="00B07396">
        <w:rPr>
          <w:rFonts w:ascii="Times New Roman" w:hAnsi="Times New Roman"/>
          <w:lang w:val="pt-BR"/>
        </w:rPr>
        <w:t xml:space="preserve"> e reduzir o erro estatístico</w:t>
      </w:r>
      <w:r w:rsidR="00DA7CEF" w:rsidRPr="00B07396">
        <w:rPr>
          <w:rFonts w:ascii="Times New Roman" w:hAnsi="Times New Roman"/>
          <w:lang w:val="pt-BR"/>
        </w:rPr>
        <w:t>.</w:t>
      </w:r>
      <w:r w:rsidRPr="00B07396">
        <w:rPr>
          <w:rFonts w:ascii="Times New Roman" w:hAnsi="Times New Roman"/>
          <w:lang w:val="pt-BR"/>
        </w:rPr>
        <w:t xml:space="preserve"> A significância dos efeitos de cada variável foi avaliada pela análise de variância (ANOVA) com intervalo de con</w:t>
      </w:r>
      <w:r w:rsidR="00D7732E" w:rsidRPr="00B07396">
        <w:rPr>
          <w:rFonts w:ascii="Times New Roman" w:hAnsi="Times New Roman"/>
          <w:lang w:val="pt-BR"/>
        </w:rPr>
        <w:t>fianç</w:t>
      </w:r>
      <w:r w:rsidRPr="00B07396">
        <w:rPr>
          <w:rFonts w:ascii="Times New Roman" w:hAnsi="Times New Roman"/>
          <w:lang w:val="pt-BR"/>
        </w:rPr>
        <w:t xml:space="preserve">a de 95%. Um valor de p de menos de 0,05 foi considerado como significativo. </w:t>
      </w:r>
      <w:r w:rsidR="00D417B1" w:rsidRPr="00B07396">
        <w:rPr>
          <w:rFonts w:ascii="Times New Roman" w:hAnsi="Times New Roman"/>
          <w:lang w:val="pt-BR"/>
        </w:rPr>
        <w:t xml:space="preserve">O tratamento estatístico do planejamento fatorial dos </w:t>
      </w:r>
      <w:proofErr w:type="spellStart"/>
      <w:r w:rsidR="00D417B1" w:rsidRPr="00B07396">
        <w:rPr>
          <w:rFonts w:ascii="Times New Roman" w:hAnsi="Times New Roman"/>
          <w:lang w:val="pt-BR"/>
        </w:rPr>
        <w:t>HDLs</w:t>
      </w:r>
      <w:proofErr w:type="spellEnd"/>
      <w:r w:rsidR="00D417B1" w:rsidRPr="00B07396">
        <w:rPr>
          <w:rFonts w:ascii="Times New Roman" w:hAnsi="Times New Roman"/>
          <w:lang w:val="pt-BR"/>
        </w:rPr>
        <w:t xml:space="preserve"> foi realizado pelo programa </w:t>
      </w:r>
      <w:proofErr w:type="spellStart"/>
      <w:r w:rsidR="00D417B1" w:rsidRPr="00B07396">
        <w:rPr>
          <w:rFonts w:ascii="Times New Roman" w:hAnsi="Times New Roman"/>
          <w:lang w:val="pt-BR"/>
        </w:rPr>
        <w:t>Minitab</w:t>
      </w:r>
      <w:proofErr w:type="spellEnd"/>
      <w:r w:rsidR="00D417B1" w:rsidRPr="00B07396">
        <w:rPr>
          <w:rFonts w:ascii="Times New Roman" w:hAnsi="Times New Roman"/>
          <w:lang w:val="pt-BR"/>
        </w:rPr>
        <w:t xml:space="preserve"> (</w:t>
      </w:r>
      <w:r w:rsidR="006251AE" w:rsidRPr="00B07396">
        <w:rPr>
          <w:rFonts w:ascii="Times New Roman" w:hAnsi="Times New Roman"/>
          <w:lang w:val="pt-BR"/>
        </w:rPr>
        <w:t>versão 20.4</w:t>
      </w:r>
      <w:r w:rsidR="00F603BE" w:rsidRPr="00B07396">
        <w:rPr>
          <w:rFonts w:ascii="Times New Roman" w:hAnsi="Times New Roman"/>
          <w:lang w:val="pt-BR"/>
        </w:rPr>
        <w:t>, 2021</w:t>
      </w:r>
      <w:r w:rsidR="00D417B1" w:rsidRPr="00B07396">
        <w:rPr>
          <w:rFonts w:ascii="Times New Roman" w:hAnsi="Times New Roman"/>
          <w:lang w:val="pt-BR"/>
        </w:rPr>
        <w:t>). A avaliação da significância de cada fator e das suas combinações foram realizadas por gráficos de Pareto. A tabela 1 apresenta a programação das 8 sínteses.</w:t>
      </w:r>
    </w:p>
    <w:p w14:paraId="77F0A4FB" w14:textId="438EDC3B" w:rsidR="00ED52A1" w:rsidRPr="00B07396" w:rsidRDefault="00831574" w:rsidP="00ED52A1">
      <w:pPr>
        <w:pStyle w:val="TAMainText"/>
        <w:rPr>
          <w:rFonts w:ascii="Times New Roman" w:hAnsi="Times New Roman"/>
          <w:lang w:val="pt-BR"/>
        </w:rPr>
      </w:pPr>
      <w:r w:rsidRPr="00B07396">
        <w:rPr>
          <w:rFonts w:ascii="Times New Roman" w:hAnsi="Times New Roman"/>
          <w:lang w:val="pt-BR"/>
        </w:rPr>
        <w:t xml:space="preserve">A nomenclatura das amostras seguirá o padrão A.B.C, onde A é a temperatura da síntese podendo ser 50 ou 70 para as amostras preparadas a 50°C e 70°C respectivamente; B o pH mantido durante a síntese; podendo ser 65 ou 85 para as amostras preparadas em pH 6,5 ou 8,5 respectivamente C o ânion </w:t>
      </w:r>
      <w:r w:rsidR="001451E7" w:rsidRPr="00B07396">
        <w:rPr>
          <w:rFonts w:ascii="Times New Roman" w:hAnsi="Times New Roman"/>
          <w:lang w:val="pt-BR"/>
        </w:rPr>
        <w:t>variando entre</w:t>
      </w:r>
      <w:r w:rsidRPr="00B07396">
        <w:rPr>
          <w:rFonts w:ascii="Times New Roman" w:hAnsi="Times New Roman"/>
          <w:lang w:val="pt-BR"/>
        </w:rPr>
        <w:t xml:space="preserve"> C4 para as amostras com </w:t>
      </w:r>
      <w:proofErr w:type="spellStart"/>
      <w:r w:rsidRPr="00B07396">
        <w:rPr>
          <w:rFonts w:ascii="Times New Roman" w:hAnsi="Times New Roman"/>
          <w:lang w:val="pt-BR"/>
        </w:rPr>
        <w:t>succinato</w:t>
      </w:r>
      <w:proofErr w:type="spellEnd"/>
      <w:r w:rsidRPr="00B07396">
        <w:rPr>
          <w:rFonts w:ascii="Times New Roman" w:hAnsi="Times New Roman"/>
          <w:lang w:val="pt-BR"/>
        </w:rPr>
        <w:t xml:space="preserve"> e C10 para as amostras com </w:t>
      </w:r>
      <w:proofErr w:type="spellStart"/>
      <w:r w:rsidRPr="00B07396">
        <w:rPr>
          <w:rFonts w:ascii="Times New Roman" w:hAnsi="Times New Roman"/>
          <w:lang w:val="pt-BR"/>
        </w:rPr>
        <w:t>sebacato</w:t>
      </w:r>
      <w:proofErr w:type="spellEnd"/>
      <w:r w:rsidR="00534C12" w:rsidRPr="00B07396">
        <w:rPr>
          <w:rFonts w:ascii="Times New Roman" w:hAnsi="Times New Roman"/>
          <w:lang w:val="pt-BR"/>
        </w:rPr>
        <w:t>, para as amostras de óxido misto é adicionado um -</w:t>
      </w:r>
      <w:r w:rsidR="003136CA" w:rsidRPr="00B07396">
        <w:rPr>
          <w:rFonts w:ascii="Times New Roman" w:hAnsi="Times New Roman"/>
          <w:lang w:val="pt-BR"/>
        </w:rPr>
        <w:t>O</w:t>
      </w:r>
      <w:r w:rsidR="00534C12" w:rsidRPr="00B07396">
        <w:rPr>
          <w:rFonts w:ascii="Times New Roman" w:hAnsi="Times New Roman"/>
          <w:lang w:val="pt-BR"/>
        </w:rPr>
        <w:t xml:space="preserve"> ao final</w:t>
      </w:r>
      <w:r w:rsidR="00D23A4C" w:rsidRPr="00B07396">
        <w:rPr>
          <w:rFonts w:ascii="Times New Roman" w:hAnsi="Times New Roman"/>
          <w:lang w:val="pt-BR"/>
        </w:rPr>
        <w:t xml:space="preserve"> da nomenclatura</w:t>
      </w:r>
      <w:r w:rsidRPr="00B07396">
        <w:rPr>
          <w:rFonts w:ascii="Times New Roman" w:hAnsi="Times New Roman"/>
          <w:lang w:val="pt-BR"/>
        </w:rPr>
        <w:t xml:space="preserve">. </w:t>
      </w:r>
    </w:p>
    <w:p w14:paraId="28B6AB91" w14:textId="77777777" w:rsidR="005938EF" w:rsidRPr="00B07396" w:rsidRDefault="005938EF" w:rsidP="00ED52A1">
      <w:pPr>
        <w:pStyle w:val="TAMainText"/>
        <w:rPr>
          <w:rFonts w:ascii="Times New Roman" w:hAnsi="Times New Roman"/>
          <w:lang w:val="pt-BR"/>
        </w:rPr>
      </w:pPr>
    </w:p>
    <w:p w14:paraId="4D00A42D" w14:textId="416905D0" w:rsidR="005938EF" w:rsidRPr="00B07396" w:rsidRDefault="005938EF" w:rsidP="005938EF">
      <w:pPr>
        <w:pStyle w:val="VDTableTitle"/>
        <w:spacing w:after="120"/>
        <w:jc w:val="both"/>
        <w:rPr>
          <w:rFonts w:ascii="Times New Roman" w:hAnsi="Times New Roman"/>
          <w:lang w:val="pt-BR"/>
        </w:rPr>
      </w:pPr>
      <w:r w:rsidRPr="00B07396">
        <w:rPr>
          <w:rFonts w:ascii="Times New Roman" w:hAnsi="Times New Roman"/>
          <w:b/>
          <w:lang w:val="pt-BR"/>
        </w:rPr>
        <w:t>Tabela 1.</w:t>
      </w:r>
      <w:r w:rsidRPr="00B07396">
        <w:rPr>
          <w:rFonts w:ascii="Times New Roman" w:hAnsi="Times New Roman"/>
          <w:lang w:val="pt-BR"/>
        </w:rPr>
        <w:t xml:space="preserve"> </w:t>
      </w:r>
      <w:r w:rsidR="00CF5A5C" w:rsidRPr="00B07396">
        <w:rPr>
          <w:rFonts w:ascii="Times New Roman" w:hAnsi="Times New Roman"/>
          <w:lang w:val="pt-BR"/>
        </w:rPr>
        <w:t>Design do fatorial e nomenclatura das amostras</w:t>
      </w:r>
      <w:r w:rsidRPr="00B07396">
        <w:rPr>
          <w:rFonts w:ascii="Times New Roman" w:hAnsi="Times New Roman"/>
          <w:lang w:val="pt-BR"/>
        </w:rPr>
        <w:t>.</w:t>
      </w:r>
    </w:p>
    <w:tbl>
      <w:tblPr>
        <w:tblW w:w="48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1"/>
        <w:gridCol w:w="1488"/>
        <w:gridCol w:w="914"/>
        <w:gridCol w:w="1201"/>
      </w:tblGrid>
      <w:tr w:rsidR="005938EF" w:rsidRPr="00B07396" w14:paraId="362CA7C3" w14:textId="77777777" w:rsidTr="00E372DB">
        <w:trPr>
          <w:jc w:val="center"/>
        </w:trPr>
        <w:tc>
          <w:tcPr>
            <w:tcW w:w="1201" w:type="dxa"/>
            <w:vAlign w:val="center"/>
          </w:tcPr>
          <w:p w14:paraId="632836E3" w14:textId="77777777" w:rsidR="005938EF" w:rsidRPr="00B07396" w:rsidRDefault="005938EF" w:rsidP="001237ED">
            <w:pPr>
              <w:pStyle w:val="TCTableBody"/>
              <w:jc w:val="center"/>
              <w:rPr>
                <w:lang w:val="pt-BR"/>
              </w:rPr>
            </w:pPr>
            <w:proofErr w:type="spellStart"/>
            <w:r w:rsidRPr="00B07396">
              <w:t>Amostra</w:t>
            </w:r>
            <w:proofErr w:type="spellEnd"/>
          </w:p>
        </w:tc>
        <w:tc>
          <w:tcPr>
            <w:tcW w:w="1488" w:type="dxa"/>
            <w:vAlign w:val="center"/>
          </w:tcPr>
          <w:p w14:paraId="18CE8D8A" w14:textId="46705EC3" w:rsidR="005938EF" w:rsidRPr="00B07396" w:rsidRDefault="00C20CA0" w:rsidP="001237ED">
            <w:pPr>
              <w:pStyle w:val="TCTableBody"/>
              <w:jc w:val="center"/>
              <w:rPr>
                <w:lang w:val="pt-BR"/>
              </w:rPr>
            </w:pPr>
            <w:proofErr w:type="spellStart"/>
            <w:r w:rsidRPr="00B07396">
              <w:t>Temperatura</w:t>
            </w:r>
            <w:proofErr w:type="spellEnd"/>
            <w:r w:rsidR="00E372DB" w:rsidRPr="00B07396">
              <w:t xml:space="preserve"> (C°)</w:t>
            </w:r>
          </w:p>
        </w:tc>
        <w:tc>
          <w:tcPr>
            <w:tcW w:w="914" w:type="dxa"/>
            <w:vAlign w:val="center"/>
          </w:tcPr>
          <w:p w14:paraId="4718B043" w14:textId="662E0C38" w:rsidR="005938EF" w:rsidRPr="00B07396" w:rsidRDefault="00C20CA0" w:rsidP="001237ED">
            <w:pPr>
              <w:pStyle w:val="TCTableBody"/>
              <w:jc w:val="center"/>
              <w:rPr>
                <w:lang w:val="pt-BR"/>
              </w:rPr>
            </w:pPr>
            <w:r w:rsidRPr="00B07396">
              <w:t>pH</w:t>
            </w:r>
          </w:p>
        </w:tc>
        <w:tc>
          <w:tcPr>
            <w:tcW w:w="1201" w:type="dxa"/>
            <w:vAlign w:val="center"/>
          </w:tcPr>
          <w:p w14:paraId="192EDEF9" w14:textId="4FB6C80E" w:rsidR="005938EF" w:rsidRPr="00B07396" w:rsidRDefault="00C20CA0" w:rsidP="001237ED">
            <w:pPr>
              <w:pStyle w:val="TCTableBody"/>
              <w:jc w:val="center"/>
              <w:rPr>
                <w:lang w:val="pt-BR"/>
              </w:rPr>
            </w:pPr>
            <w:proofErr w:type="spellStart"/>
            <w:r w:rsidRPr="00B07396">
              <w:t>Â</w:t>
            </w:r>
            <w:r w:rsidR="00E372DB" w:rsidRPr="00B07396">
              <w:t>nion</w:t>
            </w:r>
            <w:proofErr w:type="spellEnd"/>
          </w:p>
        </w:tc>
      </w:tr>
      <w:tr w:rsidR="005938EF" w:rsidRPr="00B07396" w14:paraId="4D5D36FB" w14:textId="77777777" w:rsidTr="00E372DB">
        <w:trPr>
          <w:trHeight w:val="454"/>
          <w:jc w:val="center"/>
        </w:trPr>
        <w:tc>
          <w:tcPr>
            <w:tcW w:w="1201" w:type="dxa"/>
            <w:tcBorders>
              <w:bottom w:val="single" w:sz="6" w:space="0" w:color="auto"/>
            </w:tcBorders>
            <w:vAlign w:val="center"/>
          </w:tcPr>
          <w:p w14:paraId="6A2CAB3F" w14:textId="26644968" w:rsidR="005938EF" w:rsidRPr="00B07396" w:rsidRDefault="005938EF" w:rsidP="001237ED">
            <w:pPr>
              <w:pStyle w:val="TCTableBody"/>
              <w:jc w:val="center"/>
              <w:rPr>
                <w:lang w:val="pt-BR"/>
              </w:rPr>
            </w:pPr>
            <w:r w:rsidRPr="00B07396">
              <w:t>50.65</w:t>
            </w:r>
            <w:r w:rsidR="00E16040" w:rsidRPr="00B07396">
              <w:t>.C4</w:t>
            </w:r>
          </w:p>
        </w:tc>
        <w:tc>
          <w:tcPr>
            <w:tcW w:w="1488" w:type="dxa"/>
            <w:tcBorders>
              <w:bottom w:val="single" w:sz="6" w:space="0" w:color="auto"/>
            </w:tcBorders>
            <w:vAlign w:val="center"/>
          </w:tcPr>
          <w:p w14:paraId="4EB26DB2" w14:textId="77777777" w:rsidR="005938EF" w:rsidRPr="00B07396" w:rsidRDefault="005938EF" w:rsidP="001237ED">
            <w:pPr>
              <w:pStyle w:val="TCTableBody"/>
              <w:jc w:val="center"/>
              <w:rPr>
                <w:lang w:val="pt-BR"/>
              </w:rPr>
            </w:pPr>
            <w:r w:rsidRPr="00B07396">
              <w:t>50(-)</w:t>
            </w:r>
          </w:p>
        </w:tc>
        <w:tc>
          <w:tcPr>
            <w:tcW w:w="914" w:type="dxa"/>
            <w:tcBorders>
              <w:bottom w:val="single" w:sz="6" w:space="0" w:color="auto"/>
            </w:tcBorders>
            <w:vAlign w:val="center"/>
          </w:tcPr>
          <w:p w14:paraId="2E272F64" w14:textId="77777777" w:rsidR="005938EF" w:rsidRPr="00B07396" w:rsidRDefault="005938EF" w:rsidP="001237ED">
            <w:pPr>
              <w:pStyle w:val="TCTableBody"/>
              <w:jc w:val="center"/>
              <w:rPr>
                <w:lang w:val="pt-BR"/>
              </w:rPr>
            </w:pPr>
            <w:r w:rsidRPr="00B07396">
              <w:t>6,5(-)</w:t>
            </w:r>
          </w:p>
        </w:tc>
        <w:tc>
          <w:tcPr>
            <w:tcW w:w="1201" w:type="dxa"/>
            <w:tcBorders>
              <w:bottom w:val="single" w:sz="6" w:space="0" w:color="auto"/>
            </w:tcBorders>
            <w:vAlign w:val="center"/>
          </w:tcPr>
          <w:p w14:paraId="3051CE1F" w14:textId="77777777" w:rsidR="005938EF" w:rsidRPr="00B07396" w:rsidRDefault="005938EF" w:rsidP="001237ED">
            <w:pPr>
              <w:pStyle w:val="TCTableBody"/>
              <w:jc w:val="center"/>
              <w:rPr>
                <w:lang w:val="pt-BR"/>
              </w:rPr>
            </w:pPr>
            <w:r w:rsidRPr="00B07396">
              <w:t>C4(-)</w:t>
            </w:r>
          </w:p>
        </w:tc>
      </w:tr>
      <w:tr w:rsidR="005938EF" w:rsidRPr="00B07396" w14:paraId="4859C5C3" w14:textId="77777777" w:rsidTr="00E372DB">
        <w:trPr>
          <w:trHeight w:val="454"/>
          <w:jc w:val="center"/>
        </w:trPr>
        <w:tc>
          <w:tcPr>
            <w:tcW w:w="1201" w:type="dxa"/>
            <w:tcBorders>
              <w:bottom w:val="single" w:sz="6" w:space="0" w:color="auto"/>
            </w:tcBorders>
            <w:vAlign w:val="center"/>
          </w:tcPr>
          <w:p w14:paraId="0C130C1C" w14:textId="4EDAF45F" w:rsidR="005938EF" w:rsidRPr="00B07396" w:rsidRDefault="005938EF" w:rsidP="001237ED">
            <w:pPr>
              <w:pStyle w:val="TCTableBody"/>
              <w:jc w:val="center"/>
              <w:rPr>
                <w:lang w:val="pt-BR"/>
              </w:rPr>
            </w:pPr>
            <w:r w:rsidRPr="00B07396">
              <w:t>70.65</w:t>
            </w:r>
            <w:r w:rsidR="00E16040" w:rsidRPr="00B07396">
              <w:t>.C4</w:t>
            </w:r>
          </w:p>
        </w:tc>
        <w:tc>
          <w:tcPr>
            <w:tcW w:w="1488" w:type="dxa"/>
            <w:tcBorders>
              <w:bottom w:val="single" w:sz="6" w:space="0" w:color="auto"/>
            </w:tcBorders>
            <w:vAlign w:val="center"/>
          </w:tcPr>
          <w:p w14:paraId="51C4483E" w14:textId="77777777" w:rsidR="005938EF" w:rsidRPr="00B07396" w:rsidRDefault="005938EF" w:rsidP="001237ED">
            <w:pPr>
              <w:pStyle w:val="TCTableBody"/>
              <w:jc w:val="center"/>
              <w:rPr>
                <w:lang w:val="pt-BR"/>
              </w:rPr>
            </w:pPr>
            <w:r w:rsidRPr="00B07396">
              <w:t>70(+)</w:t>
            </w:r>
          </w:p>
        </w:tc>
        <w:tc>
          <w:tcPr>
            <w:tcW w:w="914" w:type="dxa"/>
            <w:tcBorders>
              <w:bottom w:val="single" w:sz="6" w:space="0" w:color="auto"/>
            </w:tcBorders>
            <w:vAlign w:val="center"/>
          </w:tcPr>
          <w:p w14:paraId="72144398" w14:textId="77777777" w:rsidR="005938EF" w:rsidRPr="00B07396" w:rsidRDefault="005938EF" w:rsidP="001237ED">
            <w:pPr>
              <w:pStyle w:val="TCTableBody"/>
              <w:jc w:val="center"/>
              <w:rPr>
                <w:lang w:val="pt-BR"/>
              </w:rPr>
            </w:pPr>
            <w:r w:rsidRPr="00B07396">
              <w:t>6,5(-)</w:t>
            </w:r>
          </w:p>
        </w:tc>
        <w:tc>
          <w:tcPr>
            <w:tcW w:w="1201" w:type="dxa"/>
            <w:tcBorders>
              <w:bottom w:val="single" w:sz="6" w:space="0" w:color="auto"/>
            </w:tcBorders>
            <w:vAlign w:val="center"/>
          </w:tcPr>
          <w:p w14:paraId="0E720C97" w14:textId="77777777" w:rsidR="005938EF" w:rsidRPr="00B07396" w:rsidRDefault="005938EF" w:rsidP="001237ED">
            <w:pPr>
              <w:pStyle w:val="TCTableBody"/>
              <w:jc w:val="center"/>
              <w:rPr>
                <w:lang w:val="pt-BR"/>
              </w:rPr>
            </w:pPr>
            <w:r w:rsidRPr="00B07396">
              <w:t>C4(-)</w:t>
            </w:r>
          </w:p>
        </w:tc>
      </w:tr>
      <w:tr w:rsidR="005938EF" w:rsidRPr="00B07396" w14:paraId="06E75EF1" w14:textId="77777777" w:rsidTr="00E372DB">
        <w:trPr>
          <w:trHeight w:val="454"/>
          <w:jc w:val="center"/>
        </w:trPr>
        <w:tc>
          <w:tcPr>
            <w:tcW w:w="1201" w:type="dxa"/>
            <w:tcBorders>
              <w:bottom w:val="single" w:sz="6" w:space="0" w:color="auto"/>
            </w:tcBorders>
            <w:vAlign w:val="center"/>
          </w:tcPr>
          <w:p w14:paraId="37049990" w14:textId="713D82C7" w:rsidR="005938EF" w:rsidRPr="00B07396" w:rsidRDefault="005938EF" w:rsidP="001237ED">
            <w:pPr>
              <w:pStyle w:val="TCTableBody"/>
              <w:jc w:val="center"/>
              <w:rPr>
                <w:lang w:val="pt-BR"/>
              </w:rPr>
            </w:pPr>
            <w:r w:rsidRPr="00B07396">
              <w:t>50.85</w:t>
            </w:r>
            <w:r w:rsidR="00E16040" w:rsidRPr="00B07396">
              <w:t>.C4</w:t>
            </w:r>
          </w:p>
        </w:tc>
        <w:tc>
          <w:tcPr>
            <w:tcW w:w="1488" w:type="dxa"/>
            <w:tcBorders>
              <w:bottom w:val="single" w:sz="6" w:space="0" w:color="auto"/>
            </w:tcBorders>
            <w:vAlign w:val="center"/>
          </w:tcPr>
          <w:p w14:paraId="46840D57" w14:textId="77777777" w:rsidR="005938EF" w:rsidRPr="00B07396" w:rsidRDefault="005938EF" w:rsidP="001237ED">
            <w:pPr>
              <w:pStyle w:val="TCTableBody"/>
              <w:jc w:val="center"/>
              <w:rPr>
                <w:lang w:val="pt-BR"/>
              </w:rPr>
            </w:pPr>
            <w:r w:rsidRPr="00B07396">
              <w:t>50(-)</w:t>
            </w:r>
          </w:p>
        </w:tc>
        <w:tc>
          <w:tcPr>
            <w:tcW w:w="914" w:type="dxa"/>
            <w:tcBorders>
              <w:bottom w:val="single" w:sz="6" w:space="0" w:color="auto"/>
            </w:tcBorders>
            <w:vAlign w:val="center"/>
          </w:tcPr>
          <w:p w14:paraId="5300AF40" w14:textId="77777777" w:rsidR="005938EF" w:rsidRPr="00B07396" w:rsidRDefault="005938EF" w:rsidP="001237ED">
            <w:pPr>
              <w:pStyle w:val="TCTableBody"/>
              <w:jc w:val="center"/>
              <w:rPr>
                <w:lang w:val="pt-BR"/>
              </w:rPr>
            </w:pPr>
            <w:r w:rsidRPr="00B07396">
              <w:t>8,5(+)</w:t>
            </w:r>
          </w:p>
        </w:tc>
        <w:tc>
          <w:tcPr>
            <w:tcW w:w="1201" w:type="dxa"/>
            <w:tcBorders>
              <w:bottom w:val="single" w:sz="6" w:space="0" w:color="auto"/>
            </w:tcBorders>
            <w:vAlign w:val="center"/>
          </w:tcPr>
          <w:p w14:paraId="5C5012A0" w14:textId="77777777" w:rsidR="005938EF" w:rsidRPr="00B07396" w:rsidRDefault="005938EF" w:rsidP="001237ED">
            <w:pPr>
              <w:pStyle w:val="TCTableBody"/>
              <w:jc w:val="center"/>
              <w:rPr>
                <w:lang w:val="pt-BR"/>
              </w:rPr>
            </w:pPr>
            <w:r w:rsidRPr="00B07396">
              <w:t>C4(-)</w:t>
            </w:r>
          </w:p>
        </w:tc>
      </w:tr>
      <w:tr w:rsidR="005938EF" w:rsidRPr="00B07396" w14:paraId="492F9063" w14:textId="77777777" w:rsidTr="00E372DB">
        <w:trPr>
          <w:trHeight w:val="454"/>
          <w:jc w:val="center"/>
        </w:trPr>
        <w:tc>
          <w:tcPr>
            <w:tcW w:w="1201" w:type="dxa"/>
            <w:tcBorders>
              <w:bottom w:val="single" w:sz="6" w:space="0" w:color="auto"/>
            </w:tcBorders>
            <w:vAlign w:val="center"/>
          </w:tcPr>
          <w:p w14:paraId="7531FCB8" w14:textId="7C5992CA" w:rsidR="005938EF" w:rsidRPr="00B07396" w:rsidRDefault="005938EF" w:rsidP="001237ED">
            <w:pPr>
              <w:pStyle w:val="TCTableBody"/>
              <w:jc w:val="center"/>
              <w:rPr>
                <w:lang w:val="pt-BR"/>
              </w:rPr>
            </w:pPr>
            <w:r w:rsidRPr="00B07396">
              <w:t>70.85</w:t>
            </w:r>
            <w:r w:rsidR="00E16040" w:rsidRPr="00B07396">
              <w:t>.C4</w:t>
            </w:r>
          </w:p>
        </w:tc>
        <w:tc>
          <w:tcPr>
            <w:tcW w:w="1488" w:type="dxa"/>
            <w:tcBorders>
              <w:bottom w:val="single" w:sz="6" w:space="0" w:color="auto"/>
            </w:tcBorders>
            <w:vAlign w:val="center"/>
          </w:tcPr>
          <w:p w14:paraId="19B90F64" w14:textId="77777777" w:rsidR="005938EF" w:rsidRPr="00B07396" w:rsidRDefault="005938EF" w:rsidP="001237ED">
            <w:pPr>
              <w:pStyle w:val="TCTableBody"/>
              <w:jc w:val="center"/>
              <w:rPr>
                <w:lang w:val="pt-BR"/>
              </w:rPr>
            </w:pPr>
            <w:r w:rsidRPr="00B07396">
              <w:t>70(+)</w:t>
            </w:r>
          </w:p>
        </w:tc>
        <w:tc>
          <w:tcPr>
            <w:tcW w:w="914" w:type="dxa"/>
            <w:tcBorders>
              <w:bottom w:val="single" w:sz="6" w:space="0" w:color="auto"/>
            </w:tcBorders>
            <w:vAlign w:val="center"/>
          </w:tcPr>
          <w:p w14:paraId="6B901C35" w14:textId="77777777" w:rsidR="005938EF" w:rsidRPr="00B07396" w:rsidRDefault="005938EF" w:rsidP="001237ED">
            <w:pPr>
              <w:pStyle w:val="TCTableBody"/>
              <w:jc w:val="center"/>
              <w:rPr>
                <w:lang w:val="pt-BR"/>
              </w:rPr>
            </w:pPr>
            <w:r w:rsidRPr="00B07396">
              <w:t>8,5(+)</w:t>
            </w:r>
          </w:p>
        </w:tc>
        <w:tc>
          <w:tcPr>
            <w:tcW w:w="1201" w:type="dxa"/>
            <w:tcBorders>
              <w:bottom w:val="single" w:sz="6" w:space="0" w:color="auto"/>
            </w:tcBorders>
            <w:vAlign w:val="center"/>
          </w:tcPr>
          <w:p w14:paraId="129715E4" w14:textId="77777777" w:rsidR="005938EF" w:rsidRPr="00B07396" w:rsidRDefault="005938EF" w:rsidP="001237ED">
            <w:pPr>
              <w:pStyle w:val="TCTableBody"/>
              <w:jc w:val="center"/>
              <w:rPr>
                <w:lang w:val="pt-BR"/>
              </w:rPr>
            </w:pPr>
            <w:r w:rsidRPr="00B07396">
              <w:t>C4(-)</w:t>
            </w:r>
          </w:p>
        </w:tc>
      </w:tr>
      <w:tr w:rsidR="005938EF" w:rsidRPr="00B07396" w14:paraId="4FE9AEE2" w14:textId="77777777" w:rsidTr="00E372DB">
        <w:trPr>
          <w:trHeight w:val="454"/>
          <w:jc w:val="center"/>
        </w:trPr>
        <w:tc>
          <w:tcPr>
            <w:tcW w:w="1201" w:type="dxa"/>
            <w:tcBorders>
              <w:bottom w:val="single" w:sz="6" w:space="0" w:color="auto"/>
            </w:tcBorders>
            <w:vAlign w:val="center"/>
          </w:tcPr>
          <w:p w14:paraId="40C30786" w14:textId="178F98D8" w:rsidR="005938EF" w:rsidRPr="00B07396" w:rsidRDefault="005938EF" w:rsidP="001237ED">
            <w:pPr>
              <w:pStyle w:val="TCTableBody"/>
              <w:jc w:val="center"/>
              <w:rPr>
                <w:lang w:val="pt-BR"/>
              </w:rPr>
            </w:pPr>
            <w:r w:rsidRPr="00B07396">
              <w:t>50.65</w:t>
            </w:r>
            <w:r w:rsidR="00E16040" w:rsidRPr="00B07396">
              <w:t>.C10</w:t>
            </w:r>
          </w:p>
        </w:tc>
        <w:tc>
          <w:tcPr>
            <w:tcW w:w="1488" w:type="dxa"/>
            <w:tcBorders>
              <w:bottom w:val="single" w:sz="6" w:space="0" w:color="auto"/>
            </w:tcBorders>
            <w:vAlign w:val="center"/>
          </w:tcPr>
          <w:p w14:paraId="15046631" w14:textId="77777777" w:rsidR="005938EF" w:rsidRPr="00B07396" w:rsidRDefault="005938EF" w:rsidP="001237ED">
            <w:pPr>
              <w:pStyle w:val="TCTableBody"/>
              <w:jc w:val="center"/>
              <w:rPr>
                <w:lang w:val="pt-BR"/>
              </w:rPr>
            </w:pPr>
            <w:r w:rsidRPr="00B07396">
              <w:t>50(-)</w:t>
            </w:r>
          </w:p>
        </w:tc>
        <w:tc>
          <w:tcPr>
            <w:tcW w:w="914" w:type="dxa"/>
            <w:tcBorders>
              <w:bottom w:val="single" w:sz="6" w:space="0" w:color="auto"/>
            </w:tcBorders>
            <w:vAlign w:val="center"/>
          </w:tcPr>
          <w:p w14:paraId="64D1165A" w14:textId="77777777" w:rsidR="005938EF" w:rsidRPr="00B07396" w:rsidRDefault="005938EF" w:rsidP="001237ED">
            <w:pPr>
              <w:pStyle w:val="TCTableBody"/>
              <w:jc w:val="center"/>
              <w:rPr>
                <w:lang w:val="pt-BR"/>
              </w:rPr>
            </w:pPr>
            <w:r w:rsidRPr="00B07396">
              <w:t>6,5(-)</w:t>
            </w:r>
          </w:p>
        </w:tc>
        <w:tc>
          <w:tcPr>
            <w:tcW w:w="1201" w:type="dxa"/>
            <w:tcBorders>
              <w:bottom w:val="single" w:sz="6" w:space="0" w:color="auto"/>
            </w:tcBorders>
            <w:vAlign w:val="center"/>
          </w:tcPr>
          <w:p w14:paraId="44536F82" w14:textId="77777777" w:rsidR="005938EF" w:rsidRPr="00B07396" w:rsidRDefault="005938EF" w:rsidP="001237ED">
            <w:pPr>
              <w:pStyle w:val="TCTableBody"/>
              <w:jc w:val="center"/>
              <w:rPr>
                <w:lang w:val="pt-BR"/>
              </w:rPr>
            </w:pPr>
            <w:r w:rsidRPr="00B07396">
              <w:t>C10(+)</w:t>
            </w:r>
          </w:p>
        </w:tc>
      </w:tr>
      <w:tr w:rsidR="005938EF" w:rsidRPr="00B07396" w14:paraId="3900E84F" w14:textId="77777777" w:rsidTr="00E372DB">
        <w:trPr>
          <w:trHeight w:val="454"/>
          <w:jc w:val="center"/>
        </w:trPr>
        <w:tc>
          <w:tcPr>
            <w:tcW w:w="1201" w:type="dxa"/>
            <w:tcBorders>
              <w:bottom w:val="single" w:sz="6" w:space="0" w:color="auto"/>
            </w:tcBorders>
            <w:vAlign w:val="center"/>
          </w:tcPr>
          <w:p w14:paraId="52E6FA14" w14:textId="4C9E7D51" w:rsidR="005938EF" w:rsidRPr="00B07396" w:rsidRDefault="005938EF" w:rsidP="001237ED">
            <w:pPr>
              <w:pStyle w:val="TCTableBody"/>
              <w:jc w:val="center"/>
              <w:rPr>
                <w:lang w:val="pt-BR"/>
              </w:rPr>
            </w:pPr>
            <w:r w:rsidRPr="00B07396">
              <w:t>70.65</w:t>
            </w:r>
            <w:r w:rsidR="00E16040" w:rsidRPr="00B07396">
              <w:t>.C10</w:t>
            </w:r>
          </w:p>
        </w:tc>
        <w:tc>
          <w:tcPr>
            <w:tcW w:w="1488" w:type="dxa"/>
            <w:tcBorders>
              <w:bottom w:val="single" w:sz="6" w:space="0" w:color="auto"/>
            </w:tcBorders>
            <w:vAlign w:val="center"/>
          </w:tcPr>
          <w:p w14:paraId="0214B347" w14:textId="77777777" w:rsidR="005938EF" w:rsidRPr="00B07396" w:rsidRDefault="005938EF" w:rsidP="001237ED">
            <w:pPr>
              <w:pStyle w:val="TCTableBody"/>
              <w:jc w:val="center"/>
              <w:rPr>
                <w:lang w:val="pt-BR"/>
              </w:rPr>
            </w:pPr>
            <w:r w:rsidRPr="00B07396">
              <w:t>70(+)</w:t>
            </w:r>
          </w:p>
        </w:tc>
        <w:tc>
          <w:tcPr>
            <w:tcW w:w="914" w:type="dxa"/>
            <w:tcBorders>
              <w:bottom w:val="single" w:sz="6" w:space="0" w:color="auto"/>
            </w:tcBorders>
            <w:vAlign w:val="center"/>
          </w:tcPr>
          <w:p w14:paraId="6F2E4E62" w14:textId="77777777" w:rsidR="005938EF" w:rsidRPr="00B07396" w:rsidRDefault="005938EF" w:rsidP="001237ED">
            <w:pPr>
              <w:pStyle w:val="TCTableBody"/>
              <w:jc w:val="center"/>
              <w:rPr>
                <w:lang w:val="pt-BR"/>
              </w:rPr>
            </w:pPr>
            <w:r w:rsidRPr="00B07396">
              <w:t>6,5(-)</w:t>
            </w:r>
          </w:p>
        </w:tc>
        <w:tc>
          <w:tcPr>
            <w:tcW w:w="1201" w:type="dxa"/>
            <w:tcBorders>
              <w:bottom w:val="single" w:sz="6" w:space="0" w:color="auto"/>
            </w:tcBorders>
            <w:vAlign w:val="center"/>
          </w:tcPr>
          <w:p w14:paraId="5E81EA28" w14:textId="77777777" w:rsidR="005938EF" w:rsidRPr="00B07396" w:rsidRDefault="005938EF" w:rsidP="001237ED">
            <w:pPr>
              <w:pStyle w:val="TCTableBody"/>
              <w:jc w:val="center"/>
              <w:rPr>
                <w:lang w:val="pt-BR"/>
              </w:rPr>
            </w:pPr>
            <w:r w:rsidRPr="00B07396">
              <w:t>C10(+)</w:t>
            </w:r>
          </w:p>
        </w:tc>
      </w:tr>
      <w:tr w:rsidR="005938EF" w:rsidRPr="00B07396" w14:paraId="57A8E997" w14:textId="77777777" w:rsidTr="00E372DB">
        <w:trPr>
          <w:trHeight w:val="454"/>
          <w:jc w:val="center"/>
        </w:trPr>
        <w:tc>
          <w:tcPr>
            <w:tcW w:w="1201" w:type="dxa"/>
            <w:tcBorders>
              <w:bottom w:val="single" w:sz="6" w:space="0" w:color="auto"/>
            </w:tcBorders>
            <w:vAlign w:val="center"/>
          </w:tcPr>
          <w:p w14:paraId="72DCE820" w14:textId="120262CD" w:rsidR="005938EF" w:rsidRPr="00B07396" w:rsidRDefault="005938EF" w:rsidP="001237ED">
            <w:pPr>
              <w:pStyle w:val="TCTableBody"/>
              <w:jc w:val="center"/>
              <w:rPr>
                <w:lang w:val="pt-BR"/>
              </w:rPr>
            </w:pPr>
            <w:r w:rsidRPr="00B07396">
              <w:t>50.85</w:t>
            </w:r>
            <w:r w:rsidR="00E16040" w:rsidRPr="00B07396">
              <w:t>.C10</w:t>
            </w:r>
          </w:p>
        </w:tc>
        <w:tc>
          <w:tcPr>
            <w:tcW w:w="1488" w:type="dxa"/>
            <w:tcBorders>
              <w:bottom w:val="single" w:sz="6" w:space="0" w:color="auto"/>
            </w:tcBorders>
            <w:vAlign w:val="center"/>
          </w:tcPr>
          <w:p w14:paraId="1FC21421" w14:textId="77777777" w:rsidR="005938EF" w:rsidRPr="00B07396" w:rsidRDefault="005938EF" w:rsidP="001237ED">
            <w:pPr>
              <w:pStyle w:val="TCTableBody"/>
              <w:jc w:val="center"/>
              <w:rPr>
                <w:lang w:val="pt-BR"/>
              </w:rPr>
            </w:pPr>
            <w:r w:rsidRPr="00B07396">
              <w:t>50(-)</w:t>
            </w:r>
          </w:p>
        </w:tc>
        <w:tc>
          <w:tcPr>
            <w:tcW w:w="914" w:type="dxa"/>
            <w:tcBorders>
              <w:bottom w:val="single" w:sz="6" w:space="0" w:color="auto"/>
            </w:tcBorders>
            <w:vAlign w:val="center"/>
          </w:tcPr>
          <w:p w14:paraId="738AFD3E" w14:textId="77777777" w:rsidR="005938EF" w:rsidRPr="00B07396" w:rsidRDefault="005938EF" w:rsidP="001237ED">
            <w:pPr>
              <w:pStyle w:val="TCTableBody"/>
              <w:jc w:val="center"/>
              <w:rPr>
                <w:lang w:val="pt-BR"/>
              </w:rPr>
            </w:pPr>
            <w:r w:rsidRPr="00B07396">
              <w:t>8,5(+)</w:t>
            </w:r>
          </w:p>
        </w:tc>
        <w:tc>
          <w:tcPr>
            <w:tcW w:w="1201" w:type="dxa"/>
            <w:tcBorders>
              <w:bottom w:val="single" w:sz="6" w:space="0" w:color="auto"/>
            </w:tcBorders>
            <w:vAlign w:val="center"/>
          </w:tcPr>
          <w:p w14:paraId="362229C3" w14:textId="77777777" w:rsidR="005938EF" w:rsidRPr="00B07396" w:rsidRDefault="005938EF" w:rsidP="001237ED">
            <w:pPr>
              <w:pStyle w:val="TCTableBody"/>
              <w:jc w:val="center"/>
              <w:rPr>
                <w:lang w:val="pt-BR"/>
              </w:rPr>
            </w:pPr>
            <w:r w:rsidRPr="00B07396">
              <w:t>C10(+)</w:t>
            </w:r>
          </w:p>
        </w:tc>
      </w:tr>
      <w:tr w:rsidR="005938EF" w:rsidRPr="00B07396" w14:paraId="75D7E6C0" w14:textId="77777777" w:rsidTr="00E372DB">
        <w:trPr>
          <w:trHeight w:val="454"/>
          <w:jc w:val="center"/>
        </w:trPr>
        <w:tc>
          <w:tcPr>
            <w:tcW w:w="1201" w:type="dxa"/>
            <w:tcBorders>
              <w:bottom w:val="single" w:sz="6" w:space="0" w:color="auto"/>
            </w:tcBorders>
            <w:vAlign w:val="center"/>
          </w:tcPr>
          <w:p w14:paraId="06163833" w14:textId="19E39FBF" w:rsidR="005938EF" w:rsidRPr="00B07396" w:rsidRDefault="005938EF" w:rsidP="001237ED">
            <w:pPr>
              <w:pStyle w:val="TCTableBody"/>
              <w:jc w:val="center"/>
              <w:rPr>
                <w:lang w:val="pt-BR"/>
              </w:rPr>
            </w:pPr>
            <w:r w:rsidRPr="00B07396">
              <w:t>70.85</w:t>
            </w:r>
            <w:r w:rsidR="00E16040" w:rsidRPr="00B07396">
              <w:t>.C10</w:t>
            </w:r>
          </w:p>
        </w:tc>
        <w:tc>
          <w:tcPr>
            <w:tcW w:w="1488" w:type="dxa"/>
            <w:tcBorders>
              <w:bottom w:val="single" w:sz="6" w:space="0" w:color="auto"/>
            </w:tcBorders>
            <w:vAlign w:val="center"/>
          </w:tcPr>
          <w:p w14:paraId="1D76B70C" w14:textId="77777777" w:rsidR="005938EF" w:rsidRPr="00B07396" w:rsidRDefault="005938EF" w:rsidP="001237ED">
            <w:pPr>
              <w:pStyle w:val="TCTableBody"/>
              <w:jc w:val="center"/>
              <w:rPr>
                <w:lang w:val="pt-BR"/>
              </w:rPr>
            </w:pPr>
            <w:r w:rsidRPr="00B07396">
              <w:t>70(+)</w:t>
            </w:r>
          </w:p>
        </w:tc>
        <w:tc>
          <w:tcPr>
            <w:tcW w:w="914" w:type="dxa"/>
            <w:tcBorders>
              <w:bottom w:val="single" w:sz="6" w:space="0" w:color="auto"/>
            </w:tcBorders>
            <w:vAlign w:val="center"/>
          </w:tcPr>
          <w:p w14:paraId="6E591BE0" w14:textId="77777777" w:rsidR="005938EF" w:rsidRPr="00B07396" w:rsidRDefault="005938EF" w:rsidP="001237ED">
            <w:pPr>
              <w:pStyle w:val="TCTableBody"/>
              <w:jc w:val="center"/>
              <w:rPr>
                <w:lang w:val="pt-BR"/>
              </w:rPr>
            </w:pPr>
            <w:r w:rsidRPr="00B07396">
              <w:t>8,5(+)</w:t>
            </w:r>
          </w:p>
        </w:tc>
        <w:tc>
          <w:tcPr>
            <w:tcW w:w="1201" w:type="dxa"/>
            <w:tcBorders>
              <w:bottom w:val="single" w:sz="6" w:space="0" w:color="auto"/>
            </w:tcBorders>
            <w:vAlign w:val="center"/>
          </w:tcPr>
          <w:p w14:paraId="6B8F5C61" w14:textId="77777777" w:rsidR="005938EF" w:rsidRPr="00B07396" w:rsidRDefault="005938EF" w:rsidP="001237ED">
            <w:pPr>
              <w:pStyle w:val="TCTableBody"/>
              <w:jc w:val="center"/>
              <w:rPr>
                <w:lang w:val="pt-BR"/>
              </w:rPr>
            </w:pPr>
            <w:r w:rsidRPr="00B07396">
              <w:t>C10(+)</w:t>
            </w:r>
          </w:p>
        </w:tc>
      </w:tr>
      <w:tr w:rsidR="005938EF" w:rsidRPr="00B07396" w14:paraId="33017CF9" w14:textId="77777777" w:rsidTr="001237ED">
        <w:trPr>
          <w:jc w:val="center"/>
        </w:trPr>
        <w:tc>
          <w:tcPr>
            <w:tcW w:w="4804" w:type="dxa"/>
            <w:gridSpan w:val="4"/>
            <w:tcBorders>
              <w:top w:val="single" w:sz="6" w:space="0" w:color="auto"/>
              <w:left w:val="nil"/>
              <w:bottom w:val="nil"/>
              <w:right w:val="nil"/>
            </w:tcBorders>
            <w:vAlign w:val="center"/>
          </w:tcPr>
          <w:p w14:paraId="76BC5B24" w14:textId="77777777" w:rsidR="005938EF" w:rsidRPr="00B07396" w:rsidRDefault="005938EF" w:rsidP="001237ED">
            <w:pPr>
              <w:pStyle w:val="TCTableBody"/>
              <w:spacing w:after="0" w:line="240" w:lineRule="auto"/>
              <w:jc w:val="center"/>
              <w:rPr>
                <w:rFonts w:ascii="Times New Roman" w:hAnsi="Times New Roman"/>
                <w:lang w:val="pt-BR"/>
              </w:rPr>
            </w:pPr>
          </w:p>
        </w:tc>
      </w:tr>
    </w:tbl>
    <w:p w14:paraId="35B9CF20" w14:textId="77777777" w:rsidR="005938EF" w:rsidRPr="00B07396" w:rsidRDefault="005938EF" w:rsidP="005938EF">
      <w:pPr>
        <w:pStyle w:val="TAMainText"/>
        <w:ind w:firstLine="0"/>
        <w:rPr>
          <w:rFonts w:ascii="Times New Roman" w:hAnsi="Times New Roman"/>
          <w:lang w:val="pt-BR"/>
        </w:rPr>
      </w:pPr>
    </w:p>
    <w:p w14:paraId="3E4CCD21" w14:textId="379A7437" w:rsidR="00CA13A2" w:rsidRPr="00B07396" w:rsidRDefault="00670DA0" w:rsidP="00CA13A2">
      <w:pPr>
        <w:pStyle w:val="TAMainText"/>
        <w:ind w:firstLine="0"/>
        <w:rPr>
          <w:rFonts w:ascii="Times New Roman" w:hAnsi="Times New Roman"/>
          <w:i/>
          <w:lang w:val="pt-BR"/>
        </w:rPr>
      </w:pPr>
      <w:r w:rsidRPr="00B07396">
        <w:rPr>
          <w:rFonts w:ascii="Times New Roman" w:hAnsi="Times New Roman"/>
          <w:i/>
          <w:lang w:val="pt-BR"/>
        </w:rPr>
        <w:t>Caracterizações</w:t>
      </w:r>
    </w:p>
    <w:p w14:paraId="23664129" w14:textId="7C3E5555" w:rsidR="00CA13A2" w:rsidRPr="00B07396" w:rsidRDefault="00670DA0" w:rsidP="00CA13A2">
      <w:pPr>
        <w:pStyle w:val="TAMainText"/>
        <w:ind w:firstLine="187"/>
        <w:rPr>
          <w:rFonts w:ascii="Times New Roman" w:hAnsi="Times New Roman"/>
          <w:lang w:val="pt-BR"/>
        </w:rPr>
      </w:pPr>
      <w:r w:rsidRPr="00B07396">
        <w:rPr>
          <w:rFonts w:ascii="Times New Roman" w:hAnsi="Times New Roman"/>
          <w:lang w:val="pt-BR"/>
        </w:rPr>
        <w:t xml:space="preserve">As análises de DRX de pó foram realizadas em aparelho </w:t>
      </w:r>
      <w:proofErr w:type="spellStart"/>
      <w:r w:rsidRPr="00B07396">
        <w:rPr>
          <w:rFonts w:ascii="Times New Roman" w:hAnsi="Times New Roman"/>
          <w:lang w:val="pt-BR"/>
        </w:rPr>
        <w:t>Rigaku</w:t>
      </w:r>
      <w:proofErr w:type="spellEnd"/>
      <w:r w:rsidRPr="00B07396">
        <w:rPr>
          <w:rFonts w:ascii="Times New Roman" w:hAnsi="Times New Roman"/>
          <w:lang w:val="pt-BR"/>
        </w:rPr>
        <w:t xml:space="preserve"> </w:t>
      </w:r>
      <w:proofErr w:type="gramStart"/>
      <w:r w:rsidRPr="00B07396">
        <w:rPr>
          <w:rFonts w:ascii="Times New Roman" w:hAnsi="Times New Roman"/>
          <w:lang w:val="pt-BR"/>
        </w:rPr>
        <w:t>Ultima</w:t>
      </w:r>
      <w:proofErr w:type="gramEnd"/>
      <w:r w:rsidRPr="00B07396">
        <w:rPr>
          <w:rFonts w:ascii="Times New Roman" w:hAnsi="Times New Roman"/>
          <w:lang w:val="pt-BR"/>
        </w:rPr>
        <w:t xml:space="preserve"> IV, utilizando a radiação do </w:t>
      </w:r>
      <w:proofErr w:type="spellStart"/>
      <w:r w:rsidRPr="00B07396">
        <w:rPr>
          <w:rFonts w:ascii="Times New Roman" w:hAnsi="Times New Roman"/>
          <w:lang w:val="pt-BR"/>
        </w:rPr>
        <w:t>CuK</w:t>
      </w:r>
      <w:proofErr w:type="spellEnd"/>
      <w:r w:rsidRPr="00B07396">
        <w:rPr>
          <w:rFonts w:ascii="Times New Roman" w:hAnsi="Times New Roman"/>
          <w:lang w:val="pt-BR"/>
        </w:rPr>
        <w:t xml:space="preserve">α (λ=0,15418 </w:t>
      </w:r>
      <w:proofErr w:type="spellStart"/>
      <w:r w:rsidRPr="00B07396">
        <w:rPr>
          <w:rFonts w:ascii="Times New Roman" w:hAnsi="Times New Roman"/>
          <w:lang w:val="pt-BR"/>
        </w:rPr>
        <w:t>nm</w:t>
      </w:r>
      <w:proofErr w:type="spellEnd"/>
      <w:r w:rsidRPr="00B07396">
        <w:rPr>
          <w:rFonts w:ascii="Times New Roman" w:hAnsi="Times New Roman"/>
          <w:lang w:val="pt-BR"/>
        </w:rPr>
        <w:t xml:space="preserve">), a 40 kV e 20 </w:t>
      </w:r>
      <w:proofErr w:type="spellStart"/>
      <w:r w:rsidRPr="00B07396">
        <w:rPr>
          <w:rFonts w:ascii="Times New Roman" w:hAnsi="Times New Roman"/>
          <w:lang w:val="pt-BR"/>
        </w:rPr>
        <w:t>mA.</w:t>
      </w:r>
      <w:proofErr w:type="spellEnd"/>
      <w:r w:rsidRPr="00B07396">
        <w:rPr>
          <w:rFonts w:ascii="Times New Roman" w:hAnsi="Times New Roman"/>
          <w:lang w:val="pt-BR"/>
        </w:rPr>
        <w:t xml:space="preserve"> Foi coberta uma faixa de 3 a 80° em ângulos de Bragg. O espectro de FTIR foi adquirido em um </w:t>
      </w:r>
      <w:proofErr w:type="spellStart"/>
      <w:r w:rsidRPr="00B07396">
        <w:rPr>
          <w:rFonts w:ascii="Times New Roman" w:hAnsi="Times New Roman"/>
          <w:lang w:val="pt-BR"/>
        </w:rPr>
        <w:t>Perkin</w:t>
      </w:r>
      <w:proofErr w:type="spellEnd"/>
      <w:r w:rsidRPr="00B07396">
        <w:rPr>
          <w:rFonts w:ascii="Times New Roman" w:hAnsi="Times New Roman"/>
          <w:lang w:val="pt-BR"/>
        </w:rPr>
        <w:t xml:space="preserve"> Elmer, modelo Spectrum </w:t>
      </w:r>
      <w:proofErr w:type="spellStart"/>
      <w:r w:rsidRPr="00B07396">
        <w:rPr>
          <w:rFonts w:ascii="Times New Roman" w:hAnsi="Times New Roman"/>
          <w:lang w:val="pt-BR"/>
        </w:rPr>
        <w:t>One</w:t>
      </w:r>
      <w:proofErr w:type="spellEnd"/>
      <w:r w:rsidRPr="00B07396">
        <w:rPr>
          <w:rFonts w:ascii="Times New Roman" w:hAnsi="Times New Roman"/>
          <w:lang w:val="pt-BR"/>
        </w:rPr>
        <w:t>, na faixa de comprimento de onda de 400 a 4000 cm</w:t>
      </w:r>
      <w:r w:rsidRPr="00B07396">
        <w:rPr>
          <w:rFonts w:ascii="Times New Roman" w:hAnsi="Times New Roman"/>
          <w:vertAlign w:val="superscript"/>
          <w:lang w:val="pt-BR"/>
        </w:rPr>
        <w:t>-1</w:t>
      </w:r>
      <w:r w:rsidRPr="00B07396">
        <w:rPr>
          <w:rFonts w:ascii="Times New Roman" w:hAnsi="Times New Roman"/>
          <w:lang w:val="pt-BR"/>
        </w:rPr>
        <w:t xml:space="preserve">. A avaliação das propriedades texturais dos óxidos obtidos após a calcinação dos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foram realizadas pela técnica de </w:t>
      </w:r>
      <w:proofErr w:type="spellStart"/>
      <w:r w:rsidRPr="00B07396">
        <w:rPr>
          <w:rFonts w:ascii="Times New Roman" w:hAnsi="Times New Roman"/>
          <w:lang w:val="pt-BR"/>
        </w:rPr>
        <w:t>fissisorção</w:t>
      </w:r>
      <w:proofErr w:type="spellEnd"/>
      <w:r w:rsidRPr="00B07396">
        <w:rPr>
          <w:rFonts w:ascii="Times New Roman" w:hAnsi="Times New Roman"/>
          <w:lang w:val="pt-BR"/>
        </w:rPr>
        <w:t xml:space="preserve"> de nitrogênio na temperatura de ebulição (77K). Sendo utilizado um </w:t>
      </w:r>
      <w:proofErr w:type="spellStart"/>
      <w:r w:rsidRPr="00B07396">
        <w:rPr>
          <w:rFonts w:ascii="Times New Roman" w:hAnsi="Times New Roman"/>
          <w:lang w:val="pt-BR"/>
        </w:rPr>
        <w:t>Micrometrics</w:t>
      </w:r>
      <w:proofErr w:type="spellEnd"/>
      <w:r w:rsidRPr="00B07396">
        <w:rPr>
          <w:rFonts w:ascii="Times New Roman" w:hAnsi="Times New Roman"/>
          <w:lang w:val="pt-BR"/>
        </w:rPr>
        <w:t xml:space="preserve"> ASAP 2010. A área específica foi determinada </w:t>
      </w:r>
      <w:proofErr w:type="spellStart"/>
      <w:r w:rsidRPr="00B07396">
        <w:rPr>
          <w:rFonts w:ascii="Times New Roman" w:hAnsi="Times New Roman"/>
          <w:lang w:val="pt-BR"/>
        </w:rPr>
        <w:t>atráves</w:t>
      </w:r>
      <w:proofErr w:type="spellEnd"/>
      <w:r w:rsidRPr="00B07396">
        <w:rPr>
          <w:rFonts w:ascii="Times New Roman" w:hAnsi="Times New Roman"/>
          <w:lang w:val="pt-BR"/>
        </w:rPr>
        <w:t xml:space="preserve"> do método BET </w:t>
      </w:r>
      <w:r w:rsidR="00C9167A" w:rsidRPr="00B07396">
        <w:rPr>
          <w:rFonts w:ascii="Times New Roman" w:hAnsi="Times New Roman"/>
          <w:lang w:val="pt-BR"/>
        </w:rPr>
        <w:t>(7)</w:t>
      </w:r>
      <w:r w:rsidRPr="00B07396">
        <w:rPr>
          <w:rFonts w:ascii="Times New Roman" w:hAnsi="Times New Roman"/>
          <w:lang w:val="pt-BR"/>
        </w:rPr>
        <w:t>, o volume de poros pelo método BJH (</w:t>
      </w:r>
      <w:r w:rsidR="00C9167A" w:rsidRPr="00B07396">
        <w:rPr>
          <w:rFonts w:ascii="Times New Roman" w:hAnsi="Times New Roman"/>
          <w:lang w:val="pt-BR"/>
        </w:rPr>
        <w:t>8</w:t>
      </w:r>
      <w:r w:rsidRPr="00B07396">
        <w:rPr>
          <w:rFonts w:ascii="Times New Roman" w:hAnsi="Times New Roman"/>
          <w:lang w:val="pt-BR"/>
        </w:rPr>
        <w:t>)</w:t>
      </w:r>
      <w:r w:rsidR="00CA13A2" w:rsidRPr="00B07396">
        <w:rPr>
          <w:rFonts w:ascii="Times New Roman" w:hAnsi="Times New Roman"/>
          <w:lang w:val="pt-BR"/>
        </w:rPr>
        <w:t>.</w:t>
      </w:r>
    </w:p>
    <w:p w14:paraId="612E7179" w14:textId="77777777" w:rsidR="00ED52A1" w:rsidRPr="00B07396" w:rsidRDefault="00ED52A1" w:rsidP="00CA13A2">
      <w:pPr>
        <w:pStyle w:val="TAMainText"/>
        <w:ind w:firstLine="0"/>
        <w:rPr>
          <w:rFonts w:ascii="Times New Roman" w:hAnsi="Times New Roman"/>
          <w:lang w:val="pt-BR"/>
        </w:rPr>
      </w:pPr>
    </w:p>
    <w:p w14:paraId="136BD1AC" w14:textId="2F98E6A0" w:rsidR="00EA4E1B" w:rsidRPr="00B07396" w:rsidRDefault="00EA4E1B" w:rsidP="00EA4E1B">
      <w:pPr>
        <w:pStyle w:val="Ttulo2"/>
        <w:rPr>
          <w:rFonts w:ascii="Helvetica" w:hAnsi="Helvetica" w:cs="Helvetica"/>
          <w:sz w:val="24"/>
          <w:szCs w:val="24"/>
        </w:rPr>
      </w:pPr>
      <w:r w:rsidRPr="00B07396">
        <w:rPr>
          <w:rFonts w:ascii="Helvetica" w:hAnsi="Helvetica" w:cs="Helvetica"/>
          <w:sz w:val="24"/>
          <w:szCs w:val="24"/>
        </w:rPr>
        <w:lastRenderedPageBreak/>
        <w:t>Resultados e Discussão</w:t>
      </w:r>
    </w:p>
    <w:p w14:paraId="7D8FBD44" w14:textId="401374CC" w:rsidR="0021020A" w:rsidRPr="00B07396" w:rsidRDefault="001B06B2" w:rsidP="0021020A">
      <w:pPr>
        <w:pStyle w:val="TAMainText"/>
        <w:ind w:firstLine="0"/>
        <w:rPr>
          <w:rFonts w:ascii="Times New Roman" w:hAnsi="Times New Roman"/>
          <w:i/>
          <w:lang w:val="pt-BR"/>
        </w:rPr>
      </w:pPr>
      <w:r w:rsidRPr="00B07396">
        <w:rPr>
          <w:rFonts w:ascii="Times New Roman" w:hAnsi="Times New Roman"/>
          <w:i/>
          <w:lang w:val="pt-BR"/>
        </w:rPr>
        <w:t>FTIR</w:t>
      </w:r>
    </w:p>
    <w:p w14:paraId="4C2CD5F9" w14:textId="32EA84B5" w:rsidR="006A07D5" w:rsidRPr="00B07396" w:rsidRDefault="001B06B2" w:rsidP="00EA4E1B">
      <w:pPr>
        <w:pStyle w:val="TAMainText"/>
        <w:ind w:firstLine="187"/>
        <w:rPr>
          <w:rFonts w:ascii="Times New Roman" w:hAnsi="Times New Roman"/>
          <w:lang w:val="pt-BR"/>
        </w:rPr>
      </w:pPr>
      <w:bookmarkStart w:id="2" w:name="_Hlk130473641"/>
      <w:r w:rsidRPr="00B07396">
        <w:rPr>
          <w:rFonts w:ascii="Times New Roman" w:hAnsi="Times New Roman"/>
          <w:lang w:val="pt-BR"/>
        </w:rPr>
        <w:t xml:space="preserve">As figuras </w:t>
      </w:r>
      <w:r w:rsidR="00E16040" w:rsidRPr="00B07396">
        <w:rPr>
          <w:rFonts w:ascii="Times New Roman" w:hAnsi="Times New Roman"/>
          <w:lang w:val="pt-BR"/>
        </w:rPr>
        <w:t>1</w:t>
      </w:r>
      <w:r w:rsidRPr="00B07396">
        <w:rPr>
          <w:rFonts w:ascii="Times New Roman" w:hAnsi="Times New Roman"/>
          <w:lang w:val="pt-BR"/>
        </w:rPr>
        <w:t xml:space="preserve"> e </w:t>
      </w:r>
      <w:r w:rsidR="00E16040" w:rsidRPr="00B07396">
        <w:rPr>
          <w:rFonts w:ascii="Times New Roman" w:hAnsi="Times New Roman"/>
          <w:lang w:val="pt-BR"/>
        </w:rPr>
        <w:t>2</w:t>
      </w:r>
      <w:r w:rsidRPr="00B07396">
        <w:rPr>
          <w:rFonts w:ascii="Times New Roman" w:hAnsi="Times New Roman"/>
          <w:lang w:val="pt-BR"/>
        </w:rPr>
        <w:t xml:space="preserve"> apresentam os espectros de FTIR para as 8 amostras de HDL, estes apresentam bandas fortes em 1540 e 1400 cm</w:t>
      </w:r>
      <w:r w:rsidRPr="00B07396">
        <w:rPr>
          <w:rFonts w:ascii="Times New Roman" w:hAnsi="Times New Roman"/>
          <w:vertAlign w:val="superscript"/>
          <w:lang w:val="pt-BR"/>
        </w:rPr>
        <w:t>-1</w:t>
      </w:r>
      <w:r w:rsidRPr="00B07396">
        <w:rPr>
          <w:rFonts w:ascii="Times New Roman" w:hAnsi="Times New Roman"/>
          <w:lang w:val="pt-BR"/>
        </w:rPr>
        <w:t xml:space="preserve"> relacionadas respectivamente ao estiramento assimétrico e simétrico da ligação C=O dos grupos carboxilatos (COO</w:t>
      </w:r>
      <w:r w:rsidRPr="00B07396">
        <w:rPr>
          <w:rFonts w:ascii="Times New Roman" w:hAnsi="Times New Roman"/>
          <w:vertAlign w:val="superscript"/>
          <w:lang w:val="pt-BR"/>
        </w:rPr>
        <w:t>-</w:t>
      </w:r>
      <w:r w:rsidRPr="00B07396">
        <w:rPr>
          <w:rFonts w:ascii="Times New Roman" w:hAnsi="Times New Roman"/>
          <w:lang w:val="pt-BR"/>
        </w:rPr>
        <w:t>) dos ânio</w:t>
      </w:r>
      <w:r w:rsidR="00B4409F" w:rsidRPr="00B07396">
        <w:rPr>
          <w:rFonts w:ascii="Times New Roman" w:hAnsi="Times New Roman"/>
          <w:lang w:val="pt-BR"/>
        </w:rPr>
        <w:t>n</w:t>
      </w:r>
      <w:r w:rsidRPr="00B07396">
        <w:rPr>
          <w:rFonts w:ascii="Times New Roman" w:hAnsi="Times New Roman"/>
          <w:lang w:val="pt-BR"/>
        </w:rPr>
        <w:t xml:space="preserve">s </w:t>
      </w:r>
      <w:proofErr w:type="spellStart"/>
      <w:r w:rsidRPr="00B07396">
        <w:rPr>
          <w:rFonts w:ascii="Times New Roman" w:hAnsi="Times New Roman"/>
          <w:lang w:val="pt-BR"/>
        </w:rPr>
        <w:t>succinato</w:t>
      </w:r>
      <w:proofErr w:type="spellEnd"/>
      <w:r w:rsidRPr="00B07396">
        <w:rPr>
          <w:rFonts w:ascii="Times New Roman" w:hAnsi="Times New Roman"/>
          <w:lang w:val="pt-BR"/>
        </w:rPr>
        <w:t xml:space="preserve"> (C4) e </w:t>
      </w:r>
      <w:proofErr w:type="spellStart"/>
      <w:r w:rsidRPr="00B07396">
        <w:rPr>
          <w:rFonts w:ascii="Times New Roman" w:hAnsi="Times New Roman"/>
          <w:lang w:val="pt-BR"/>
        </w:rPr>
        <w:t>sebacato</w:t>
      </w:r>
      <w:proofErr w:type="spellEnd"/>
      <w:r w:rsidRPr="00B07396">
        <w:rPr>
          <w:rFonts w:ascii="Times New Roman" w:hAnsi="Times New Roman"/>
          <w:lang w:val="pt-BR"/>
        </w:rPr>
        <w:t xml:space="preserve"> (C10) </w:t>
      </w:r>
      <w:r w:rsidR="001F32F0" w:rsidRPr="00B07396">
        <w:rPr>
          <w:rFonts w:ascii="Times New Roman" w:hAnsi="Times New Roman"/>
          <w:lang w:val="pt-BR"/>
        </w:rPr>
        <w:t>(</w:t>
      </w:r>
      <w:r w:rsidR="009578BA" w:rsidRPr="00B07396">
        <w:rPr>
          <w:rFonts w:ascii="Times New Roman" w:hAnsi="Times New Roman"/>
          <w:lang w:val="pt-BR"/>
        </w:rPr>
        <w:t>9</w:t>
      </w:r>
      <w:r w:rsidR="001F32F0" w:rsidRPr="00B07396">
        <w:rPr>
          <w:rFonts w:ascii="Times New Roman" w:hAnsi="Times New Roman"/>
          <w:lang w:val="pt-BR"/>
        </w:rPr>
        <w:t>)</w:t>
      </w:r>
      <w:r w:rsidRPr="00B07396">
        <w:rPr>
          <w:rFonts w:ascii="Times New Roman" w:hAnsi="Times New Roman"/>
          <w:lang w:val="pt-BR"/>
        </w:rPr>
        <w:t>.</w:t>
      </w:r>
    </w:p>
    <w:p w14:paraId="019FF888" w14:textId="77777777" w:rsidR="00BF67AE" w:rsidRPr="00B07396" w:rsidRDefault="00BF67AE" w:rsidP="00EA4E1B">
      <w:pPr>
        <w:pStyle w:val="TAMainText"/>
        <w:ind w:firstLine="187"/>
        <w:rPr>
          <w:rFonts w:ascii="Times New Roman" w:hAnsi="Times New Roman"/>
          <w:lang w:val="pt-BR"/>
        </w:rPr>
      </w:pPr>
    </w:p>
    <w:bookmarkEnd w:id="2"/>
    <w:p w14:paraId="2EC4F432" w14:textId="48C8DCD7" w:rsidR="00B4409F" w:rsidRPr="00B07396" w:rsidRDefault="00FE08AD" w:rsidP="00B4409F">
      <w:pPr>
        <w:jc w:val="center"/>
      </w:pPr>
      <w:r w:rsidRPr="00B07396">
        <w:rPr>
          <w:noProof/>
          <w:lang w:eastAsia="pt-BR"/>
        </w:rPr>
        <w:drawing>
          <wp:inline distT="0" distB="0" distL="0" distR="0" wp14:anchorId="768D5459" wp14:editId="4A7F5317">
            <wp:extent cx="3027680" cy="2303780"/>
            <wp:effectExtent l="0" t="0" r="127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7680" cy="2303780"/>
                    </a:xfrm>
                    <a:prstGeom prst="rect">
                      <a:avLst/>
                    </a:prstGeom>
                    <a:noFill/>
                    <a:ln>
                      <a:noFill/>
                    </a:ln>
                  </pic:spPr>
                </pic:pic>
              </a:graphicData>
            </a:graphic>
          </wp:inline>
        </w:drawing>
      </w:r>
    </w:p>
    <w:p w14:paraId="54D8F675" w14:textId="23DDD7AD" w:rsidR="00B4409F" w:rsidRPr="00B07396" w:rsidRDefault="00B4409F" w:rsidP="00B4409F">
      <w:pPr>
        <w:pStyle w:val="VAFigureCaption"/>
        <w:spacing w:before="0"/>
        <w:rPr>
          <w:rFonts w:ascii="Times New Roman" w:hAnsi="Times New Roman"/>
          <w:lang w:val="pt-BR"/>
        </w:rPr>
      </w:pPr>
      <w:r w:rsidRPr="00B07396">
        <w:rPr>
          <w:rFonts w:ascii="Times New Roman" w:hAnsi="Times New Roman"/>
          <w:b/>
          <w:lang w:val="pt-BR"/>
        </w:rPr>
        <w:t>Figura 1.</w:t>
      </w:r>
      <w:r w:rsidR="00E25AEF" w:rsidRPr="00B07396">
        <w:rPr>
          <w:rFonts w:ascii="Times New Roman" w:hAnsi="Times New Roman"/>
          <w:lang w:val="pt-BR"/>
        </w:rPr>
        <w:t xml:space="preserve"> Espectros de FTIR (I) 50.65.C4, (II).70.65</w:t>
      </w:r>
      <w:r w:rsidR="004C7687" w:rsidRPr="00B07396">
        <w:rPr>
          <w:rFonts w:ascii="Times New Roman" w:hAnsi="Times New Roman"/>
          <w:lang w:val="pt-BR"/>
        </w:rPr>
        <w:t>.C4</w:t>
      </w:r>
      <w:r w:rsidR="00E25AEF" w:rsidRPr="00B07396">
        <w:rPr>
          <w:rFonts w:ascii="Times New Roman" w:hAnsi="Times New Roman"/>
          <w:lang w:val="pt-BR"/>
        </w:rPr>
        <w:t>, (III) 50.85.C4 e (IV) 70.85.C4</w:t>
      </w:r>
      <w:r w:rsidRPr="00B07396">
        <w:rPr>
          <w:rFonts w:ascii="Times New Roman" w:hAnsi="Times New Roman"/>
          <w:lang w:val="pt-BR"/>
        </w:rPr>
        <w:t>.</w:t>
      </w:r>
    </w:p>
    <w:p w14:paraId="1CB4302C" w14:textId="77777777" w:rsidR="00B4409F" w:rsidRPr="00B07396" w:rsidRDefault="00B4409F" w:rsidP="00EA4E1B">
      <w:pPr>
        <w:pStyle w:val="TAMainText"/>
        <w:ind w:firstLine="187"/>
        <w:rPr>
          <w:rFonts w:ascii="Times New Roman" w:hAnsi="Times New Roman"/>
          <w:lang w:val="pt-BR"/>
        </w:rPr>
      </w:pPr>
    </w:p>
    <w:p w14:paraId="4F43A26F" w14:textId="522014BD" w:rsidR="006A07D5" w:rsidRPr="00B07396" w:rsidRDefault="006A07D5" w:rsidP="006A07D5">
      <w:pPr>
        <w:pStyle w:val="TAMainText"/>
        <w:ind w:firstLine="187"/>
        <w:rPr>
          <w:rFonts w:ascii="Times New Roman" w:hAnsi="Times New Roman"/>
          <w:lang w:val="pt-BR"/>
        </w:rPr>
      </w:pPr>
      <w:r w:rsidRPr="00B07396">
        <w:rPr>
          <w:rFonts w:ascii="Times New Roman" w:hAnsi="Times New Roman"/>
          <w:lang w:val="pt-BR"/>
        </w:rPr>
        <w:t xml:space="preserve">Em relação à cadeia alifática, as bandas são dependentes do tamanho das cadeias de carbono, os </w:t>
      </w:r>
      <w:r w:rsidR="00BC546A" w:rsidRPr="00B07396">
        <w:rPr>
          <w:rFonts w:ascii="Times New Roman" w:hAnsi="Times New Roman"/>
          <w:lang w:val="pt-BR"/>
        </w:rPr>
        <w:t>estiramentos assimétricos</w:t>
      </w:r>
      <w:r w:rsidRPr="00B07396">
        <w:rPr>
          <w:rFonts w:ascii="Times New Roman" w:hAnsi="Times New Roman"/>
          <w:lang w:val="pt-BR"/>
        </w:rPr>
        <w:t xml:space="preserve"> e simétrico </w:t>
      </w:r>
      <w:r w:rsidR="004C7687" w:rsidRPr="00B07396">
        <w:rPr>
          <w:rFonts w:ascii="Times New Roman" w:hAnsi="Times New Roman"/>
          <w:lang w:val="pt-BR"/>
        </w:rPr>
        <w:t>d</w:t>
      </w:r>
      <w:r w:rsidR="000E2DF4" w:rsidRPr="00B07396">
        <w:rPr>
          <w:rFonts w:ascii="Times New Roman" w:hAnsi="Times New Roman"/>
          <w:lang w:val="pt-BR"/>
        </w:rPr>
        <w:t>a ligação C-H</w:t>
      </w:r>
      <w:r w:rsidR="004C7687" w:rsidRPr="00B07396">
        <w:rPr>
          <w:rFonts w:ascii="Times New Roman" w:hAnsi="Times New Roman"/>
          <w:lang w:val="pt-BR"/>
        </w:rPr>
        <w:t xml:space="preserve"> </w:t>
      </w:r>
      <w:r w:rsidRPr="00B07396">
        <w:rPr>
          <w:rFonts w:ascii="Times New Roman" w:hAnsi="Times New Roman"/>
          <w:lang w:val="pt-BR"/>
        </w:rPr>
        <w:t>aparecem em cerca de 2925 e 2850 cm</w:t>
      </w:r>
      <w:r w:rsidRPr="00B07396">
        <w:rPr>
          <w:rFonts w:ascii="Times New Roman" w:hAnsi="Times New Roman"/>
          <w:vertAlign w:val="superscript"/>
          <w:lang w:val="pt-BR"/>
        </w:rPr>
        <w:t>-1</w:t>
      </w:r>
      <w:r w:rsidRPr="00B07396">
        <w:rPr>
          <w:rFonts w:ascii="Times New Roman" w:hAnsi="Times New Roman"/>
          <w:lang w:val="pt-BR"/>
        </w:rPr>
        <w:t xml:space="preserve"> e em 1460 cm</w:t>
      </w:r>
      <w:r w:rsidRPr="00B07396">
        <w:rPr>
          <w:rFonts w:ascii="Times New Roman" w:hAnsi="Times New Roman"/>
          <w:vertAlign w:val="superscript"/>
          <w:lang w:val="pt-BR"/>
        </w:rPr>
        <w:t>-1</w:t>
      </w:r>
      <w:r w:rsidRPr="00B07396">
        <w:rPr>
          <w:rFonts w:ascii="Times New Roman" w:hAnsi="Times New Roman"/>
          <w:lang w:val="pt-BR"/>
        </w:rPr>
        <w:t xml:space="preserve"> oriundas da vibração da deformação angular dos grupamentos CH</w:t>
      </w:r>
      <w:r w:rsidRPr="00B07396">
        <w:rPr>
          <w:rFonts w:ascii="Times New Roman" w:hAnsi="Times New Roman"/>
          <w:vertAlign w:val="subscript"/>
          <w:lang w:val="pt-BR"/>
        </w:rPr>
        <w:t>2</w:t>
      </w:r>
      <w:r w:rsidRPr="00B07396">
        <w:rPr>
          <w:rFonts w:ascii="Times New Roman" w:hAnsi="Times New Roman"/>
          <w:lang w:val="pt-BR"/>
        </w:rPr>
        <w:t xml:space="preserve"> do ânion. Em cadeias curtas essas bandas são mais fracas e tendem a serem mascaradas pela banda larga e forte do estiramento O-H na faixa de 3400 cm</w:t>
      </w:r>
      <w:r w:rsidRPr="00B07396">
        <w:rPr>
          <w:rFonts w:ascii="Times New Roman" w:hAnsi="Times New Roman"/>
          <w:vertAlign w:val="superscript"/>
          <w:lang w:val="pt-BR"/>
        </w:rPr>
        <w:t>-1</w:t>
      </w:r>
      <w:r w:rsidRPr="00B07396">
        <w:rPr>
          <w:rFonts w:ascii="Times New Roman" w:hAnsi="Times New Roman"/>
          <w:lang w:val="pt-BR"/>
        </w:rPr>
        <w:t xml:space="preserve"> </w:t>
      </w:r>
      <w:r w:rsidR="002E40B7" w:rsidRPr="00B07396">
        <w:rPr>
          <w:rFonts w:ascii="Times New Roman" w:hAnsi="Times New Roman"/>
          <w:lang w:val="pt-BR"/>
        </w:rPr>
        <w:t xml:space="preserve">como nas amostras </w:t>
      </w:r>
      <w:r w:rsidRPr="00B07396">
        <w:rPr>
          <w:rFonts w:ascii="Times New Roman" w:hAnsi="Times New Roman"/>
          <w:lang w:val="pt-BR"/>
        </w:rPr>
        <w:t xml:space="preserve">que possuem o </w:t>
      </w:r>
      <w:proofErr w:type="spellStart"/>
      <w:r w:rsidRPr="00B07396">
        <w:rPr>
          <w:rFonts w:ascii="Times New Roman" w:hAnsi="Times New Roman"/>
          <w:lang w:val="pt-BR"/>
        </w:rPr>
        <w:t>succinato</w:t>
      </w:r>
      <w:proofErr w:type="spellEnd"/>
      <w:r w:rsidRPr="00B07396">
        <w:rPr>
          <w:rFonts w:ascii="Times New Roman" w:hAnsi="Times New Roman"/>
          <w:lang w:val="pt-BR"/>
        </w:rPr>
        <w:t xml:space="preserve"> como ânion e as amostras que possuem o </w:t>
      </w:r>
      <w:proofErr w:type="spellStart"/>
      <w:r w:rsidRPr="00B07396">
        <w:rPr>
          <w:rFonts w:ascii="Times New Roman" w:hAnsi="Times New Roman"/>
          <w:lang w:val="pt-BR"/>
        </w:rPr>
        <w:t>sebacato</w:t>
      </w:r>
      <w:proofErr w:type="spellEnd"/>
      <w:r w:rsidRPr="00B07396">
        <w:rPr>
          <w:rFonts w:ascii="Times New Roman" w:hAnsi="Times New Roman"/>
          <w:lang w:val="pt-BR"/>
        </w:rPr>
        <w:t xml:space="preserve"> tendem a possuir as duas bandas mais intensas </w:t>
      </w:r>
      <w:r w:rsidR="001F32F0" w:rsidRPr="00B07396">
        <w:rPr>
          <w:rFonts w:ascii="Times New Roman" w:hAnsi="Times New Roman"/>
          <w:lang w:val="pt-BR"/>
        </w:rPr>
        <w:t>(</w:t>
      </w:r>
      <w:r w:rsidR="009578BA" w:rsidRPr="00B07396">
        <w:rPr>
          <w:rFonts w:ascii="Times New Roman" w:hAnsi="Times New Roman"/>
          <w:lang w:val="pt-BR"/>
        </w:rPr>
        <w:t>9</w:t>
      </w:r>
      <w:r w:rsidR="001F32F0" w:rsidRPr="00B07396">
        <w:rPr>
          <w:rFonts w:ascii="Times New Roman" w:hAnsi="Times New Roman"/>
          <w:lang w:val="pt-BR"/>
        </w:rPr>
        <w:t>)</w:t>
      </w:r>
      <w:r w:rsidRPr="00B07396">
        <w:rPr>
          <w:rFonts w:ascii="Times New Roman" w:hAnsi="Times New Roman"/>
          <w:lang w:val="pt-BR"/>
        </w:rPr>
        <w:t>.</w:t>
      </w:r>
    </w:p>
    <w:p w14:paraId="5208FCD9" w14:textId="7F0BC440" w:rsidR="000B72EE" w:rsidRPr="00B07396" w:rsidRDefault="008F2469" w:rsidP="000B72EE">
      <w:pPr>
        <w:jc w:val="center"/>
      </w:pPr>
      <w:r w:rsidRPr="00B07396">
        <w:rPr>
          <w:rFonts w:ascii="Times New Roman" w:hAnsi="Times New Roman" w:cs="Times New Roman"/>
          <w:noProof/>
          <w:lang w:eastAsia="pt-BR"/>
        </w:rPr>
        <w:drawing>
          <wp:inline distT="0" distB="0" distL="0" distR="0" wp14:anchorId="1ADAF4A7" wp14:editId="1BA75F9D">
            <wp:extent cx="3027680" cy="2318385"/>
            <wp:effectExtent l="0" t="0" r="1270" b="571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7680" cy="2318385"/>
                    </a:xfrm>
                    <a:prstGeom prst="rect">
                      <a:avLst/>
                    </a:prstGeom>
                    <a:noFill/>
                    <a:ln>
                      <a:noFill/>
                    </a:ln>
                  </pic:spPr>
                </pic:pic>
              </a:graphicData>
            </a:graphic>
          </wp:inline>
        </w:drawing>
      </w:r>
    </w:p>
    <w:p w14:paraId="3DD8FB3B" w14:textId="154938AC" w:rsidR="000B72EE" w:rsidRPr="00B07396" w:rsidRDefault="000B72EE" w:rsidP="000B72EE">
      <w:pPr>
        <w:pStyle w:val="VAFigureCaption"/>
        <w:spacing w:before="0"/>
        <w:rPr>
          <w:rFonts w:ascii="Times New Roman" w:hAnsi="Times New Roman"/>
          <w:lang w:val="pt-BR"/>
        </w:rPr>
      </w:pPr>
      <w:r w:rsidRPr="00B07396">
        <w:rPr>
          <w:rFonts w:ascii="Times New Roman" w:hAnsi="Times New Roman"/>
          <w:b/>
          <w:lang w:val="pt-BR"/>
        </w:rPr>
        <w:t xml:space="preserve">Figura </w:t>
      </w:r>
      <w:r w:rsidR="00E71A98" w:rsidRPr="00B07396">
        <w:rPr>
          <w:rFonts w:ascii="Times New Roman" w:hAnsi="Times New Roman"/>
          <w:b/>
          <w:lang w:val="pt-BR"/>
        </w:rPr>
        <w:t>2</w:t>
      </w:r>
      <w:r w:rsidRPr="00B07396">
        <w:rPr>
          <w:rFonts w:ascii="Times New Roman" w:hAnsi="Times New Roman"/>
          <w:b/>
          <w:lang w:val="pt-BR"/>
        </w:rPr>
        <w:t>.</w:t>
      </w:r>
      <w:r w:rsidRPr="00B07396">
        <w:rPr>
          <w:rFonts w:ascii="Times New Roman" w:hAnsi="Times New Roman"/>
          <w:lang w:val="pt-BR"/>
        </w:rPr>
        <w:t xml:space="preserve"> </w:t>
      </w:r>
      <w:r w:rsidR="008F2469" w:rsidRPr="00B07396">
        <w:rPr>
          <w:rFonts w:ascii="Times New Roman" w:hAnsi="Times New Roman"/>
          <w:lang w:val="pt-BR"/>
        </w:rPr>
        <w:t>Espectros de FTIR (I) 50.65.C10, (II) 70.65.C10, (III) 50.85.C10 e (IV) 70.85.C10</w:t>
      </w:r>
    </w:p>
    <w:p w14:paraId="4C843E5A" w14:textId="77777777" w:rsidR="000B72EE" w:rsidRPr="00B07396" w:rsidRDefault="000B72EE" w:rsidP="000B72EE">
      <w:pPr>
        <w:pStyle w:val="TAMainText"/>
        <w:ind w:firstLine="0"/>
        <w:rPr>
          <w:rFonts w:ascii="Times New Roman" w:hAnsi="Times New Roman"/>
          <w:lang w:val="pt-BR"/>
        </w:rPr>
      </w:pPr>
    </w:p>
    <w:p w14:paraId="52E19562" w14:textId="4E9EDCEF" w:rsidR="00FD001C" w:rsidRPr="00B07396" w:rsidRDefault="006A07D5" w:rsidP="006A07D5">
      <w:pPr>
        <w:pStyle w:val="TAMainText"/>
        <w:ind w:firstLine="187"/>
        <w:rPr>
          <w:rFonts w:ascii="Times New Roman" w:hAnsi="Times New Roman"/>
          <w:lang w:val="pt-BR"/>
        </w:rPr>
      </w:pPr>
      <w:r w:rsidRPr="00B07396">
        <w:rPr>
          <w:rFonts w:ascii="Times New Roman" w:hAnsi="Times New Roman"/>
          <w:lang w:val="pt-BR"/>
        </w:rPr>
        <w:t xml:space="preserve">As amostras </w:t>
      </w:r>
      <w:r w:rsidR="00EE3211" w:rsidRPr="00B07396">
        <w:rPr>
          <w:rFonts w:ascii="Times New Roman" w:hAnsi="Times New Roman"/>
          <w:lang w:val="pt-BR"/>
        </w:rPr>
        <w:t xml:space="preserve">50.85.C4, 70.85.C4, </w:t>
      </w:r>
      <w:r w:rsidRPr="00B07396">
        <w:rPr>
          <w:rFonts w:ascii="Times New Roman" w:hAnsi="Times New Roman"/>
          <w:lang w:val="pt-BR"/>
        </w:rPr>
        <w:t>50.85.C10</w:t>
      </w:r>
      <w:r w:rsidR="00EE3211" w:rsidRPr="00B07396">
        <w:rPr>
          <w:rFonts w:ascii="Times New Roman" w:hAnsi="Times New Roman"/>
          <w:lang w:val="pt-BR"/>
        </w:rPr>
        <w:t xml:space="preserve"> e</w:t>
      </w:r>
      <w:r w:rsidRPr="00B07396">
        <w:rPr>
          <w:rFonts w:ascii="Times New Roman" w:hAnsi="Times New Roman"/>
          <w:lang w:val="pt-BR"/>
        </w:rPr>
        <w:t xml:space="preserve"> 70.85.C10 apresentaram bandas correspondentes ao íon carbonato em 1360 cm</w:t>
      </w:r>
      <w:r w:rsidRPr="00B07396">
        <w:rPr>
          <w:rFonts w:ascii="Times New Roman" w:hAnsi="Times New Roman"/>
          <w:vertAlign w:val="superscript"/>
          <w:lang w:val="pt-BR"/>
        </w:rPr>
        <w:t>-1</w:t>
      </w:r>
      <w:r w:rsidRPr="00B07396">
        <w:rPr>
          <w:rFonts w:ascii="Times New Roman" w:hAnsi="Times New Roman"/>
          <w:lang w:val="pt-BR"/>
        </w:rPr>
        <w:t xml:space="preserve"> característica do modo de estiramento antissimétrico e em 1045 cm</w:t>
      </w:r>
      <w:r w:rsidRPr="00B07396">
        <w:rPr>
          <w:rFonts w:ascii="Times New Roman" w:hAnsi="Times New Roman"/>
          <w:vertAlign w:val="superscript"/>
          <w:lang w:val="pt-BR"/>
        </w:rPr>
        <w:t>-1</w:t>
      </w:r>
      <w:r w:rsidRPr="00B07396">
        <w:rPr>
          <w:rFonts w:ascii="Times New Roman" w:hAnsi="Times New Roman"/>
          <w:lang w:val="pt-BR"/>
        </w:rPr>
        <w:t xml:space="preserve"> do modo simétrico, estas foram de baixa intensidade, indicando uma pequena presença de carbonato nessas amostras.</w:t>
      </w:r>
      <w:r w:rsidR="00B4409F" w:rsidRPr="00B07396">
        <w:rPr>
          <w:rFonts w:ascii="Times New Roman" w:hAnsi="Times New Roman"/>
          <w:lang w:val="pt-BR"/>
        </w:rPr>
        <w:t xml:space="preserve"> </w:t>
      </w:r>
      <w:r w:rsidR="00AD7E11" w:rsidRPr="00B07396">
        <w:rPr>
          <w:rFonts w:ascii="Times New Roman" w:hAnsi="Times New Roman"/>
          <w:lang w:val="pt-BR"/>
        </w:rPr>
        <w:t xml:space="preserve">Um pH mais elevado favorece a desprotonação de ácidos fracos como os utilizados no trabalho, assim </w:t>
      </w:r>
      <w:r w:rsidR="00F7043D" w:rsidRPr="00B07396">
        <w:rPr>
          <w:rFonts w:ascii="Times New Roman" w:hAnsi="Times New Roman"/>
          <w:lang w:val="pt-BR"/>
        </w:rPr>
        <w:t>favorecendo sua interação eletroestática para a intercalação nas camadas, no entanto, pode ser verificado que um aumento do pH favoreceu a intercalação do íon carbonato</w:t>
      </w:r>
      <w:r w:rsidR="00813C55" w:rsidRPr="00B07396">
        <w:rPr>
          <w:rFonts w:ascii="Times New Roman" w:hAnsi="Times New Roman"/>
          <w:lang w:val="pt-BR"/>
        </w:rPr>
        <w:t xml:space="preserve"> pelas análises de FTIR (3).</w:t>
      </w:r>
    </w:p>
    <w:p w14:paraId="7D201363" w14:textId="6DBBA624" w:rsidR="006A07D5" w:rsidRPr="00B07396" w:rsidRDefault="006A07D5" w:rsidP="006A07D5">
      <w:pPr>
        <w:pStyle w:val="TAMainText"/>
        <w:ind w:firstLine="187"/>
        <w:rPr>
          <w:rFonts w:ascii="Times New Roman" w:hAnsi="Times New Roman"/>
          <w:lang w:val="pt-BR"/>
        </w:rPr>
      </w:pPr>
      <w:r w:rsidRPr="00B07396">
        <w:rPr>
          <w:rFonts w:ascii="Times New Roman" w:hAnsi="Times New Roman"/>
          <w:lang w:val="pt-BR"/>
        </w:rPr>
        <w:t xml:space="preserve">As bandas devidas aos metais presentes aparecem em </w:t>
      </w:r>
      <w:r w:rsidR="00817765" w:rsidRPr="00B07396">
        <w:rPr>
          <w:rFonts w:ascii="Times New Roman" w:hAnsi="Times New Roman"/>
          <w:lang w:val="pt-BR"/>
        </w:rPr>
        <w:t>número</w:t>
      </w:r>
      <w:r w:rsidRPr="00B07396">
        <w:rPr>
          <w:rFonts w:ascii="Times New Roman" w:hAnsi="Times New Roman"/>
          <w:lang w:val="pt-BR"/>
        </w:rPr>
        <w:t>s de onda baixos,</w:t>
      </w:r>
      <w:r w:rsidR="0077374D" w:rsidRPr="00B07396">
        <w:rPr>
          <w:rFonts w:ascii="Times New Roman" w:hAnsi="Times New Roman"/>
          <w:lang w:val="pt-BR"/>
        </w:rPr>
        <w:t xml:space="preserve"> como</w:t>
      </w:r>
      <w:r w:rsidRPr="00B07396">
        <w:rPr>
          <w:rFonts w:ascii="Times New Roman" w:hAnsi="Times New Roman"/>
          <w:lang w:val="pt-BR"/>
        </w:rPr>
        <w:t xml:space="preserve"> 550 cm</w:t>
      </w:r>
      <w:r w:rsidRPr="00B07396">
        <w:rPr>
          <w:rFonts w:ascii="Times New Roman" w:hAnsi="Times New Roman"/>
          <w:vertAlign w:val="superscript"/>
          <w:lang w:val="pt-BR"/>
        </w:rPr>
        <w:t>-1</w:t>
      </w:r>
      <w:r w:rsidR="002E40B7" w:rsidRPr="00B07396">
        <w:rPr>
          <w:rFonts w:ascii="Times New Roman" w:hAnsi="Times New Roman"/>
          <w:vertAlign w:val="superscript"/>
          <w:lang w:val="pt-BR"/>
        </w:rPr>
        <w:t xml:space="preserve"> </w:t>
      </w:r>
      <w:r w:rsidR="002E6207" w:rsidRPr="00B07396">
        <w:rPr>
          <w:rFonts w:ascii="Times New Roman" w:hAnsi="Times New Roman"/>
          <w:lang w:val="pt-BR"/>
        </w:rPr>
        <w:t>para</w:t>
      </w:r>
      <w:r w:rsidRPr="00B07396">
        <w:rPr>
          <w:rFonts w:ascii="Times New Roman" w:hAnsi="Times New Roman"/>
          <w:lang w:val="pt-BR"/>
        </w:rPr>
        <w:t xml:space="preserve"> bandas de </w:t>
      </w:r>
      <w:proofErr w:type="spellStart"/>
      <w:r w:rsidRPr="00B07396">
        <w:rPr>
          <w:rFonts w:ascii="Times New Roman" w:hAnsi="Times New Roman"/>
          <w:lang w:val="pt-BR"/>
        </w:rPr>
        <w:t>Al-O</w:t>
      </w:r>
      <w:proofErr w:type="spellEnd"/>
      <w:r w:rsidRPr="00B07396">
        <w:rPr>
          <w:rFonts w:ascii="Times New Roman" w:hAnsi="Times New Roman"/>
          <w:lang w:val="pt-BR"/>
        </w:rPr>
        <w:t>, 830 e 650 cm</w:t>
      </w:r>
      <w:r w:rsidRPr="00B07396">
        <w:rPr>
          <w:rFonts w:ascii="Times New Roman" w:hAnsi="Times New Roman"/>
          <w:vertAlign w:val="superscript"/>
          <w:lang w:val="pt-BR"/>
        </w:rPr>
        <w:t>-1</w:t>
      </w:r>
      <w:r w:rsidRPr="00B07396">
        <w:rPr>
          <w:rFonts w:ascii="Times New Roman" w:hAnsi="Times New Roman"/>
          <w:lang w:val="pt-BR"/>
        </w:rPr>
        <w:t xml:space="preserve"> para bandas para o </w:t>
      </w:r>
      <w:proofErr w:type="spellStart"/>
      <w:r w:rsidRPr="00B07396">
        <w:rPr>
          <w:rFonts w:ascii="Times New Roman" w:hAnsi="Times New Roman"/>
          <w:lang w:val="pt-BR"/>
        </w:rPr>
        <w:t>Mg-O</w:t>
      </w:r>
      <w:proofErr w:type="spellEnd"/>
      <w:r w:rsidRPr="00B07396">
        <w:rPr>
          <w:rFonts w:ascii="Times New Roman" w:hAnsi="Times New Roman"/>
          <w:lang w:val="pt-BR"/>
        </w:rPr>
        <w:t xml:space="preserve"> e 425 cm</w:t>
      </w:r>
      <w:r w:rsidRPr="00B07396">
        <w:rPr>
          <w:rFonts w:ascii="Times New Roman" w:hAnsi="Times New Roman"/>
          <w:vertAlign w:val="superscript"/>
          <w:lang w:val="pt-BR"/>
        </w:rPr>
        <w:t>-1</w:t>
      </w:r>
      <w:r w:rsidRPr="00B07396">
        <w:rPr>
          <w:rFonts w:ascii="Times New Roman" w:hAnsi="Times New Roman"/>
          <w:lang w:val="pt-BR"/>
        </w:rPr>
        <w:t xml:space="preserve"> para o </w:t>
      </w:r>
      <w:proofErr w:type="spellStart"/>
      <w:r w:rsidRPr="00B07396">
        <w:rPr>
          <w:rFonts w:ascii="Times New Roman" w:hAnsi="Times New Roman"/>
          <w:lang w:val="pt-BR"/>
        </w:rPr>
        <w:t>Co-O</w:t>
      </w:r>
      <w:proofErr w:type="spellEnd"/>
      <w:r w:rsidRPr="00B07396">
        <w:rPr>
          <w:rFonts w:ascii="Times New Roman" w:hAnsi="Times New Roman"/>
          <w:lang w:val="pt-BR"/>
        </w:rPr>
        <w:t xml:space="preserve"> </w:t>
      </w:r>
      <w:r w:rsidR="002E40B7" w:rsidRPr="00B07396">
        <w:rPr>
          <w:rFonts w:ascii="Times New Roman" w:hAnsi="Times New Roman"/>
          <w:lang w:val="pt-BR"/>
        </w:rPr>
        <w:t>(</w:t>
      </w:r>
      <w:r w:rsidR="009578BA" w:rsidRPr="00B07396">
        <w:rPr>
          <w:rFonts w:ascii="Times New Roman" w:hAnsi="Times New Roman"/>
          <w:lang w:val="pt-BR"/>
        </w:rPr>
        <w:t>10</w:t>
      </w:r>
      <w:r w:rsidR="002E40B7" w:rsidRPr="00B07396">
        <w:rPr>
          <w:rFonts w:ascii="Times New Roman" w:hAnsi="Times New Roman"/>
          <w:lang w:val="pt-BR"/>
        </w:rPr>
        <w:t>)</w:t>
      </w:r>
      <w:r w:rsidRPr="00B07396">
        <w:rPr>
          <w:rFonts w:ascii="Times New Roman" w:hAnsi="Times New Roman"/>
          <w:lang w:val="pt-BR"/>
        </w:rPr>
        <w:t>.</w:t>
      </w:r>
    </w:p>
    <w:p w14:paraId="08690FD6" w14:textId="34963510" w:rsidR="00D7407E" w:rsidRPr="00B07396" w:rsidRDefault="00D7407E" w:rsidP="0058238D">
      <w:pPr>
        <w:pStyle w:val="TAMainText"/>
        <w:ind w:firstLine="0"/>
        <w:rPr>
          <w:rFonts w:ascii="Times New Roman" w:hAnsi="Times New Roman"/>
          <w:i/>
          <w:lang w:val="pt-BR"/>
        </w:rPr>
      </w:pPr>
      <w:r w:rsidRPr="00B07396">
        <w:rPr>
          <w:rFonts w:ascii="Times New Roman" w:hAnsi="Times New Roman"/>
          <w:i/>
          <w:lang w:val="pt-BR"/>
        </w:rPr>
        <w:t>DRX</w:t>
      </w:r>
    </w:p>
    <w:p w14:paraId="0644B29C" w14:textId="0953C67C" w:rsidR="002F4C88" w:rsidRPr="00B07396" w:rsidRDefault="007C7C4E" w:rsidP="006A07D5">
      <w:pPr>
        <w:pStyle w:val="TAMainText"/>
        <w:ind w:firstLine="187"/>
        <w:rPr>
          <w:rFonts w:ascii="Times New Roman" w:hAnsi="Times New Roman"/>
          <w:lang w:val="pt-BR"/>
        </w:rPr>
      </w:pPr>
      <w:r w:rsidRPr="00B07396">
        <w:rPr>
          <w:rFonts w:ascii="Times New Roman" w:hAnsi="Times New Roman"/>
          <w:lang w:val="pt-BR"/>
        </w:rPr>
        <w:t>A figura</w:t>
      </w:r>
      <w:r w:rsidR="00822C03" w:rsidRPr="00B07396">
        <w:rPr>
          <w:rFonts w:ascii="Times New Roman" w:hAnsi="Times New Roman"/>
          <w:lang w:val="pt-BR"/>
        </w:rPr>
        <w:t>s</w:t>
      </w:r>
      <w:r w:rsidRPr="00B07396">
        <w:rPr>
          <w:rFonts w:ascii="Times New Roman" w:hAnsi="Times New Roman"/>
          <w:lang w:val="pt-BR"/>
        </w:rPr>
        <w:t xml:space="preserve"> </w:t>
      </w:r>
      <w:r w:rsidR="00FD2324" w:rsidRPr="00B07396">
        <w:rPr>
          <w:rFonts w:ascii="Times New Roman" w:hAnsi="Times New Roman"/>
          <w:lang w:val="pt-BR"/>
        </w:rPr>
        <w:t>3</w:t>
      </w:r>
      <w:r w:rsidR="00822C03" w:rsidRPr="00B07396">
        <w:rPr>
          <w:rFonts w:ascii="Times New Roman" w:hAnsi="Times New Roman"/>
          <w:lang w:val="pt-BR"/>
        </w:rPr>
        <w:t xml:space="preserve"> e </w:t>
      </w:r>
      <w:r w:rsidR="00FD2324" w:rsidRPr="00B07396">
        <w:rPr>
          <w:rFonts w:ascii="Times New Roman" w:hAnsi="Times New Roman"/>
          <w:lang w:val="pt-BR"/>
        </w:rPr>
        <w:t>4</w:t>
      </w:r>
      <w:r w:rsidRPr="00B07396">
        <w:rPr>
          <w:rFonts w:ascii="Times New Roman" w:hAnsi="Times New Roman"/>
          <w:lang w:val="pt-BR"/>
        </w:rPr>
        <w:t xml:space="preserve"> apresenta</w:t>
      </w:r>
      <w:r w:rsidR="00822C03" w:rsidRPr="00B07396">
        <w:rPr>
          <w:rFonts w:ascii="Times New Roman" w:hAnsi="Times New Roman"/>
          <w:lang w:val="pt-BR"/>
        </w:rPr>
        <w:t>m</w:t>
      </w:r>
      <w:r w:rsidRPr="00B07396">
        <w:rPr>
          <w:rFonts w:ascii="Times New Roman" w:hAnsi="Times New Roman"/>
          <w:lang w:val="pt-BR"/>
        </w:rPr>
        <w:t xml:space="preserve"> os </w:t>
      </w:r>
      <w:proofErr w:type="spellStart"/>
      <w:r w:rsidRPr="00B07396">
        <w:rPr>
          <w:rFonts w:ascii="Times New Roman" w:hAnsi="Times New Roman"/>
          <w:lang w:val="pt-BR"/>
        </w:rPr>
        <w:t>difratogramas</w:t>
      </w:r>
      <w:proofErr w:type="spellEnd"/>
      <w:r w:rsidRPr="00B07396">
        <w:rPr>
          <w:rFonts w:ascii="Times New Roman" w:hAnsi="Times New Roman"/>
          <w:lang w:val="pt-BR"/>
        </w:rPr>
        <w:t xml:space="preserve"> referentes as amostras</w:t>
      </w:r>
      <w:r w:rsidR="00822C03" w:rsidRPr="00B07396">
        <w:rPr>
          <w:rFonts w:ascii="Times New Roman" w:hAnsi="Times New Roman"/>
          <w:lang w:val="pt-BR"/>
        </w:rPr>
        <w:t xml:space="preserve"> de </w:t>
      </w:r>
      <w:proofErr w:type="spellStart"/>
      <w:r w:rsidR="00822C03" w:rsidRPr="00B07396">
        <w:rPr>
          <w:rFonts w:ascii="Times New Roman" w:hAnsi="Times New Roman"/>
          <w:lang w:val="pt-BR"/>
        </w:rPr>
        <w:t>succinato</w:t>
      </w:r>
      <w:proofErr w:type="spellEnd"/>
      <w:r w:rsidR="00822C03" w:rsidRPr="00B07396">
        <w:rPr>
          <w:rFonts w:ascii="Times New Roman" w:hAnsi="Times New Roman"/>
          <w:lang w:val="pt-BR"/>
        </w:rPr>
        <w:t xml:space="preserve"> e</w:t>
      </w:r>
      <w:r w:rsidR="00E44F43" w:rsidRPr="00B07396">
        <w:rPr>
          <w:rFonts w:ascii="Times New Roman" w:hAnsi="Times New Roman"/>
          <w:lang w:val="pt-BR"/>
        </w:rPr>
        <w:t xml:space="preserve"> </w:t>
      </w:r>
      <w:proofErr w:type="spellStart"/>
      <w:r w:rsidR="00E44F43" w:rsidRPr="00B07396">
        <w:rPr>
          <w:rFonts w:ascii="Times New Roman" w:hAnsi="Times New Roman"/>
          <w:lang w:val="pt-BR"/>
        </w:rPr>
        <w:t>sebacato</w:t>
      </w:r>
      <w:proofErr w:type="spellEnd"/>
      <w:r w:rsidR="00E44F43" w:rsidRPr="00B07396">
        <w:rPr>
          <w:rFonts w:ascii="Times New Roman" w:hAnsi="Times New Roman"/>
          <w:lang w:val="pt-BR"/>
        </w:rPr>
        <w:t xml:space="preserve"> respectivamente</w:t>
      </w:r>
      <w:r w:rsidRPr="00B07396">
        <w:rPr>
          <w:rFonts w:ascii="Times New Roman" w:hAnsi="Times New Roman"/>
          <w:lang w:val="pt-BR"/>
        </w:rPr>
        <w:t xml:space="preserve">. </w:t>
      </w:r>
      <w:r w:rsidR="00576406" w:rsidRPr="00B07396">
        <w:rPr>
          <w:rFonts w:ascii="Times New Roman" w:hAnsi="Times New Roman"/>
          <w:lang w:val="pt-BR"/>
        </w:rPr>
        <w:t xml:space="preserve">O íon </w:t>
      </w:r>
      <w:proofErr w:type="spellStart"/>
      <w:r w:rsidR="00576406" w:rsidRPr="00B07396">
        <w:rPr>
          <w:rFonts w:ascii="Times New Roman" w:hAnsi="Times New Roman"/>
          <w:lang w:val="pt-BR"/>
        </w:rPr>
        <w:t>succinato</w:t>
      </w:r>
      <w:proofErr w:type="spellEnd"/>
      <w:r w:rsidR="00576406" w:rsidRPr="00B07396">
        <w:rPr>
          <w:rFonts w:ascii="Times New Roman" w:hAnsi="Times New Roman"/>
          <w:lang w:val="pt-BR"/>
        </w:rPr>
        <w:t xml:space="preserve"> e </w:t>
      </w:r>
      <w:proofErr w:type="spellStart"/>
      <w:r w:rsidR="00576406" w:rsidRPr="00B07396">
        <w:rPr>
          <w:rFonts w:ascii="Times New Roman" w:hAnsi="Times New Roman"/>
          <w:lang w:val="pt-BR"/>
        </w:rPr>
        <w:t>sebacato</w:t>
      </w:r>
      <w:proofErr w:type="spellEnd"/>
      <w:r w:rsidR="00576406" w:rsidRPr="00B07396">
        <w:rPr>
          <w:rFonts w:ascii="Times New Roman" w:hAnsi="Times New Roman"/>
          <w:lang w:val="pt-BR"/>
        </w:rPr>
        <w:t xml:space="preserve"> possuem comprimentos aproximados de 7,7 e 15,3 Å, respectivamente.</w:t>
      </w:r>
      <w:r w:rsidR="009E7281" w:rsidRPr="00B07396">
        <w:rPr>
          <w:rFonts w:ascii="Times New Roman" w:hAnsi="Times New Roman"/>
          <w:lang w:val="pt-BR"/>
        </w:rPr>
        <w:t xml:space="preserve"> </w:t>
      </w:r>
      <w:r w:rsidR="00230A94" w:rsidRPr="00B07396">
        <w:rPr>
          <w:rFonts w:ascii="Times New Roman" w:hAnsi="Times New Roman"/>
          <w:lang w:val="pt-BR"/>
        </w:rPr>
        <w:t xml:space="preserve">Considerando o comprimento de uma camada do tipo </w:t>
      </w:r>
      <w:proofErr w:type="spellStart"/>
      <w:r w:rsidR="00230A94" w:rsidRPr="00B07396">
        <w:rPr>
          <w:rFonts w:ascii="Times New Roman" w:hAnsi="Times New Roman"/>
          <w:lang w:val="pt-BR"/>
        </w:rPr>
        <w:t>brucita</w:t>
      </w:r>
      <w:proofErr w:type="spellEnd"/>
      <w:r w:rsidR="00230A94" w:rsidRPr="00B07396">
        <w:rPr>
          <w:rFonts w:ascii="Times New Roman" w:hAnsi="Times New Roman"/>
          <w:lang w:val="pt-BR"/>
        </w:rPr>
        <w:t>, cerca de 4,8 Å, pela lei de Bragg, são esperad</w:t>
      </w:r>
      <w:r w:rsidR="0031633D" w:rsidRPr="00B07396">
        <w:rPr>
          <w:rFonts w:ascii="Times New Roman" w:hAnsi="Times New Roman"/>
          <w:lang w:val="pt-BR"/>
        </w:rPr>
        <w:t>a</w:t>
      </w:r>
      <w:r w:rsidR="00230A94" w:rsidRPr="00B07396">
        <w:rPr>
          <w:rFonts w:ascii="Times New Roman" w:hAnsi="Times New Roman"/>
          <w:lang w:val="pt-BR"/>
        </w:rPr>
        <w:t xml:space="preserve">s </w:t>
      </w:r>
      <w:r w:rsidR="0031633D" w:rsidRPr="00B07396">
        <w:rPr>
          <w:rFonts w:ascii="Times New Roman" w:hAnsi="Times New Roman"/>
          <w:lang w:val="pt-BR"/>
        </w:rPr>
        <w:t>reflexões</w:t>
      </w:r>
      <w:r w:rsidR="007D68E0" w:rsidRPr="00B07396">
        <w:rPr>
          <w:rFonts w:ascii="Times New Roman" w:hAnsi="Times New Roman"/>
          <w:lang w:val="pt-BR"/>
        </w:rPr>
        <w:t xml:space="preserve"> </w:t>
      </w:r>
      <w:r w:rsidR="008E1067" w:rsidRPr="00B07396">
        <w:rPr>
          <w:rFonts w:ascii="Times New Roman" w:hAnsi="Times New Roman"/>
          <w:lang w:val="pt-BR"/>
        </w:rPr>
        <w:t>para os pico</w:t>
      </w:r>
      <w:r w:rsidR="00882918" w:rsidRPr="00B07396">
        <w:rPr>
          <w:rFonts w:ascii="Times New Roman" w:hAnsi="Times New Roman"/>
          <w:lang w:val="pt-BR"/>
        </w:rPr>
        <w:t xml:space="preserve">s basais </w:t>
      </w:r>
      <w:r w:rsidR="00B04E9D" w:rsidRPr="00B07396">
        <w:rPr>
          <w:rFonts w:ascii="Times New Roman" w:hAnsi="Times New Roman"/>
          <w:lang w:val="pt-BR"/>
        </w:rPr>
        <w:t xml:space="preserve">(003, 006 e 009) </w:t>
      </w:r>
      <w:r w:rsidR="00882918" w:rsidRPr="00B07396">
        <w:rPr>
          <w:rFonts w:ascii="Times New Roman" w:hAnsi="Times New Roman"/>
          <w:lang w:val="pt-BR"/>
        </w:rPr>
        <w:t>em 7,1</w:t>
      </w:r>
      <w:r w:rsidR="002D6534" w:rsidRPr="00B07396">
        <w:rPr>
          <w:rFonts w:ascii="Times New Roman" w:hAnsi="Times New Roman"/>
          <w:lang w:val="pt-BR"/>
        </w:rPr>
        <w:t xml:space="preserve">; 14,2 e 21,3° </w:t>
      </w:r>
      <w:r w:rsidR="002F4C88" w:rsidRPr="00B07396">
        <w:rPr>
          <w:rFonts w:ascii="Times New Roman" w:hAnsi="Times New Roman"/>
          <w:lang w:val="pt-BR"/>
        </w:rPr>
        <w:t xml:space="preserve">para as amostras com </w:t>
      </w:r>
      <w:proofErr w:type="spellStart"/>
      <w:r w:rsidR="002F4C88" w:rsidRPr="00B07396">
        <w:rPr>
          <w:rFonts w:ascii="Times New Roman" w:hAnsi="Times New Roman"/>
          <w:lang w:val="pt-BR"/>
        </w:rPr>
        <w:t>succinato</w:t>
      </w:r>
      <w:proofErr w:type="spellEnd"/>
      <w:r w:rsidR="002F4C88" w:rsidRPr="00B07396">
        <w:rPr>
          <w:rFonts w:ascii="Times New Roman" w:hAnsi="Times New Roman"/>
          <w:lang w:val="pt-BR"/>
        </w:rPr>
        <w:t xml:space="preserve"> </w:t>
      </w:r>
      <w:r w:rsidR="00B04E9D" w:rsidRPr="00B07396">
        <w:rPr>
          <w:rFonts w:ascii="Times New Roman" w:hAnsi="Times New Roman"/>
          <w:lang w:val="pt-BR"/>
        </w:rPr>
        <w:t xml:space="preserve">e </w:t>
      </w:r>
      <w:r w:rsidR="00564166" w:rsidRPr="00B07396">
        <w:rPr>
          <w:rFonts w:ascii="Times New Roman" w:hAnsi="Times New Roman"/>
          <w:lang w:val="pt-BR"/>
        </w:rPr>
        <w:t>4,4</w:t>
      </w:r>
      <w:r w:rsidR="00C5568F" w:rsidRPr="00B07396">
        <w:rPr>
          <w:rFonts w:ascii="Times New Roman" w:hAnsi="Times New Roman"/>
          <w:lang w:val="pt-BR"/>
        </w:rPr>
        <w:t>; 8,8 e 13,2</w:t>
      </w:r>
      <w:proofErr w:type="gramStart"/>
      <w:r w:rsidR="00C5568F" w:rsidRPr="00B07396">
        <w:rPr>
          <w:rFonts w:ascii="Times New Roman" w:hAnsi="Times New Roman"/>
          <w:lang w:val="pt-BR"/>
        </w:rPr>
        <w:t>°</w:t>
      </w:r>
      <w:r w:rsidR="00230A94" w:rsidRPr="00B07396">
        <w:rPr>
          <w:rFonts w:ascii="Times New Roman" w:hAnsi="Times New Roman"/>
          <w:lang w:val="pt-BR"/>
        </w:rPr>
        <w:t xml:space="preserve">  </w:t>
      </w:r>
      <w:r w:rsidR="002F4C88" w:rsidRPr="00B07396">
        <w:rPr>
          <w:rFonts w:ascii="Times New Roman" w:hAnsi="Times New Roman"/>
          <w:lang w:val="pt-BR"/>
        </w:rPr>
        <w:t>para</w:t>
      </w:r>
      <w:proofErr w:type="gramEnd"/>
      <w:r w:rsidR="002F4C88" w:rsidRPr="00B07396">
        <w:rPr>
          <w:rFonts w:ascii="Times New Roman" w:hAnsi="Times New Roman"/>
          <w:lang w:val="pt-BR"/>
        </w:rPr>
        <w:t xml:space="preserve"> as amostras com </w:t>
      </w:r>
      <w:proofErr w:type="spellStart"/>
      <w:r w:rsidR="002F4C88" w:rsidRPr="00B07396">
        <w:rPr>
          <w:rFonts w:ascii="Times New Roman" w:hAnsi="Times New Roman"/>
          <w:lang w:val="pt-BR"/>
        </w:rPr>
        <w:t>sebacato</w:t>
      </w:r>
      <w:proofErr w:type="spellEnd"/>
      <w:r w:rsidR="002F4C88" w:rsidRPr="00B07396">
        <w:rPr>
          <w:rFonts w:ascii="Times New Roman" w:hAnsi="Times New Roman"/>
          <w:lang w:val="pt-BR"/>
        </w:rPr>
        <w:t xml:space="preserve"> (11). </w:t>
      </w:r>
    </w:p>
    <w:p w14:paraId="79E651C3" w14:textId="4C8DEF4A" w:rsidR="00857A1E" w:rsidRPr="00B07396" w:rsidRDefault="007C7C4E" w:rsidP="006A07D5">
      <w:pPr>
        <w:pStyle w:val="TAMainText"/>
        <w:ind w:firstLine="187"/>
        <w:rPr>
          <w:rFonts w:ascii="Times New Roman" w:hAnsi="Times New Roman"/>
          <w:lang w:val="pt-BR"/>
        </w:rPr>
      </w:pPr>
      <w:r w:rsidRPr="00B07396">
        <w:rPr>
          <w:rFonts w:ascii="Times New Roman" w:hAnsi="Times New Roman"/>
          <w:lang w:val="pt-BR"/>
        </w:rPr>
        <w:t xml:space="preserve">Nas amostras com </w:t>
      </w:r>
      <w:proofErr w:type="spellStart"/>
      <w:r w:rsidRPr="00B07396">
        <w:rPr>
          <w:rFonts w:ascii="Times New Roman" w:hAnsi="Times New Roman"/>
          <w:lang w:val="pt-BR"/>
        </w:rPr>
        <w:t>succinato</w:t>
      </w:r>
      <w:proofErr w:type="spellEnd"/>
      <w:r w:rsidRPr="00B07396">
        <w:rPr>
          <w:rFonts w:ascii="Times New Roman" w:hAnsi="Times New Roman"/>
          <w:lang w:val="pt-BR"/>
        </w:rPr>
        <w:t xml:space="preserve"> é possível observar os picos referentes ao espaçamento basal de índices 003, 006 e 009 e os valores 7,31</w:t>
      </w:r>
      <w:r w:rsidR="00480F95" w:rsidRPr="00B07396">
        <w:rPr>
          <w:rFonts w:ascii="Times New Roman" w:hAnsi="Times New Roman"/>
          <w:lang w:val="pt-BR"/>
        </w:rPr>
        <w:t>°</w:t>
      </w:r>
      <w:r w:rsidRPr="00B07396">
        <w:rPr>
          <w:rFonts w:ascii="Times New Roman" w:hAnsi="Times New Roman"/>
          <w:lang w:val="pt-BR"/>
        </w:rPr>
        <w:t>; 14,50</w:t>
      </w:r>
      <w:r w:rsidR="00480F95" w:rsidRPr="00B07396">
        <w:rPr>
          <w:rFonts w:ascii="Times New Roman" w:hAnsi="Times New Roman"/>
          <w:lang w:val="pt-BR"/>
        </w:rPr>
        <w:t>º</w:t>
      </w:r>
      <w:r w:rsidRPr="00B07396">
        <w:rPr>
          <w:rFonts w:ascii="Times New Roman" w:hAnsi="Times New Roman"/>
          <w:lang w:val="pt-BR"/>
        </w:rPr>
        <w:t xml:space="preserve"> e 22,41° demostrando que houve a formação do HDL com o ânion entre as suas lamelas</w:t>
      </w:r>
      <w:r w:rsidR="0016268B" w:rsidRPr="00B07396">
        <w:rPr>
          <w:rFonts w:ascii="Times New Roman" w:hAnsi="Times New Roman"/>
          <w:lang w:val="pt-BR"/>
        </w:rPr>
        <w:t xml:space="preserve"> </w:t>
      </w:r>
      <w:r w:rsidR="00871AD5" w:rsidRPr="00B07396">
        <w:rPr>
          <w:rFonts w:ascii="Times New Roman" w:hAnsi="Times New Roman"/>
          <w:lang w:val="pt-BR"/>
        </w:rPr>
        <w:t>(</w:t>
      </w:r>
      <w:r w:rsidR="00407CE1" w:rsidRPr="00B07396">
        <w:rPr>
          <w:rFonts w:ascii="Times New Roman" w:hAnsi="Times New Roman"/>
          <w:lang w:val="pt-BR"/>
        </w:rPr>
        <w:t>5</w:t>
      </w:r>
      <w:r w:rsidR="00871AD5" w:rsidRPr="00B07396">
        <w:rPr>
          <w:rFonts w:ascii="Times New Roman" w:hAnsi="Times New Roman"/>
          <w:lang w:val="pt-BR"/>
        </w:rPr>
        <w:t>)</w:t>
      </w:r>
      <w:r w:rsidRPr="00B07396">
        <w:rPr>
          <w:rFonts w:ascii="Times New Roman" w:hAnsi="Times New Roman"/>
          <w:lang w:val="pt-BR"/>
        </w:rPr>
        <w:t>.</w:t>
      </w:r>
      <w:r w:rsidR="00786A20" w:rsidRPr="00B07396">
        <w:rPr>
          <w:rFonts w:ascii="Times New Roman" w:hAnsi="Times New Roman"/>
          <w:lang w:val="pt-BR"/>
        </w:rPr>
        <w:t xml:space="preserve"> </w:t>
      </w:r>
      <w:r w:rsidRPr="00B07396">
        <w:rPr>
          <w:rFonts w:ascii="Times New Roman" w:hAnsi="Times New Roman"/>
          <w:lang w:val="pt-BR"/>
        </w:rPr>
        <w:t xml:space="preserve">Os outros picos característicos de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estão presentes nas amostras, sendo os picos não basais em 34,7°, de índice 015 e os picos não basais de índice 110 e 113 de valores 60,7</w:t>
      </w:r>
      <w:r w:rsidR="00480F95" w:rsidRPr="00B07396">
        <w:rPr>
          <w:rFonts w:ascii="Times New Roman" w:hAnsi="Times New Roman"/>
          <w:lang w:val="pt-BR"/>
        </w:rPr>
        <w:t>°</w:t>
      </w:r>
      <w:r w:rsidRPr="00B07396">
        <w:rPr>
          <w:rFonts w:ascii="Times New Roman" w:hAnsi="Times New Roman"/>
          <w:lang w:val="pt-BR"/>
        </w:rPr>
        <w:t xml:space="preserve"> e 61,8° que aparecem sobrepostos nas amostras de </w:t>
      </w:r>
      <w:proofErr w:type="spellStart"/>
      <w:r w:rsidRPr="00B07396">
        <w:rPr>
          <w:rFonts w:ascii="Times New Roman" w:hAnsi="Times New Roman"/>
          <w:lang w:val="pt-BR"/>
        </w:rPr>
        <w:t>succinato</w:t>
      </w:r>
      <w:proofErr w:type="spellEnd"/>
      <w:r w:rsidRPr="00B07396">
        <w:rPr>
          <w:rFonts w:ascii="Times New Roman" w:hAnsi="Times New Roman"/>
          <w:lang w:val="pt-BR"/>
        </w:rPr>
        <w:t xml:space="preserve"> como um pico mais largo com centro em 61,1°, </w:t>
      </w:r>
      <w:r w:rsidR="00480F95" w:rsidRPr="00B07396">
        <w:rPr>
          <w:rFonts w:ascii="Times New Roman" w:hAnsi="Times New Roman"/>
          <w:lang w:val="pt-BR"/>
        </w:rPr>
        <w:t>(</w:t>
      </w:r>
      <w:r w:rsidR="001528D6" w:rsidRPr="00B07396">
        <w:rPr>
          <w:rFonts w:ascii="Times New Roman" w:hAnsi="Times New Roman"/>
          <w:lang w:val="pt-BR"/>
        </w:rPr>
        <w:t>2</w:t>
      </w:r>
      <w:r w:rsidR="00C21FA3" w:rsidRPr="00B07396">
        <w:rPr>
          <w:rFonts w:ascii="Times New Roman" w:hAnsi="Times New Roman"/>
          <w:lang w:val="pt-BR"/>
        </w:rPr>
        <w:t>,</w:t>
      </w:r>
      <w:r w:rsidR="009578BA" w:rsidRPr="00B07396">
        <w:rPr>
          <w:rFonts w:ascii="Times New Roman" w:hAnsi="Times New Roman"/>
          <w:lang w:val="pt-BR"/>
        </w:rPr>
        <w:t>1</w:t>
      </w:r>
      <w:r w:rsidR="007C0440" w:rsidRPr="00B07396">
        <w:rPr>
          <w:rFonts w:ascii="Times New Roman" w:hAnsi="Times New Roman"/>
          <w:lang w:val="pt-BR"/>
        </w:rPr>
        <w:t>2</w:t>
      </w:r>
      <w:r w:rsidR="00480F95" w:rsidRPr="00B07396">
        <w:rPr>
          <w:rFonts w:ascii="Times New Roman" w:hAnsi="Times New Roman"/>
          <w:lang w:val="pt-BR"/>
        </w:rPr>
        <w:t>).</w:t>
      </w:r>
    </w:p>
    <w:p w14:paraId="47DA1702" w14:textId="0255AE43" w:rsidR="003B0555" w:rsidRPr="00B07396" w:rsidRDefault="00210F1C" w:rsidP="003B0555">
      <w:pPr>
        <w:jc w:val="center"/>
      </w:pPr>
      <w:r w:rsidRPr="00B07396">
        <w:rPr>
          <w:noProof/>
          <w:lang w:eastAsia="pt-BR"/>
        </w:rPr>
        <w:drawing>
          <wp:inline distT="0" distB="0" distL="0" distR="0" wp14:anchorId="067F0F2C" wp14:editId="79523B34">
            <wp:extent cx="3027680" cy="2164715"/>
            <wp:effectExtent l="0" t="0" r="127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7680" cy="2164715"/>
                    </a:xfrm>
                    <a:prstGeom prst="rect">
                      <a:avLst/>
                    </a:prstGeom>
                    <a:noFill/>
                    <a:ln>
                      <a:noFill/>
                    </a:ln>
                  </pic:spPr>
                </pic:pic>
              </a:graphicData>
            </a:graphic>
          </wp:inline>
        </w:drawing>
      </w:r>
    </w:p>
    <w:p w14:paraId="1D16E2C1" w14:textId="2718F742" w:rsidR="00F71835" w:rsidRPr="00B07396" w:rsidRDefault="003B0555" w:rsidP="00F71835">
      <w:pPr>
        <w:pStyle w:val="VAFigureCaption"/>
        <w:spacing w:before="0"/>
        <w:rPr>
          <w:rFonts w:ascii="Times New Roman" w:hAnsi="Times New Roman"/>
          <w:lang w:val="pt-BR"/>
        </w:rPr>
      </w:pPr>
      <w:r w:rsidRPr="00B07396">
        <w:rPr>
          <w:rFonts w:ascii="Times New Roman" w:hAnsi="Times New Roman"/>
          <w:b/>
          <w:lang w:val="pt-BR"/>
        </w:rPr>
        <w:t xml:space="preserve">Figura </w:t>
      </w:r>
      <w:r w:rsidR="00E71A98" w:rsidRPr="00B07396">
        <w:rPr>
          <w:rFonts w:ascii="Times New Roman" w:hAnsi="Times New Roman"/>
          <w:b/>
          <w:lang w:val="pt-BR"/>
        </w:rPr>
        <w:t>3</w:t>
      </w:r>
      <w:r w:rsidRPr="00B07396">
        <w:rPr>
          <w:rFonts w:ascii="Times New Roman" w:hAnsi="Times New Roman"/>
          <w:b/>
          <w:lang w:val="pt-BR"/>
        </w:rPr>
        <w:t>.</w:t>
      </w:r>
      <w:r w:rsidRPr="00B07396">
        <w:rPr>
          <w:rFonts w:ascii="Times New Roman" w:hAnsi="Times New Roman"/>
          <w:lang w:val="pt-BR"/>
        </w:rPr>
        <w:t xml:space="preserve"> </w:t>
      </w:r>
      <w:proofErr w:type="spellStart"/>
      <w:r w:rsidR="003D133A" w:rsidRPr="00B07396">
        <w:rPr>
          <w:rFonts w:ascii="Times New Roman" w:hAnsi="Times New Roman"/>
          <w:lang w:val="pt-BR"/>
        </w:rPr>
        <w:t>Difratogramas</w:t>
      </w:r>
      <w:proofErr w:type="spellEnd"/>
      <w:r w:rsidR="003D133A" w:rsidRPr="00B07396">
        <w:rPr>
          <w:rFonts w:ascii="Times New Roman" w:hAnsi="Times New Roman"/>
          <w:lang w:val="pt-BR"/>
        </w:rPr>
        <w:t xml:space="preserve"> das amostras (I) C4.50.65, (II) C4.70.65, (III) C4.50.85 e (IV) 70.85</w:t>
      </w:r>
      <w:r w:rsidRPr="00B07396">
        <w:rPr>
          <w:rFonts w:ascii="Times New Roman" w:hAnsi="Times New Roman"/>
          <w:lang w:val="pt-BR"/>
        </w:rPr>
        <w:t>.</w:t>
      </w:r>
      <w:r w:rsidR="004C7687" w:rsidRPr="00B07396">
        <w:rPr>
          <w:rFonts w:ascii="Times New Roman" w:hAnsi="Times New Roman"/>
          <w:lang w:val="pt-BR"/>
        </w:rPr>
        <w:t>C4</w:t>
      </w:r>
    </w:p>
    <w:p w14:paraId="5DC0C3E6" w14:textId="77777777" w:rsidR="00F71835" w:rsidRPr="00B07396" w:rsidRDefault="00F71835" w:rsidP="00FA5914">
      <w:pPr>
        <w:pStyle w:val="TAMainText"/>
        <w:ind w:firstLine="187"/>
        <w:rPr>
          <w:rFonts w:ascii="Times New Roman" w:hAnsi="Times New Roman"/>
          <w:lang w:val="pt-BR"/>
        </w:rPr>
      </w:pPr>
    </w:p>
    <w:p w14:paraId="143C4578" w14:textId="7FAB8D28" w:rsidR="008F4B8D" w:rsidRPr="00B07396" w:rsidRDefault="00F4767A" w:rsidP="00FA5914">
      <w:pPr>
        <w:pStyle w:val="TAMainText"/>
        <w:ind w:firstLine="187"/>
        <w:rPr>
          <w:rFonts w:ascii="Times New Roman" w:hAnsi="Times New Roman"/>
          <w:lang w:val="pt-BR"/>
        </w:rPr>
      </w:pPr>
      <w:r w:rsidRPr="00B07396">
        <w:rPr>
          <w:rFonts w:ascii="Times New Roman" w:hAnsi="Times New Roman"/>
          <w:lang w:val="pt-BR"/>
        </w:rPr>
        <w:t xml:space="preserve">As amostras com o </w:t>
      </w:r>
      <w:proofErr w:type="spellStart"/>
      <w:r w:rsidRPr="00B07396">
        <w:rPr>
          <w:rFonts w:ascii="Times New Roman" w:hAnsi="Times New Roman"/>
          <w:lang w:val="pt-BR"/>
        </w:rPr>
        <w:t>sebacato</w:t>
      </w:r>
      <w:proofErr w:type="spellEnd"/>
      <w:r w:rsidRPr="00B07396">
        <w:rPr>
          <w:rFonts w:ascii="Times New Roman" w:hAnsi="Times New Roman"/>
          <w:lang w:val="pt-BR"/>
        </w:rPr>
        <w:t xml:space="preserve"> como ânion, amostras apresentaram picos de espaçamento basal 003, e 006 mais intensos e largos em 5,0º e 10,3º respectivamente</w:t>
      </w:r>
      <w:r w:rsidR="00407CE1" w:rsidRPr="00B07396">
        <w:rPr>
          <w:rFonts w:ascii="Times New Roman" w:hAnsi="Times New Roman"/>
          <w:lang w:val="pt-BR"/>
        </w:rPr>
        <w:t xml:space="preserve">, o pico 009 </w:t>
      </w:r>
      <w:r w:rsidR="006223AA" w:rsidRPr="00B07396">
        <w:rPr>
          <w:rFonts w:ascii="Times New Roman" w:hAnsi="Times New Roman"/>
          <w:lang w:val="pt-BR"/>
        </w:rPr>
        <w:t>não pôde ser observado</w:t>
      </w:r>
      <w:r w:rsidR="00C912D3" w:rsidRPr="00B07396">
        <w:rPr>
          <w:rFonts w:ascii="Times New Roman" w:hAnsi="Times New Roman"/>
          <w:lang w:val="pt-BR"/>
        </w:rPr>
        <w:t xml:space="preserve"> </w:t>
      </w:r>
      <w:proofErr w:type="gramStart"/>
      <w:r w:rsidR="00C912D3" w:rsidRPr="00B07396">
        <w:rPr>
          <w:rFonts w:ascii="Times New Roman" w:hAnsi="Times New Roman"/>
          <w:lang w:val="pt-BR"/>
        </w:rPr>
        <w:t xml:space="preserve">mas </w:t>
      </w:r>
      <w:r w:rsidRPr="00B07396">
        <w:rPr>
          <w:rFonts w:ascii="Times New Roman" w:hAnsi="Times New Roman"/>
          <w:lang w:val="pt-BR"/>
        </w:rPr>
        <w:t xml:space="preserve"> o</w:t>
      </w:r>
      <w:proofErr w:type="gramEnd"/>
      <w:r w:rsidRPr="00B07396">
        <w:rPr>
          <w:rFonts w:ascii="Times New Roman" w:hAnsi="Times New Roman"/>
          <w:lang w:val="pt-BR"/>
        </w:rPr>
        <w:t xml:space="preserve"> pico 00</w:t>
      </w:r>
      <w:r w:rsidR="00692CA8" w:rsidRPr="00B07396">
        <w:rPr>
          <w:rFonts w:ascii="Times New Roman" w:hAnsi="Times New Roman"/>
          <w:lang w:val="pt-BR"/>
        </w:rPr>
        <w:t>12</w:t>
      </w:r>
      <w:r w:rsidRPr="00B07396">
        <w:rPr>
          <w:rFonts w:ascii="Times New Roman" w:hAnsi="Times New Roman"/>
          <w:lang w:val="pt-BR"/>
        </w:rPr>
        <w:t xml:space="preserve"> </w:t>
      </w:r>
      <w:r w:rsidR="00C912D3" w:rsidRPr="00B07396">
        <w:rPr>
          <w:rFonts w:ascii="Times New Roman" w:hAnsi="Times New Roman"/>
          <w:lang w:val="pt-BR"/>
        </w:rPr>
        <w:t xml:space="preserve">foi </w:t>
      </w:r>
      <w:proofErr w:type="spellStart"/>
      <w:r w:rsidR="000572D6" w:rsidRPr="00B07396">
        <w:rPr>
          <w:rFonts w:ascii="Times New Roman" w:hAnsi="Times New Roman"/>
          <w:lang w:val="pt-BR"/>
        </w:rPr>
        <w:t>obsercado</w:t>
      </w:r>
      <w:proofErr w:type="spellEnd"/>
      <w:r w:rsidRPr="00B07396">
        <w:rPr>
          <w:rFonts w:ascii="Times New Roman" w:hAnsi="Times New Roman"/>
          <w:lang w:val="pt-BR"/>
        </w:rPr>
        <w:t xml:space="preserve"> em 22,7º. </w:t>
      </w:r>
      <w:r w:rsidR="000572D6" w:rsidRPr="00B07396">
        <w:rPr>
          <w:rFonts w:ascii="Times New Roman" w:hAnsi="Times New Roman"/>
          <w:lang w:val="pt-BR"/>
        </w:rPr>
        <w:t xml:space="preserve">O </w:t>
      </w:r>
      <w:r w:rsidRPr="00B07396">
        <w:rPr>
          <w:rFonts w:ascii="Times New Roman" w:hAnsi="Times New Roman"/>
          <w:lang w:val="pt-BR"/>
        </w:rPr>
        <w:t>pico 015 em 34,7°, e os picos de índice 110 e 113 de valores aparecem sobrepostos como um pico em 61,1°</w:t>
      </w:r>
      <w:r w:rsidR="000D5EB2" w:rsidRPr="00B07396">
        <w:rPr>
          <w:rFonts w:ascii="Times New Roman" w:hAnsi="Times New Roman"/>
          <w:lang w:val="pt-BR"/>
        </w:rPr>
        <w:t xml:space="preserve"> (11)</w:t>
      </w:r>
    </w:p>
    <w:p w14:paraId="26C57CB8" w14:textId="7353472A" w:rsidR="00FA5914" w:rsidRPr="00B07396" w:rsidRDefault="00A57AA8" w:rsidP="00FA5914">
      <w:pPr>
        <w:pStyle w:val="TAMainText"/>
        <w:ind w:firstLine="187"/>
        <w:rPr>
          <w:rFonts w:ascii="Times New Roman" w:hAnsi="Times New Roman"/>
          <w:lang w:val="pt-BR"/>
        </w:rPr>
      </w:pPr>
      <w:r w:rsidRPr="00B07396">
        <w:rPr>
          <w:rFonts w:ascii="Times New Roman" w:hAnsi="Times New Roman"/>
          <w:lang w:val="pt-BR"/>
        </w:rPr>
        <w:t>As</w:t>
      </w:r>
      <w:r w:rsidR="00AB03C4" w:rsidRPr="00B07396">
        <w:rPr>
          <w:rFonts w:ascii="Times New Roman" w:hAnsi="Times New Roman"/>
          <w:lang w:val="pt-BR"/>
        </w:rPr>
        <w:t xml:space="preserve"> </w:t>
      </w:r>
      <w:r w:rsidRPr="00B07396">
        <w:rPr>
          <w:rFonts w:ascii="Times New Roman" w:hAnsi="Times New Roman"/>
          <w:lang w:val="pt-BR"/>
        </w:rPr>
        <w:t>amostras</w:t>
      </w:r>
      <w:r w:rsidR="000572D6" w:rsidRPr="00B07396">
        <w:rPr>
          <w:rFonts w:ascii="Times New Roman" w:hAnsi="Times New Roman"/>
          <w:lang w:val="pt-BR"/>
        </w:rPr>
        <w:t xml:space="preserve"> </w:t>
      </w:r>
      <w:r w:rsidRPr="00B07396">
        <w:rPr>
          <w:rFonts w:ascii="Times New Roman" w:hAnsi="Times New Roman"/>
          <w:lang w:val="pt-BR"/>
        </w:rPr>
        <w:t>apresentam</w:t>
      </w:r>
      <w:r w:rsidR="000572D6" w:rsidRPr="00B07396">
        <w:rPr>
          <w:rFonts w:ascii="Times New Roman" w:hAnsi="Times New Roman"/>
          <w:lang w:val="pt-BR"/>
        </w:rPr>
        <w:t xml:space="preserve"> </w:t>
      </w:r>
      <w:r w:rsidRPr="00B07396">
        <w:rPr>
          <w:rFonts w:ascii="Times New Roman" w:hAnsi="Times New Roman"/>
          <w:lang w:val="pt-BR"/>
        </w:rPr>
        <w:t xml:space="preserve">pequenos </w:t>
      </w:r>
      <w:r w:rsidR="000572D6" w:rsidRPr="00B07396">
        <w:rPr>
          <w:rFonts w:ascii="Times New Roman" w:hAnsi="Times New Roman"/>
          <w:lang w:val="pt-BR"/>
        </w:rPr>
        <w:t xml:space="preserve">desvios </w:t>
      </w:r>
      <w:r w:rsidRPr="00B07396">
        <w:rPr>
          <w:rFonts w:ascii="Times New Roman" w:hAnsi="Times New Roman"/>
          <w:lang w:val="pt-BR"/>
        </w:rPr>
        <w:t xml:space="preserve">para valores </w:t>
      </w:r>
      <w:r w:rsidR="000572D6" w:rsidRPr="00B07396">
        <w:rPr>
          <w:rFonts w:ascii="Times New Roman" w:hAnsi="Times New Roman"/>
          <w:lang w:val="pt-BR"/>
        </w:rPr>
        <w:t>maiores dos picos basais</w:t>
      </w:r>
      <w:r w:rsidR="006548CC" w:rsidRPr="00B07396">
        <w:rPr>
          <w:rFonts w:ascii="Times New Roman" w:hAnsi="Times New Roman"/>
          <w:lang w:val="pt-BR"/>
        </w:rPr>
        <w:t>, indicando um distanciamento basal menor. Tal comportament</w:t>
      </w:r>
      <w:r w:rsidR="00AF140F" w:rsidRPr="00B07396">
        <w:rPr>
          <w:rFonts w:ascii="Times New Roman" w:hAnsi="Times New Roman"/>
          <w:lang w:val="pt-BR"/>
        </w:rPr>
        <w:t>o</w:t>
      </w:r>
      <w:r w:rsidR="006548CC" w:rsidRPr="00B07396">
        <w:rPr>
          <w:rFonts w:ascii="Times New Roman" w:hAnsi="Times New Roman"/>
          <w:lang w:val="pt-BR"/>
        </w:rPr>
        <w:t xml:space="preserve"> ocorre devido ao </w:t>
      </w:r>
      <w:r w:rsidR="007B53FD" w:rsidRPr="00B07396">
        <w:rPr>
          <w:rFonts w:ascii="Times New Roman" w:hAnsi="Times New Roman"/>
          <w:lang w:val="pt-BR"/>
        </w:rPr>
        <w:t xml:space="preserve">ângulo que o ânion </w:t>
      </w:r>
      <w:r w:rsidR="000A386E" w:rsidRPr="00B07396">
        <w:rPr>
          <w:rFonts w:ascii="Times New Roman" w:hAnsi="Times New Roman"/>
          <w:lang w:val="pt-BR"/>
        </w:rPr>
        <w:t xml:space="preserve">é </w:t>
      </w:r>
      <w:r w:rsidR="007B53FD" w:rsidRPr="00B07396">
        <w:rPr>
          <w:rFonts w:ascii="Times New Roman" w:hAnsi="Times New Roman"/>
          <w:lang w:val="pt-BR"/>
        </w:rPr>
        <w:t xml:space="preserve">intercalo </w:t>
      </w:r>
      <w:r w:rsidR="00F27471" w:rsidRPr="00B07396">
        <w:rPr>
          <w:rFonts w:ascii="Times New Roman" w:hAnsi="Times New Roman"/>
          <w:lang w:val="pt-BR"/>
        </w:rPr>
        <w:t xml:space="preserve">no material, um ângulo </w:t>
      </w:r>
      <w:r w:rsidR="000A386E" w:rsidRPr="00B07396">
        <w:rPr>
          <w:rFonts w:ascii="Times New Roman" w:hAnsi="Times New Roman"/>
          <w:lang w:val="pt-BR"/>
        </w:rPr>
        <w:t>perpendicular</w:t>
      </w:r>
      <w:r w:rsidR="00F27471" w:rsidRPr="00B07396">
        <w:rPr>
          <w:rFonts w:ascii="Times New Roman" w:hAnsi="Times New Roman"/>
          <w:lang w:val="pt-BR"/>
        </w:rPr>
        <w:t xml:space="preserve"> resulta no maior espaçamento basal, mas ânions </w:t>
      </w:r>
      <w:r w:rsidR="000A386E" w:rsidRPr="00B07396">
        <w:rPr>
          <w:rFonts w:ascii="Times New Roman" w:hAnsi="Times New Roman"/>
          <w:lang w:val="pt-BR"/>
        </w:rPr>
        <w:t>de comprim</w:t>
      </w:r>
      <w:r w:rsidR="00383742" w:rsidRPr="00B07396">
        <w:rPr>
          <w:rFonts w:ascii="Times New Roman" w:hAnsi="Times New Roman"/>
          <w:lang w:val="pt-BR"/>
        </w:rPr>
        <w:t xml:space="preserve">ento </w:t>
      </w:r>
      <w:r w:rsidR="00297A9A" w:rsidRPr="00B07396">
        <w:rPr>
          <w:rFonts w:ascii="Times New Roman" w:hAnsi="Times New Roman"/>
          <w:lang w:val="pt-BR"/>
        </w:rPr>
        <w:t>longo</w:t>
      </w:r>
      <w:r w:rsidR="00383742" w:rsidRPr="00B07396">
        <w:rPr>
          <w:rFonts w:ascii="Times New Roman" w:hAnsi="Times New Roman"/>
          <w:lang w:val="pt-BR"/>
        </w:rPr>
        <w:t>, podem</w:t>
      </w:r>
      <w:r w:rsidR="00AB03C4" w:rsidRPr="00B07396">
        <w:rPr>
          <w:rFonts w:ascii="Times New Roman" w:hAnsi="Times New Roman"/>
          <w:lang w:val="pt-BR"/>
        </w:rPr>
        <w:t xml:space="preserve"> ser intercalados com ângulo de i</w:t>
      </w:r>
      <w:r w:rsidR="00297A9A" w:rsidRPr="00B07396">
        <w:rPr>
          <w:rFonts w:ascii="Times New Roman" w:hAnsi="Times New Roman"/>
          <w:lang w:val="pt-BR"/>
        </w:rPr>
        <w:t>nclinação menor que 90</w:t>
      </w:r>
      <w:r w:rsidR="00864CC3" w:rsidRPr="00B07396">
        <w:rPr>
          <w:rFonts w:ascii="Times New Roman" w:hAnsi="Times New Roman"/>
          <w:lang w:val="pt-BR"/>
        </w:rPr>
        <w:t>º (3)</w:t>
      </w:r>
      <w:r w:rsidR="00122335" w:rsidRPr="00B07396">
        <w:rPr>
          <w:rFonts w:ascii="Times New Roman" w:hAnsi="Times New Roman"/>
          <w:lang w:val="pt-BR"/>
        </w:rPr>
        <w:t xml:space="preserve">. Os ângulos de inclinação médios obtidos no presente trabalho foram de </w:t>
      </w:r>
      <w:r w:rsidR="002664AD" w:rsidRPr="00B07396">
        <w:rPr>
          <w:rFonts w:ascii="Times New Roman" w:hAnsi="Times New Roman"/>
          <w:lang w:val="pt-BR"/>
        </w:rPr>
        <w:t xml:space="preserve">80 e </w:t>
      </w:r>
      <w:r w:rsidR="00122335" w:rsidRPr="00B07396">
        <w:rPr>
          <w:rFonts w:ascii="Times New Roman" w:hAnsi="Times New Roman"/>
          <w:lang w:val="pt-BR"/>
        </w:rPr>
        <w:t>55°</w:t>
      </w:r>
      <w:r w:rsidR="002664AD" w:rsidRPr="00B07396">
        <w:rPr>
          <w:rFonts w:ascii="Times New Roman" w:hAnsi="Times New Roman"/>
          <w:lang w:val="pt-BR"/>
        </w:rPr>
        <w:t xml:space="preserve"> respectivamente para o </w:t>
      </w:r>
      <w:proofErr w:type="spellStart"/>
      <w:r w:rsidR="002664AD" w:rsidRPr="00B07396">
        <w:rPr>
          <w:rFonts w:ascii="Times New Roman" w:hAnsi="Times New Roman"/>
          <w:lang w:val="pt-BR"/>
        </w:rPr>
        <w:t>succinato</w:t>
      </w:r>
      <w:proofErr w:type="spellEnd"/>
      <w:r w:rsidR="002664AD" w:rsidRPr="00B07396">
        <w:rPr>
          <w:rFonts w:ascii="Times New Roman" w:hAnsi="Times New Roman"/>
          <w:lang w:val="pt-BR"/>
        </w:rPr>
        <w:t xml:space="preserve"> e </w:t>
      </w:r>
      <w:proofErr w:type="spellStart"/>
      <w:r w:rsidR="002664AD" w:rsidRPr="00B07396">
        <w:rPr>
          <w:rFonts w:ascii="Times New Roman" w:hAnsi="Times New Roman"/>
          <w:lang w:val="pt-BR"/>
        </w:rPr>
        <w:t>sebacato</w:t>
      </w:r>
      <w:proofErr w:type="spellEnd"/>
      <w:r w:rsidR="002664AD" w:rsidRPr="00B07396">
        <w:rPr>
          <w:rFonts w:ascii="Times New Roman" w:hAnsi="Times New Roman"/>
          <w:lang w:val="pt-BR"/>
        </w:rPr>
        <w:t>.</w:t>
      </w:r>
    </w:p>
    <w:p w14:paraId="1DE346A4" w14:textId="77777777" w:rsidR="00822C03" w:rsidRPr="00B07396" w:rsidRDefault="00822C03" w:rsidP="00FA5914">
      <w:pPr>
        <w:pStyle w:val="TAMainText"/>
        <w:ind w:firstLine="187"/>
        <w:rPr>
          <w:rFonts w:ascii="Times New Roman" w:hAnsi="Times New Roman"/>
          <w:lang w:val="pt-BR"/>
        </w:rPr>
      </w:pPr>
    </w:p>
    <w:p w14:paraId="586A3982" w14:textId="5C9288BA" w:rsidR="00822C03" w:rsidRPr="00B07396" w:rsidRDefault="00AF3F1F" w:rsidP="00822C03">
      <w:pPr>
        <w:jc w:val="center"/>
      </w:pPr>
      <w:r w:rsidRPr="00B07396">
        <w:rPr>
          <w:noProof/>
          <w:lang w:eastAsia="pt-BR"/>
        </w:rPr>
        <w:drawing>
          <wp:inline distT="0" distB="0" distL="0" distR="0" wp14:anchorId="022B0303" wp14:editId="7C2A5B95">
            <wp:extent cx="3027680" cy="2399030"/>
            <wp:effectExtent l="0" t="0" r="1270" b="127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7680" cy="2399030"/>
                    </a:xfrm>
                    <a:prstGeom prst="rect">
                      <a:avLst/>
                    </a:prstGeom>
                    <a:noFill/>
                    <a:ln>
                      <a:noFill/>
                    </a:ln>
                  </pic:spPr>
                </pic:pic>
              </a:graphicData>
            </a:graphic>
          </wp:inline>
        </w:drawing>
      </w:r>
    </w:p>
    <w:p w14:paraId="02D21EFC" w14:textId="6FFE05CD" w:rsidR="0085426E" w:rsidRPr="00B07396" w:rsidRDefault="00822C03" w:rsidP="00935645">
      <w:r w:rsidRPr="00B07396">
        <w:rPr>
          <w:rFonts w:ascii="Times New Roman" w:hAnsi="Times New Roman"/>
          <w:b/>
        </w:rPr>
        <w:t xml:space="preserve">Figura </w:t>
      </w:r>
      <w:r w:rsidR="00E71A98" w:rsidRPr="00B07396">
        <w:rPr>
          <w:rFonts w:ascii="Times New Roman" w:hAnsi="Times New Roman"/>
          <w:b/>
        </w:rPr>
        <w:t>4</w:t>
      </w:r>
      <w:r w:rsidRPr="00B07396">
        <w:rPr>
          <w:rFonts w:ascii="Times New Roman" w:hAnsi="Times New Roman"/>
          <w:b/>
        </w:rPr>
        <w:t>.</w:t>
      </w:r>
      <w:r w:rsidRPr="00B07396">
        <w:rPr>
          <w:rFonts w:ascii="Times New Roman" w:hAnsi="Times New Roman"/>
        </w:rPr>
        <w:t xml:space="preserve"> </w:t>
      </w:r>
      <w:proofErr w:type="spellStart"/>
      <w:r w:rsidR="0051093D" w:rsidRPr="00B07396">
        <w:rPr>
          <w:rFonts w:ascii="Times New Roman" w:hAnsi="Times New Roman"/>
        </w:rPr>
        <w:t>Difratogramas</w:t>
      </w:r>
      <w:proofErr w:type="spellEnd"/>
      <w:r w:rsidR="0051093D" w:rsidRPr="00B07396">
        <w:rPr>
          <w:rFonts w:ascii="Times New Roman" w:hAnsi="Times New Roman"/>
        </w:rPr>
        <w:t xml:space="preserve"> das amostras (I) C10.50.65, (II) C10.70.65, (III) C10.50.85 e (IV) C10.70.85</w:t>
      </w:r>
      <w:r w:rsidRPr="00B07396">
        <w:rPr>
          <w:rFonts w:ascii="Times New Roman" w:hAnsi="Times New Roman"/>
        </w:rPr>
        <w:t>.</w:t>
      </w:r>
    </w:p>
    <w:p w14:paraId="57A92F21" w14:textId="77777777" w:rsidR="0085426E" w:rsidRPr="00B07396" w:rsidRDefault="0085426E" w:rsidP="00935645">
      <w:pPr>
        <w:pStyle w:val="VAFigureCaption"/>
        <w:spacing w:before="0"/>
        <w:rPr>
          <w:lang w:val="pt-BR"/>
        </w:rPr>
      </w:pPr>
    </w:p>
    <w:p w14:paraId="6EB83E74" w14:textId="39DE06C3" w:rsidR="00966A5F" w:rsidRPr="00B07396" w:rsidRDefault="001B2687" w:rsidP="00966A5F">
      <w:pPr>
        <w:pStyle w:val="TAMainText"/>
        <w:ind w:firstLine="187"/>
        <w:rPr>
          <w:rFonts w:ascii="Times New Roman" w:hAnsi="Times New Roman"/>
          <w:lang w:val="pt-BR"/>
        </w:rPr>
      </w:pPr>
      <w:r w:rsidRPr="00B07396">
        <w:rPr>
          <w:rFonts w:ascii="Times New Roman" w:hAnsi="Times New Roman"/>
          <w:lang w:val="pt-BR"/>
        </w:rPr>
        <w:t>A tabela 2 apresenta os valores para a fração cristalina obtidas paras as 8 amostras de HDL. Para o c</w:t>
      </w:r>
      <w:r w:rsidR="00414374" w:rsidRPr="00B07396">
        <w:rPr>
          <w:rFonts w:ascii="Times New Roman" w:hAnsi="Times New Roman"/>
          <w:lang w:val="pt-BR"/>
        </w:rPr>
        <w:t>álculo</w:t>
      </w:r>
      <w:r w:rsidR="00BA7D99" w:rsidRPr="00B07396">
        <w:rPr>
          <w:rFonts w:ascii="Times New Roman" w:hAnsi="Times New Roman"/>
          <w:lang w:val="pt-BR"/>
        </w:rPr>
        <w:t xml:space="preserve"> da fração cristalina foi realizada a razão entre a área cristalina </w:t>
      </w:r>
      <w:r w:rsidR="00131BDF" w:rsidRPr="00B07396">
        <w:rPr>
          <w:rFonts w:ascii="Times New Roman" w:hAnsi="Times New Roman"/>
          <w:lang w:val="pt-BR"/>
        </w:rPr>
        <w:t xml:space="preserve">e a área total dos </w:t>
      </w:r>
      <w:proofErr w:type="spellStart"/>
      <w:r w:rsidR="00131BDF" w:rsidRPr="00B07396">
        <w:rPr>
          <w:rFonts w:ascii="Times New Roman" w:hAnsi="Times New Roman"/>
          <w:lang w:val="pt-BR"/>
        </w:rPr>
        <w:t>difratogramas</w:t>
      </w:r>
      <w:proofErr w:type="spellEnd"/>
      <w:r w:rsidR="00131BDF" w:rsidRPr="00B07396">
        <w:rPr>
          <w:rFonts w:ascii="Times New Roman" w:hAnsi="Times New Roman"/>
          <w:lang w:val="pt-BR"/>
        </w:rPr>
        <w:t xml:space="preserve"> das amostras, onde 1 </w:t>
      </w:r>
      <w:r w:rsidR="004B739E" w:rsidRPr="00B07396">
        <w:rPr>
          <w:rFonts w:ascii="Times New Roman" w:hAnsi="Times New Roman"/>
          <w:lang w:val="pt-BR"/>
        </w:rPr>
        <w:t xml:space="preserve">corresponde </w:t>
      </w:r>
      <w:r w:rsidR="006B5CC5" w:rsidRPr="00B07396">
        <w:rPr>
          <w:rFonts w:ascii="Times New Roman" w:hAnsi="Times New Roman"/>
          <w:lang w:val="pt-BR"/>
        </w:rPr>
        <w:t xml:space="preserve">à </w:t>
      </w:r>
      <w:r w:rsidR="00315B8A" w:rsidRPr="00B07396">
        <w:rPr>
          <w:rFonts w:ascii="Times New Roman" w:hAnsi="Times New Roman"/>
          <w:lang w:val="pt-BR"/>
        </w:rPr>
        <w:t>um</w:t>
      </w:r>
      <w:r w:rsidR="00D967AC" w:rsidRPr="00B07396">
        <w:rPr>
          <w:rFonts w:ascii="Times New Roman" w:hAnsi="Times New Roman"/>
          <w:lang w:val="pt-BR"/>
        </w:rPr>
        <w:t>a</w:t>
      </w:r>
      <w:r w:rsidR="00315B8A" w:rsidRPr="00B07396">
        <w:rPr>
          <w:rFonts w:ascii="Times New Roman" w:hAnsi="Times New Roman"/>
          <w:lang w:val="pt-BR"/>
        </w:rPr>
        <w:t xml:space="preserve"> </w:t>
      </w:r>
      <w:r w:rsidR="00D967AC" w:rsidRPr="00B07396">
        <w:rPr>
          <w:rFonts w:ascii="Times New Roman" w:hAnsi="Times New Roman"/>
          <w:lang w:val="pt-BR"/>
        </w:rPr>
        <w:t xml:space="preserve">amostra totalmente </w:t>
      </w:r>
      <w:r w:rsidR="00315B8A" w:rsidRPr="00B07396">
        <w:rPr>
          <w:rFonts w:ascii="Times New Roman" w:hAnsi="Times New Roman"/>
          <w:lang w:val="pt-BR"/>
        </w:rPr>
        <w:t>cristalin</w:t>
      </w:r>
      <w:r w:rsidR="00D967AC" w:rsidRPr="00B07396">
        <w:rPr>
          <w:rFonts w:ascii="Times New Roman" w:hAnsi="Times New Roman"/>
          <w:lang w:val="pt-BR"/>
        </w:rPr>
        <w:t>a</w:t>
      </w:r>
      <w:r w:rsidR="00315B8A" w:rsidRPr="00B07396">
        <w:rPr>
          <w:rFonts w:ascii="Times New Roman" w:hAnsi="Times New Roman"/>
          <w:lang w:val="pt-BR"/>
        </w:rPr>
        <w:t xml:space="preserve"> e 0 zero uma amostra amorfa.</w:t>
      </w:r>
      <w:r w:rsidR="00D967AC" w:rsidRPr="00B07396">
        <w:rPr>
          <w:rFonts w:ascii="Times New Roman" w:hAnsi="Times New Roman"/>
          <w:lang w:val="pt-BR"/>
        </w:rPr>
        <w:t xml:space="preserve"> Foi possível verificar que as amostras com </w:t>
      </w:r>
      <w:proofErr w:type="spellStart"/>
      <w:r w:rsidR="00D967AC" w:rsidRPr="00B07396">
        <w:rPr>
          <w:rFonts w:ascii="Times New Roman" w:hAnsi="Times New Roman"/>
          <w:lang w:val="pt-BR"/>
        </w:rPr>
        <w:t>succinato</w:t>
      </w:r>
      <w:proofErr w:type="spellEnd"/>
      <w:r w:rsidR="00D967AC" w:rsidRPr="00B07396">
        <w:rPr>
          <w:rFonts w:ascii="Times New Roman" w:hAnsi="Times New Roman"/>
          <w:lang w:val="pt-BR"/>
        </w:rPr>
        <w:t xml:space="preserve"> apresentaram</w:t>
      </w:r>
      <w:r w:rsidR="00AE5475" w:rsidRPr="00B07396">
        <w:rPr>
          <w:rFonts w:ascii="Times New Roman" w:hAnsi="Times New Roman"/>
          <w:lang w:val="pt-BR"/>
        </w:rPr>
        <w:t xml:space="preserve"> uma fração crist</w:t>
      </w:r>
      <w:r w:rsidR="00D20126" w:rsidRPr="00B07396">
        <w:rPr>
          <w:rFonts w:ascii="Times New Roman" w:hAnsi="Times New Roman"/>
          <w:lang w:val="pt-BR"/>
        </w:rPr>
        <w:t>a</w:t>
      </w:r>
      <w:r w:rsidR="00AE5475" w:rsidRPr="00B07396">
        <w:rPr>
          <w:rFonts w:ascii="Times New Roman" w:hAnsi="Times New Roman"/>
          <w:lang w:val="pt-BR"/>
        </w:rPr>
        <w:t xml:space="preserve">lina </w:t>
      </w:r>
      <w:r w:rsidR="00200089" w:rsidRPr="00B07396">
        <w:rPr>
          <w:rFonts w:ascii="Times New Roman" w:hAnsi="Times New Roman"/>
          <w:lang w:val="pt-BR"/>
        </w:rPr>
        <w:t>menor</w:t>
      </w:r>
      <w:r w:rsidR="006C1E22" w:rsidRPr="00B07396">
        <w:rPr>
          <w:rFonts w:ascii="Times New Roman" w:hAnsi="Times New Roman"/>
          <w:lang w:val="pt-BR"/>
        </w:rPr>
        <w:t xml:space="preserve"> nas amostras </w:t>
      </w:r>
      <w:r w:rsidR="00C76DDB" w:rsidRPr="00B07396">
        <w:rPr>
          <w:rFonts w:ascii="Times New Roman" w:hAnsi="Times New Roman"/>
          <w:lang w:val="pt-BR"/>
        </w:rPr>
        <w:t>70.65.C4 e 65.85.C</w:t>
      </w:r>
      <w:r w:rsidR="00E21CEC" w:rsidRPr="00B07396">
        <w:rPr>
          <w:rFonts w:ascii="Times New Roman" w:hAnsi="Times New Roman"/>
          <w:lang w:val="pt-BR"/>
        </w:rPr>
        <w:t>4</w:t>
      </w:r>
      <w:r w:rsidR="00633C33" w:rsidRPr="00B07396">
        <w:rPr>
          <w:rFonts w:ascii="Times New Roman" w:hAnsi="Times New Roman"/>
          <w:lang w:val="pt-BR"/>
        </w:rPr>
        <w:t>, apresentando uma média de</w:t>
      </w:r>
      <w:r w:rsidR="00C052EC" w:rsidRPr="00B07396">
        <w:rPr>
          <w:rFonts w:ascii="Times New Roman" w:hAnsi="Times New Roman"/>
          <w:lang w:val="pt-BR"/>
        </w:rPr>
        <w:t xml:space="preserve"> </w:t>
      </w:r>
      <w:proofErr w:type="spellStart"/>
      <w:r w:rsidR="00C052EC" w:rsidRPr="00B07396">
        <w:rPr>
          <w:rFonts w:ascii="Times New Roman" w:hAnsi="Times New Roman"/>
          <w:lang w:val="pt-BR"/>
        </w:rPr>
        <w:t>de</w:t>
      </w:r>
      <w:proofErr w:type="spellEnd"/>
      <w:r w:rsidR="00C052EC" w:rsidRPr="00B07396">
        <w:rPr>
          <w:rFonts w:ascii="Times New Roman" w:hAnsi="Times New Roman"/>
          <w:lang w:val="pt-BR"/>
        </w:rPr>
        <w:t xml:space="preserve"> 0,35±0,15</w:t>
      </w:r>
      <w:r w:rsidR="00B87245" w:rsidRPr="00B07396">
        <w:rPr>
          <w:rFonts w:ascii="Times New Roman" w:hAnsi="Times New Roman"/>
          <w:lang w:val="pt-BR"/>
        </w:rPr>
        <w:t xml:space="preserve">. As amostras com </w:t>
      </w:r>
      <w:proofErr w:type="spellStart"/>
      <w:r w:rsidR="00B87245" w:rsidRPr="00B07396">
        <w:rPr>
          <w:rFonts w:ascii="Times New Roman" w:hAnsi="Times New Roman"/>
          <w:lang w:val="pt-BR"/>
        </w:rPr>
        <w:t>sebacato</w:t>
      </w:r>
      <w:proofErr w:type="spellEnd"/>
      <w:r w:rsidR="00B87245" w:rsidRPr="00B07396">
        <w:rPr>
          <w:rFonts w:ascii="Times New Roman" w:hAnsi="Times New Roman"/>
          <w:lang w:val="pt-BR"/>
        </w:rPr>
        <w:t xml:space="preserve"> </w:t>
      </w:r>
      <w:r w:rsidR="0011325C" w:rsidRPr="00B07396">
        <w:rPr>
          <w:rFonts w:ascii="Times New Roman" w:hAnsi="Times New Roman"/>
          <w:lang w:val="pt-BR"/>
        </w:rPr>
        <w:t>apresentaram uma</w:t>
      </w:r>
      <w:r w:rsidR="00B87245" w:rsidRPr="00B07396">
        <w:rPr>
          <w:rFonts w:ascii="Times New Roman" w:hAnsi="Times New Roman"/>
          <w:lang w:val="pt-BR"/>
        </w:rPr>
        <w:t xml:space="preserve"> fração cristalina média de </w:t>
      </w:r>
      <w:r w:rsidR="00C052EC" w:rsidRPr="00B07396">
        <w:rPr>
          <w:rFonts w:ascii="Times New Roman" w:hAnsi="Times New Roman"/>
          <w:lang w:val="pt-BR"/>
        </w:rPr>
        <w:t>0,</w:t>
      </w:r>
      <w:r w:rsidR="00B87245" w:rsidRPr="00B07396">
        <w:rPr>
          <w:rFonts w:ascii="Times New Roman" w:hAnsi="Times New Roman"/>
          <w:lang w:val="pt-BR"/>
        </w:rPr>
        <w:t>54</w:t>
      </w:r>
      <w:r w:rsidR="002474B9" w:rsidRPr="00B07396">
        <w:rPr>
          <w:rFonts w:ascii="Times New Roman" w:hAnsi="Times New Roman"/>
          <w:lang w:val="pt-BR"/>
        </w:rPr>
        <w:t>±</w:t>
      </w:r>
      <w:r w:rsidR="00C052EC" w:rsidRPr="00B07396">
        <w:rPr>
          <w:rFonts w:ascii="Times New Roman" w:hAnsi="Times New Roman"/>
          <w:lang w:val="pt-BR"/>
        </w:rPr>
        <w:t>0,0</w:t>
      </w:r>
      <w:r w:rsidR="002474B9" w:rsidRPr="00B07396">
        <w:rPr>
          <w:rFonts w:ascii="Times New Roman" w:hAnsi="Times New Roman"/>
          <w:lang w:val="pt-BR"/>
        </w:rPr>
        <w:t>4</w:t>
      </w:r>
      <w:r w:rsidR="005614C8" w:rsidRPr="00B07396">
        <w:rPr>
          <w:rFonts w:ascii="Times New Roman" w:hAnsi="Times New Roman"/>
          <w:lang w:val="pt-BR"/>
        </w:rPr>
        <w:t xml:space="preserve">, tal resultado </w:t>
      </w:r>
      <w:r w:rsidR="008D357C" w:rsidRPr="00B07396">
        <w:rPr>
          <w:rFonts w:ascii="Times New Roman" w:hAnsi="Times New Roman"/>
          <w:lang w:val="pt-BR"/>
        </w:rPr>
        <w:t xml:space="preserve">verifica a proposição de que </w:t>
      </w:r>
      <w:r w:rsidR="00966A5F" w:rsidRPr="00B07396">
        <w:rPr>
          <w:rFonts w:ascii="Times New Roman" w:hAnsi="Times New Roman"/>
          <w:lang w:val="pt-BR"/>
        </w:rPr>
        <w:t xml:space="preserve">ácidos </w:t>
      </w:r>
      <w:proofErr w:type="spellStart"/>
      <w:r w:rsidR="00966A5F" w:rsidRPr="00B07396">
        <w:rPr>
          <w:rFonts w:ascii="Times New Roman" w:hAnsi="Times New Roman"/>
          <w:lang w:val="pt-BR"/>
        </w:rPr>
        <w:t>di-carboxílicos</w:t>
      </w:r>
      <w:proofErr w:type="spellEnd"/>
      <w:r w:rsidR="00966A5F" w:rsidRPr="00B07396">
        <w:rPr>
          <w:rFonts w:ascii="Times New Roman" w:hAnsi="Times New Roman"/>
          <w:lang w:val="pt-BR"/>
        </w:rPr>
        <w:t xml:space="preserve"> tendam a estabilizar a formação de </w:t>
      </w:r>
      <w:proofErr w:type="spellStart"/>
      <w:r w:rsidR="00966A5F" w:rsidRPr="00B07396">
        <w:rPr>
          <w:rFonts w:ascii="Times New Roman" w:hAnsi="Times New Roman"/>
          <w:lang w:val="pt-BR"/>
        </w:rPr>
        <w:t>HDLs</w:t>
      </w:r>
      <w:proofErr w:type="spellEnd"/>
      <w:r w:rsidR="00966A5F" w:rsidRPr="00B07396">
        <w:rPr>
          <w:rFonts w:ascii="Times New Roman" w:hAnsi="Times New Roman"/>
          <w:lang w:val="pt-BR"/>
        </w:rPr>
        <w:t xml:space="preserve"> de valor elevado de x (3,1</w:t>
      </w:r>
      <w:r w:rsidR="009913AE" w:rsidRPr="00B07396">
        <w:rPr>
          <w:rFonts w:ascii="Times New Roman" w:hAnsi="Times New Roman"/>
          <w:lang w:val="pt-BR"/>
        </w:rPr>
        <w:t>5</w:t>
      </w:r>
      <w:r w:rsidR="00966A5F" w:rsidRPr="00B07396">
        <w:rPr>
          <w:rFonts w:ascii="Times New Roman" w:hAnsi="Times New Roman"/>
          <w:lang w:val="pt-BR"/>
        </w:rPr>
        <w:t>)</w:t>
      </w:r>
      <w:r w:rsidR="0078421D" w:rsidRPr="00B07396">
        <w:rPr>
          <w:rFonts w:ascii="Times New Roman" w:hAnsi="Times New Roman"/>
          <w:lang w:val="pt-BR"/>
        </w:rPr>
        <w:t xml:space="preserve"> e que ânions de cadeia </w:t>
      </w:r>
      <w:r w:rsidR="00C6183B" w:rsidRPr="00B07396">
        <w:rPr>
          <w:rFonts w:ascii="Times New Roman" w:hAnsi="Times New Roman"/>
          <w:lang w:val="pt-BR"/>
        </w:rPr>
        <w:t xml:space="preserve">comprida foram ainda mais eficazes em gerar </w:t>
      </w:r>
      <w:r w:rsidR="00C97A14" w:rsidRPr="00B07396">
        <w:rPr>
          <w:rFonts w:ascii="Times New Roman" w:hAnsi="Times New Roman"/>
          <w:lang w:val="pt-BR"/>
        </w:rPr>
        <w:t>materiais de</w:t>
      </w:r>
      <w:r w:rsidR="00746B62" w:rsidRPr="00B07396">
        <w:rPr>
          <w:rFonts w:ascii="Times New Roman" w:hAnsi="Times New Roman"/>
          <w:lang w:val="pt-BR"/>
        </w:rPr>
        <w:t xml:space="preserve"> </w:t>
      </w:r>
      <w:r w:rsidR="00FB468B" w:rsidRPr="00B07396">
        <w:rPr>
          <w:rFonts w:ascii="Times New Roman" w:hAnsi="Times New Roman"/>
          <w:lang w:val="pt-BR"/>
        </w:rPr>
        <w:t xml:space="preserve">maior </w:t>
      </w:r>
      <w:r w:rsidR="00C6183B" w:rsidRPr="00B07396">
        <w:rPr>
          <w:rFonts w:ascii="Times New Roman" w:hAnsi="Times New Roman"/>
          <w:lang w:val="pt-BR"/>
        </w:rPr>
        <w:t>cristalin</w:t>
      </w:r>
      <w:r w:rsidR="00FB468B" w:rsidRPr="00B07396">
        <w:rPr>
          <w:rFonts w:ascii="Times New Roman" w:hAnsi="Times New Roman"/>
          <w:lang w:val="pt-BR"/>
        </w:rPr>
        <w:t>idade</w:t>
      </w:r>
      <w:r w:rsidR="00966A5F" w:rsidRPr="00B07396">
        <w:rPr>
          <w:rFonts w:ascii="Times New Roman" w:hAnsi="Times New Roman"/>
          <w:lang w:val="pt-BR"/>
        </w:rPr>
        <w:t>.</w:t>
      </w:r>
    </w:p>
    <w:p w14:paraId="73997BC7" w14:textId="77777777" w:rsidR="00FB468B" w:rsidRPr="00B07396" w:rsidRDefault="00FB468B" w:rsidP="00966A5F">
      <w:pPr>
        <w:pStyle w:val="TAMainText"/>
        <w:ind w:firstLine="187"/>
        <w:rPr>
          <w:rFonts w:ascii="Times New Roman" w:hAnsi="Times New Roman"/>
          <w:lang w:val="pt-BR"/>
        </w:rPr>
      </w:pPr>
    </w:p>
    <w:p w14:paraId="6763F859" w14:textId="77777777" w:rsidR="004A2F26" w:rsidRPr="00B07396" w:rsidRDefault="004A2F26" w:rsidP="00966A5F">
      <w:pPr>
        <w:pStyle w:val="TAMainText"/>
        <w:ind w:firstLine="187"/>
        <w:rPr>
          <w:rFonts w:ascii="Times New Roman" w:hAnsi="Times New Roman"/>
          <w:lang w:val="pt-BR"/>
        </w:rPr>
      </w:pPr>
    </w:p>
    <w:p w14:paraId="7125824D" w14:textId="781A1E38" w:rsidR="009C7291" w:rsidRPr="00B07396" w:rsidRDefault="004A2F26" w:rsidP="00FE52E4">
      <w:pPr>
        <w:pStyle w:val="VDTableTitle"/>
        <w:spacing w:after="120"/>
        <w:jc w:val="both"/>
        <w:rPr>
          <w:rFonts w:ascii="Times New Roman" w:hAnsi="Times New Roman"/>
          <w:lang w:val="pt-BR"/>
        </w:rPr>
      </w:pPr>
      <w:r w:rsidRPr="00B07396">
        <w:rPr>
          <w:rFonts w:ascii="Times New Roman" w:hAnsi="Times New Roman"/>
          <w:b/>
          <w:lang w:val="pt-BR"/>
        </w:rPr>
        <w:t>Tabela 2.</w:t>
      </w:r>
      <w:r w:rsidRPr="00B07396">
        <w:rPr>
          <w:rFonts w:ascii="Times New Roman" w:hAnsi="Times New Roman"/>
          <w:lang w:val="pt-BR"/>
        </w:rPr>
        <w:t xml:space="preserve"> Fração cristalina calculada para as amostras.</w:t>
      </w:r>
    </w:p>
    <w:tbl>
      <w:tblPr>
        <w:tblW w:w="48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6"/>
        <w:gridCol w:w="2658"/>
      </w:tblGrid>
      <w:tr w:rsidR="009C7291" w:rsidRPr="00B07396" w14:paraId="1A2929A3" w14:textId="77777777" w:rsidTr="002E29A7">
        <w:trPr>
          <w:jc w:val="center"/>
        </w:trPr>
        <w:tc>
          <w:tcPr>
            <w:tcW w:w="1201" w:type="dxa"/>
            <w:vAlign w:val="center"/>
          </w:tcPr>
          <w:p w14:paraId="65B369A1" w14:textId="77777777" w:rsidR="009C7291" w:rsidRPr="00B07396" w:rsidRDefault="009C7291" w:rsidP="002E29A7">
            <w:pPr>
              <w:pStyle w:val="TCTableBody"/>
              <w:jc w:val="center"/>
              <w:rPr>
                <w:lang w:val="pt-BR"/>
              </w:rPr>
            </w:pPr>
            <w:proofErr w:type="spellStart"/>
            <w:r w:rsidRPr="00B07396">
              <w:t>Amostra</w:t>
            </w:r>
            <w:proofErr w:type="spellEnd"/>
          </w:p>
        </w:tc>
        <w:tc>
          <w:tcPr>
            <w:tcW w:w="1488" w:type="dxa"/>
            <w:vAlign w:val="center"/>
          </w:tcPr>
          <w:p w14:paraId="2EE8203A" w14:textId="2FCFA920" w:rsidR="009C7291" w:rsidRPr="00B07396" w:rsidRDefault="009C7291" w:rsidP="002E29A7">
            <w:pPr>
              <w:pStyle w:val="TCTableBody"/>
              <w:jc w:val="center"/>
              <w:rPr>
                <w:lang w:val="pt-BR"/>
              </w:rPr>
            </w:pPr>
            <w:proofErr w:type="spellStart"/>
            <w:r w:rsidRPr="00B07396">
              <w:t>Fração</w:t>
            </w:r>
            <w:proofErr w:type="spellEnd"/>
            <w:r w:rsidRPr="00B07396">
              <w:t xml:space="preserve"> </w:t>
            </w:r>
            <w:proofErr w:type="spellStart"/>
            <w:r w:rsidRPr="00B07396">
              <w:t>cristalina</w:t>
            </w:r>
            <w:proofErr w:type="spellEnd"/>
          </w:p>
        </w:tc>
      </w:tr>
      <w:tr w:rsidR="009C7291" w:rsidRPr="00B07396" w14:paraId="147AC6B5" w14:textId="77777777" w:rsidTr="002E29A7">
        <w:trPr>
          <w:trHeight w:val="454"/>
          <w:jc w:val="center"/>
        </w:trPr>
        <w:tc>
          <w:tcPr>
            <w:tcW w:w="1201" w:type="dxa"/>
            <w:tcBorders>
              <w:bottom w:val="single" w:sz="6" w:space="0" w:color="auto"/>
            </w:tcBorders>
            <w:vAlign w:val="center"/>
          </w:tcPr>
          <w:p w14:paraId="382F2084" w14:textId="77777777" w:rsidR="009C7291" w:rsidRPr="00B07396" w:rsidRDefault="009C7291" w:rsidP="002E29A7">
            <w:pPr>
              <w:pStyle w:val="TCTableBody"/>
              <w:jc w:val="center"/>
              <w:rPr>
                <w:lang w:val="pt-BR"/>
              </w:rPr>
            </w:pPr>
            <w:r w:rsidRPr="00B07396">
              <w:t>50.65.C4</w:t>
            </w:r>
          </w:p>
        </w:tc>
        <w:tc>
          <w:tcPr>
            <w:tcW w:w="1488" w:type="dxa"/>
            <w:tcBorders>
              <w:bottom w:val="single" w:sz="6" w:space="0" w:color="auto"/>
            </w:tcBorders>
            <w:vAlign w:val="center"/>
          </w:tcPr>
          <w:p w14:paraId="02FF3AAE" w14:textId="64785BF3" w:rsidR="009C7291" w:rsidRPr="00B07396" w:rsidRDefault="009C7291" w:rsidP="002E29A7">
            <w:pPr>
              <w:pStyle w:val="TCTableBody"/>
              <w:jc w:val="center"/>
              <w:rPr>
                <w:lang w:val="pt-BR"/>
              </w:rPr>
            </w:pPr>
            <w:r w:rsidRPr="00B07396">
              <w:t>0,50</w:t>
            </w:r>
          </w:p>
        </w:tc>
      </w:tr>
      <w:tr w:rsidR="009C7291" w:rsidRPr="00B07396" w14:paraId="7AD43EAB" w14:textId="77777777" w:rsidTr="002E29A7">
        <w:trPr>
          <w:trHeight w:val="454"/>
          <w:jc w:val="center"/>
        </w:trPr>
        <w:tc>
          <w:tcPr>
            <w:tcW w:w="1201" w:type="dxa"/>
            <w:tcBorders>
              <w:bottom w:val="single" w:sz="6" w:space="0" w:color="auto"/>
            </w:tcBorders>
            <w:vAlign w:val="center"/>
          </w:tcPr>
          <w:p w14:paraId="4525C8A6" w14:textId="77777777" w:rsidR="009C7291" w:rsidRPr="00B07396" w:rsidRDefault="009C7291" w:rsidP="002E29A7">
            <w:pPr>
              <w:pStyle w:val="TCTableBody"/>
              <w:jc w:val="center"/>
              <w:rPr>
                <w:lang w:val="pt-BR"/>
              </w:rPr>
            </w:pPr>
            <w:r w:rsidRPr="00B07396">
              <w:t>70.65.C4</w:t>
            </w:r>
          </w:p>
        </w:tc>
        <w:tc>
          <w:tcPr>
            <w:tcW w:w="1488" w:type="dxa"/>
            <w:tcBorders>
              <w:bottom w:val="single" w:sz="6" w:space="0" w:color="auto"/>
            </w:tcBorders>
            <w:vAlign w:val="center"/>
          </w:tcPr>
          <w:p w14:paraId="558F704E" w14:textId="12267CF0" w:rsidR="009C7291" w:rsidRPr="00B07396" w:rsidRDefault="009C7291" w:rsidP="002E29A7">
            <w:pPr>
              <w:pStyle w:val="TCTableBody"/>
              <w:jc w:val="center"/>
              <w:rPr>
                <w:lang w:val="pt-BR"/>
              </w:rPr>
            </w:pPr>
            <w:r w:rsidRPr="00B07396">
              <w:t>0,21</w:t>
            </w:r>
          </w:p>
        </w:tc>
      </w:tr>
      <w:tr w:rsidR="009C7291" w:rsidRPr="00B07396" w14:paraId="5EC51263" w14:textId="77777777" w:rsidTr="002E29A7">
        <w:trPr>
          <w:trHeight w:val="454"/>
          <w:jc w:val="center"/>
        </w:trPr>
        <w:tc>
          <w:tcPr>
            <w:tcW w:w="1201" w:type="dxa"/>
            <w:tcBorders>
              <w:bottom w:val="single" w:sz="6" w:space="0" w:color="auto"/>
            </w:tcBorders>
            <w:vAlign w:val="center"/>
          </w:tcPr>
          <w:p w14:paraId="3B751A43" w14:textId="77777777" w:rsidR="009C7291" w:rsidRPr="00B07396" w:rsidRDefault="009C7291" w:rsidP="002E29A7">
            <w:pPr>
              <w:pStyle w:val="TCTableBody"/>
              <w:jc w:val="center"/>
              <w:rPr>
                <w:lang w:val="pt-BR"/>
              </w:rPr>
            </w:pPr>
            <w:r w:rsidRPr="00B07396">
              <w:t>50.85.C4</w:t>
            </w:r>
          </w:p>
        </w:tc>
        <w:tc>
          <w:tcPr>
            <w:tcW w:w="1488" w:type="dxa"/>
            <w:tcBorders>
              <w:bottom w:val="single" w:sz="6" w:space="0" w:color="auto"/>
            </w:tcBorders>
            <w:vAlign w:val="center"/>
          </w:tcPr>
          <w:p w14:paraId="167D44CC" w14:textId="4C8F8820" w:rsidR="009C7291" w:rsidRPr="00B07396" w:rsidRDefault="009C7291" w:rsidP="002E29A7">
            <w:pPr>
              <w:pStyle w:val="TCTableBody"/>
              <w:jc w:val="center"/>
              <w:rPr>
                <w:lang w:val="pt-BR"/>
              </w:rPr>
            </w:pPr>
            <w:r w:rsidRPr="00B07396">
              <w:t>0,19</w:t>
            </w:r>
          </w:p>
        </w:tc>
      </w:tr>
      <w:tr w:rsidR="009C7291" w:rsidRPr="00B07396" w14:paraId="1550FEA6" w14:textId="77777777" w:rsidTr="002E29A7">
        <w:trPr>
          <w:trHeight w:val="454"/>
          <w:jc w:val="center"/>
        </w:trPr>
        <w:tc>
          <w:tcPr>
            <w:tcW w:w="1201" w:type="dxa"/>
            <w:tcBorders>
              <w:bottom w:val="single" w:sz="6" w:space="0" w:color="auto"/>
            </w:tcBorders>
            <w:vAlign w:val="center"/>
          </w:tcPr>
          <w:p w14:paraId="495F365B" w14:textId="77777777" w:rsidR="009C7291" w:rsidRPr="00B07396" w:rsidRDefault="009C7291" w:rsidP="002E29A7">
            <w:pPr>
              <w:pStyle w:val="TCTableBody"/>
              <w:jc w:val="center"/>
              <w:rPr>
                <w:lang w:val="pt-BR"/>
              </w:rPr>
            </w:pPr>
            <w:r w:rsidRPr="00B07396">
              <w:t>70.85.C4</w:t>
            </w:r>
          </w:p>
        </w:tc>
        <w:tc>
          <w:tcPr>
            <w:tcW w:w="1488" w:type="dxa"/>
            <w:tcBorders>
              <w:bottom w:val="single" w:sz="6" w:space="0" w:color="auto"/>
            </w:tcBorders>
            <w:vAlign w:val="center"/>
          </w:tcPr>
          <w:p w14:paraId="64B52B74" w14:textId="65339750" w:rsidR="009C7291" w:rsidRPr="00B07396" w:rsidRDefault="004A2F26" w:rsidP="002E29A7">
            <w:pPr>
              <w:pStyle w:val="TCTableBody"/>
              <w:jc w:val="center"/>
              <w:rPr>
                <w:lang w:val="pt-BR"/>
              </w:rPr>
            </w:pPr>
            <w:r w:rsidRPr="00B07396">
              <w:t>0,49</w:t>
            </w:r>
          </w:p>
        </w:tc>
      </w:tr>
      <w:tr w:rsidR="009C7291" w:rsidRPr="00B07396" w14:paraId="4E9BBB05" w14:textId="77777777" w:rsidTr="002E29A7">
        <w:trPr>
          <w:trHeight w:val="454"/>
          <w:jc w:val="center"/>
        </w:trPr>
        <w:tc>
          <w:tcPr>
            <w:tcW w:w="1201" w:type="dxa"/>
            <w:tcBorders>
              <w:bottom w:val="single" w:sz="6" w:space="0" w:color="auto"/>
            </w:tcBorders>
            <w:vAlign w:val="center"/>
          </w:tcPr>
          <w:p w14:paraId="5F45E34B" w14:textId="77777777" w:rsidR="009C7291" w:rsidRPr="00B07396" w:rsidRDefault="009C7291" w:rsidP="002E29A7">
            <w:pPr>
              <w:pStyle w:val="TCTableBody"/>
              <w:jc w:val="center"/>
              <w:rPr>
                <w:lang w:val="pt-BR"/>
              </w:rPr>
            </w:pPr>
            <w:r w:rsidRPr="00B07396">
              <w:t>50.65.C10</w:t>
            </w:r>
          </w:p>
        </w:tc>
        <w:tc>
          <w:tcPr>
            <w:tcW w:w="1488" w:type="dxa"/>
            <w:tcBorders>
              <w:bottom w:val="single" w:sz="6" w:space="0" w:color="auto"/>
            </w:tcBorders>
            <w:vAlign w:val="center"/>
          </w:tcPr>
          <w:p w14:paraId="172DAEE8" w14:textId="3997BE48" w:rsidR="009C7291" w:rsidRPr="00B07396" w:rsidRDefault="004A2F26" w:rsidP="002E29A7">
            <w:pPr>
              <w:pStyle w:val="TCTableBody"/>
              <w:jc w:val="center"/>
              <w:rPr>
                <w:lang w:val="pt-BR"/>
              </w:rPr>
            </w:pPr>
            <w:r w:rsidRPr="00B07396">
              <w:t>0,57</w:t>
            </w:r>
          </w:p>
        </w:tc>
      </w:tr>
      <w:tr w:rsidR="009C7291" w:rsidRPr="00B07396" w14:paraId="15A0A448" w14:textId="77777777" w:rsidTr="002E29A7">
        <w:trPr>
          <w:trHeight w:val="454"/>
          <w:jc w:val="center"/>
        </w:trPr>
        <w:tc>
          <w:tcPr>
            <w:tcW w:w="1201" w:type="dxa"/>
            <w:tcBorders>
              <w:bottom w:val="single" w:sz="6" w:space="0" w:color="auto"/>
            </w:tcBorders>
            <w:vAlign w:val="center"/>
          </w:tcPr>
          <w:p w14:paraId="47628642" w14:textId="77777777" w:rsidR="009C7291" w:rsidRPr="00B07396" w:rsidRDefault="009C7291" w:rsidP="002E29A7">
            <w:pPr>
              <w:pStyle w:val="TCTableBody"/>
              <w:jc w:val="center"/>
              <w:rPr>
                <w:lang w:val="pt-BR"/>
              </w:rPr>
            </w:pPr>
            <w:r w:rsidRPr="00B07396">
              <w:t>70.65.C10</w:t>
            </w:r>
          </w:p>
        </w:tc>
        <w:tc>
          <w:tcPr>
            <w:tcW w:w="1488" w:type="dxa"/>
            <w:tcBorders>
              <w:bottom w:val="single" w:sz="6" w:space="0" w:color="auto"/>
            </w:tcBorders>
            <w:vAlign w:val="center"/>
          </w:tcPr>
          <w:p w14:paraId="29C56AD8" w14:textId="4B12FF50" w:rsidR="009C7291" w:rsidRPr="00B07396" w:rsidRDefault="004A2F26" w:rsidP="002E29A7">
            <w:pPr>
              <w:pStyle w:val="TCTableBody"/>
              <w:jc w:val="center"/>
              <w:rPr>
                <w:lang w:val="pt-BR"/>
              </w:rPr>
            </w:pPr>
            <w:r w:rsidRPr="00B07396">
              <w:t>0,59</w:t>
            </w:r>
          </w:p>
        </w:tc>
      </w:tr>
      <w:tr w:rsidR="009C7291" w:rsidRPr="00B07396" w14:paraId="4D577B87" w14:textId="77777777" w:rsidTr="002E29A7">
        <w:trPr>
          <w:trHeight w:val="454"/>
          <w:jc w:val="center"/>
        </w:trPr>
        <w:tc>
          <w:tcPr>
            <w:tcW w:w="1201" w:type="dxa"/>
            <w:tcBorders>
              <w:bottom w:val="single" w:sz="6" w:space="0" w:color="auto"/>
            </w:tcBorders>
            <w:vAlign w:val="center"/>
          </w:tcPr>
          <w:p w14:paraId="4ECB2064" w14:textId="77777777" w:rsidR="009C7291" w:rsidRPr="00B07396" w:rsidRDefault="009C7291" w:rsidP="002E29A7">
            <w:pPr>
              <w:pStyle w:val="TCTableBody"/>
              <w:jc w:val="center"/>
              <w:rPr>
                <w:lang w:val="pt-BR"/>
              </w:rPr>
            </w:pPr>
            <w:r w:rsidRPr="00B07396">
              <w:t>50.85.C10</w:t>
            </w:r>
          </w:p>
        </w:tc>
        <w:tc>
          <w:tcPr>
            <w:tcW w:w="1488" w:type="dxa"/>
            <w:tcBorders>
              <w:bottom w:val="single" w:sz="6" w:space="0" w:color="auto"/>
            </w:tcBorders>
            <w:vAlign w:val="center"/>
          </w:tcPr>
          <w:p w14:paraId="61A68C0B" w14:textId="7ADE8C30" w:rsidR="009C7291" w:rsidRPr="00B07396" w:rsidRDefault="004A2F26" w:rsidP="002E29A7">
            <w:pPr>
              <w:pStyle w:val="TCTableBody"/>
              <w:jc w:val="center"/>
              <w:rPr>
                <w:lang w:val="pt-BR"/>
              </w:rPr>
            </w:pPr>
            <w:r w:rsidRPr="00B07396">
              <w:t>0,49</w:t>
            </w:r>
          </w:p>
        </w:tc>
      </w:tr>
      <w:tr w:rsidR="009C7291" w:rsidRPr="00B07396" w14:paraId="451BBC8D" w14:textId="77777777" w:rsidTr="002E29A7">
        <w:trPr>
          <w:trHeight w:val="454"/>
          <w:jc w:val="center"/>
        </w:trPr>
        <w:tc>
          <w:tcPr>
            <w:tcW w:w="1201" w:type="dxa"/>
            <w:tcBorders>
              <w:bottom w:val="single" w:sz="6" w:space="0" w:color="auto"/>
            </w:tcBorders>
            <w:vAlign w:val="center"/>
          </w:tcPr>
          <w:p w14:paraId="302ADBB6" w14:textId="77777777" w:rsidR="009C7291" w:rsidRPr="00B07396" w:rsidRDefault="009C7291" w:rsidP="002E29A7">
            <w:pPr>
              <w:pStyle w:val="TCTableBody"/>
              <w:jc w:val="center"/>
              <w:rPr>
                <w:lang w:val="pt-BR"/>
              </w:rPr>
            </w:pPr>
            <w:r w:rsidRPr="00B07396">
              <w:t>70.85.C10</w:t>
            </w:r>
          </w:p>
        </w:tc>
        <w:tc>
          <w:tcPr>
            <w:tcW w:w="1488" w:type="dxa"/>
            <w:tcBorders>
              <w:bottom w:val="single" w:sz="6" w:space="0" w:color="auto"/>
            </w:tcBorders>
            <w:vAlign w:val="center"/>
          </w:tcPr>
          <w:p w14:paraId="773B9DA5" w14:textId="2F970DB8" w:rsidR="009C7291" w:rsidRPr="00B07396" w:rsidRDefault="004A2F26" w:rsidP="002E29A7">
            <w:pPr>
              <w:pStyle w:val="TCTableBody"/>
              <w:jc w:val="center"/>
              <w:rPr>
                <w:lang w:val="pt-BR"/>
              </w:rPr>
            </w:pPr>
            <w:r w:rsidRPr="00B07396">
              <w:t>0,52</w:t>
            </w:r>
          </w:p>
        </w:tc>
      </w:tr>
    </w:tbl>
    <w:p w14:paraId="069B4A03" w14:textId="2D40DF47" w:rsidR="001B2687" w:rsidRPr="00B07396" w:rsidRDefault="001B2687" w:rsidP="00935645">
      <w:pPr>
        <w:pStyle w:val="TAMainText"/>
        <w:ind w:firstLine="0"/>
        <w:rPr>
          <w:rFonts w:ascii="Times New Roman" w:hAnsi="Times New Roman"/>
          <w:lang w:val="pt-BR"/>
        </w:rPr>
      </w:pPr>
    </w:p>
    <w:p w14:paraId="281D38AC" w14:textId="77777777" w:rsidR="00565B10" w:rsidRPr="00B07396" w:rsidRDefault="00565B10" w:rsidP="00FA5914">
      <w:pPr>
        <w:pStyle w:val="TAMainText"/>
        <w:ind w:firstLine="187"/>
        <w:rPr>
          <w:rFonts w:ascii="Times New Roman" w:hAnsi="Times New Roman"/>
          <w:lang w:val="pt-BR"/>
        </w:rPr>
      </w:pPr>
    </w:p>
    <w:p w14:paraId="11E4C6AC" w14:textId="62CF7D97" w:rsidR="00FA0448" w:rsidRPr="00B07396" w:rsidRDefault="0011325C" w:rsidP="00373F74">
      <w:pPr>
        <w:pStyle w:val="TAMainText"/>
        <w:ind w:firstLine="0"/>
        <w:rPr>
          <w:rFonts w:ascii="Times New Roman" w:hAnsi="Times New Roman"/>
          <w:i/>
          <w:lang w:val="pt-BR"/>
        </w:rPr>
      </w:pPr>
      <w:r w:rsidRPr="00B07396">
        <w:rPr>
          <w:rFonts w:ascii="Times New Roman" w:hAnsi="Times New Roman"/>
          <w:i/>
          <w:lang w:val="pt-BR"/>
        </w:rPr>
        <w:t xml:space="preserve">Análise </w:t>
      </w:r>
      <w:proofErr w:type="spellStart"/>
      <w:r w:rsidRPr="00B07396">
        <w:rPr>
          <w:rFonts w:ascii="Times New Roman" w:hAnsi="Times New Roman"/>
          <w:i/>
          <w:lang w:val="pt-BR"/>
        </w:rPr>
        <w:t>Textural</w:t>
      </w:r>
      <w:proofErr w:type="spellEnd"/>
    </w:p>
    <w:p w14:paraId="2C5C0256" w14:textId="4D11EAE3" w:rsidR="00DF33C2" w:rsidRPr="00B07396" w:rsidRDefault="00373F74" w:rsidP="006A07D5">
      <w:pPr>
        <w:pStyle w:val="TAMainText"/>
        <w:ind w:firstLine="187"/>
        <w:rPr>
          <w:rFonts w:ascii="Times New Roman" w:hAnsi="Times New Roman"/>
          <w:lang w:val="pt-BR"/>
        </w:rPr>
      </w:pPr>
      <w:r w:rsidRPr="00B07396">
        <w:rPr>
          <w:rFonts w:ascii="Times New Roman" w:hAnsi="Times New Roman"/>
          <w:lang w:val="pt-BR"/>
        </w:rPr>
        <w:t>As isotermas obtidas segundo classificação IUPAC (</w:t>
      </w:r>
      <w:r w:rsidR="005F5FD3" w:rsidRPr="00B07396">
        <w:rPr>
          <w:rFonts w:ascii="Times New Roman" w:hAnsi="Times New Roman"/>
          <w:lang w:val="pt-BR"/>
        </w:rPr>
        <w:t>1</w:t>
      </w:r>
      <w:r w:rsidR="000D5EB2" w:rsidRPr="00B07396">
        <w:rPr>
          <w:rFonts w:ascii="Times New Roman" w:hAnsi="Times New Roman"/>
          <w:lang w:val="pt-BR"/>
        </w:rPr>
        <w:t>3</w:t>
      </w:r>
      <w:r w:rsidRPr="00B07396">
        <w:rPr>
          <w:rFonts w:ascii="Times New Roman" w:hAnsi="Times New Roman"/>
          <w:lang w:val="pt-BR"/>
        </w:rPr>
        <w:t>) são do tipo IV com laço de histerese do tipo H2 (a) presentes na Figura 5</w:t>
      </w:r>
      <w:r w:rsidR="007910FE" w:rsidRPr="00B07396">
        <w:rPr>
          <w:rFonts w:ascii="Times New Roman" w:hAnsi="Times New Roman"/>
          <w:lang w:val="pt-BR"/>
        </w:rPr>
        <w:t xml:space="preserve"> e 6</w:t>
      </w:r>
      <w:r w:rsidRPr="00B07396">
        <w:rPr>
          <w:rFonts w:ascii="Times New Roman" w:hAnsi="Times New Roman"/>
          <w:lang w:val="pt-BR"/>
        </w:rPr>
        <w:t>,</w:t>
      </w:r>
      <w:r w:rsidR="00DF33C2" w:rsidRPr="00B07396">
        <w:rPr>
          <w:rFonts w:ascii="Times New Roman" w:hAnsi="Times New Roman"/>
          <w:lang w:val="pt-BR"/>
        </w:rPr>
        <w:t xml:space="preserve"> </w:t>
      </w:r>
      <w:r w:rsidRPr="00B07396">
        <w:rPr>
          <w:rFonts w:ascii="Times New Roman" w:hAnsi="Times New Roman"/>
          <w:lang w:val="pt-BR"/>
        </w:rPr>
        <w:t xml:space="preserve">esse tipo de isoterma é característico de materiais </w:t>
      </w:r>
      <w:proofErr w:type="spellStart"/>
      <w:r w:rsidRPr="00B07396">
        <w:rPr>
          <w:rFonts w:ascii="Times New Roman" w:hAnsi="Times New Roman"/>
          <w:lang w:val="pt-BR"/>
        </w:rPr>
        <w:t>mesoporosos</w:t>
      </w:r>
      <w:proofErr w:type="spellEnd"/>
      <w:r w:rsidRPr="00B07396">
        <w:rPr>
          <w:rFonts w:ascii="Times New Roman" w:hAnsi="Times New Roman"/>
          <w:lang w:val="pt-BR"/>
        </w:rPr>
        <w:t>.</w:t>
      </w:r>
    </w:p>
    <w:p w14:paraId="49EA4ADC" w14:textId="6403447E" w:rsidR="00476184" w:rsidRPr="00B07396" w:rsidRDefault="00B824B3" w:rsidP="00476184">
      <w:pPr>
        <w:jc w:val="center"/>
      </w:pPr>
      <w:r w:rsidRPr="00B07396">
        <w:rPr>
          <w:noProof/>
          <w:lang w:eastAsia="pt-BR"/>
        </w:rPr>
        <w:drawing>
          <wp:inline distT="0" distB="0" distL="0" distR="0" wp14:anchorId="3D69EC6C" wp14:editId="523AD041">
            <wp:extent cx="3027680" cy="2425277"/>
            <wp:effectExtent l="0" t="0" r="1270" b="0"/>
            <wp:docPr id="2" name="Imagem 2"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 Histograma&#10;&#10;Descrição gerada automa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7680" cy="2425277"/>
                    </a:xfrm>
                    <a:prstGeom prst="rect">
                      <a:avLst/>
                    </a:prstGeom>
                    <a:noFill/>
                    <a:ln>
                      <a:noFill/>
                    </a:ln>
                  </pic:spPr>
                </pic:pic>
              </a:graphicData>
            </a:graphic>
          </wp:inline>
        </w:drawing>
      </w:r>
    </w:p>
    <w:p w14:paraId="3C46A646" w14:textId="33D980BD" w:rsidR="00476184" w:rsidRPr="00B07396" w:rsidRDefault="00476184" w:rsidP="00476184">
      <w:pPr>
        <w:pStyle w:val="VAFigureCaption"/>
        <w:spacing w:before="0"/>
        <w:rPr>
          <w:rFonts w:ascii="Times New Roman" w:hAnsi="Times New Roman"/>
          <w:lang w:val="pt-BR"/>
        </w:rPr>
      </w:pPr>
      <w:r w:rsidRPr="00B07396">
        <w:rPr>
          <w:rFonts w:ascii="Times New Roman" w:hAnsi="Times New Roman"/>
          <w:b/>
          <w:lang w:val="pt-BR"/>
        </w:rPr>
        <w:t xml:space="preserve">Figura </w:t>
      </w:r>
      <w:r w:rsidR="00E71A98" w:rsidRPr="00B07396">
        <w:rPr>
          <w:rFonts w:ascii="Times New Roman" w:hAnsi="Times New Roman"/>
          <w:b/>
          <w:lang w:val="pt-BR"/>
        </w:rPr>
        <w:t>5</w:t>
      </w:r>
      <w:r w:rsidRPr="00B07396">
        <w:rPr>
          <w:rFonts w:ascii="Times New Roman" w:hAnsi="Times New Roman"/>
          <w:b/>
          <w:lang w:val="pt-BR"/>
        </w:rPr>
        <w:t>.</w:t>
      </w:r>
      <w:r w:rsidRPr="00B07396">
        <w:rPr>
          <w:rFonts w:ascii="Times New Roman" w:hAnsi="Times New Roman"/>
          <w:lang w:val="pt-BR"/>
        </w:rPr>
        <w:t xml:space="preserve"> </w:t>
      </w:r>
      <w:r w:rsidR="00E71A98" w:rsidRPr="00B07396">
        <w:rPr>
          <w:rFonts w:ascii="Times New Roman" w:hAnsi="Times New Roman"/>
          <w:lang w:val="pt-BR"/>
        </w:rPr>
        <w:t xml:space="preserve">Isotermas obtidos para as amostras de óxidos mistos provenientes dos </w:t>
      </w:r>
      <w:proofErr w:type="spellStart"/>
      <w:r w:rsidR="00E71A98" w:rsidRPr="00B07396">
        <w:rPr>
          <w:rFonts w:ascii="Times New Roman" w:hAnsi="Times New Roman"/>
          <w:lang w:val="pt-BR"/>
        </w:rPr>
        <w:t>HDLs</w:t>
      </w:r>
      <w:proofErr w:type="spellEnd"/>
      <w:r w:rsidR="00E71A98" w:rsidRPr="00B07396">
        <w:rPr>
          <w:rFonts w:ascii="Times New Roman" w:hAnsi="Times New Roman"/>
          <w:lang w:val="pt-BR"/>
        </w:rPr>
        <w:t xml:space="preserve"> de </w:t>
      </w:r>
      <w:proofErr w:type="spellStart"/>
      <w:r w:rsidR="00E71A98" w:rsidRPr="00B07396">
        <w:rPr>
          <w:rFonts w:ascii="Times New Roman" w:hAnsi="Times New Roman"/>
          <w:lang w:val="pt-BR"/>
        </w:rPr>
        <w:t>succi</w:t>
      </w:r>
      <w:r w:rsidR="004916A1" w:rsidRPr="00B07396">
        <w:rPr>
          <w:rFonts w:ascii="Times New Roman" w:hAnsi="Times New Roman"/>
          <w:lang w:val="pt-BR"/>
        </w:rPr>
        <w:t>n</w:t>
      </w:r>
      <w:r w:rsidR="00E71A98" w:rsidRPr="00B07396">
        <w:rPr>
          <w:rFonts w:ascii="Times New Roman" w:hAnsi="Times New Roman"/>
          <w:lang w:val="pt-BR"/>
        </w:rPr>
        <w:t>ato</w:t>
      </w:r>
      <w:proofErr w:type="spellEnd"/>
      <w:r w:rsidRPr="00B07396">
        <w:rPr>
          <w:rFonts w:ascii="Times New Roman" w:hAnsi="Times New Roman"/>
          <w:lang w:val="pt-BR"/>
        </w:rPr>
        <w:t>.</w:t>
      </w:r>
    </w:p>
    <w:p w14:paraId="068330A4" w14:textId="77777777" w:rsidR="00476184" w:rsidRPr="00B07396" w:rsidRDefault="00476184" w:rsidP="006A07D5">
      <w:pPr>
        <w:pStyle w:val="TAMainText"/>
        <w:ind w:firstLine="187"/>
        <w:rPr>
          <w:rFonts w:ascii="Times New Roman" w:hAnsi="Times New Roman"/>
          <w:lang w:val="pt-BR"/>
        </w:rPr>
      </w:pPr>
    </w:p>
    <w:p w14:paraId="1B2668FB" w14:textId="3A1C9471" w:rsidR="00DF33C2" w:rsidRPr="00B07396" w:rsidRDefault="00DF33C2" w:rsidP="006A07D5">
      <w:pPr>
        <w:pStyle w:val="TAMainText"/>
        <w:ind w:firstLine="187"/>
        <w:rPr>
          <w:rFonts w:ascii="Times New Roman" w:hAnsi="Times New Roman"/>
          <w:lang w:val="pt-BR"/>
        </w:rPr>
      </w:pPr>
      <w:r w:rsidRPr="00B07396">
        <w:rPr>
          <w:rFonts w:ascii="Times New Roman" w:hAnsi="Times New Roman"/>
          <w:lang w:val="pt-BR"/>
        </w:rPr>
        <w:t xml:space="preserve">Os óxidos mistos gerados pelos precursores com </w:t>
      </w:r>
      <w:proofErr w:type="spellStart"/>
      <w:r w:rsidRPr="00B07396">
        <w:rPr>
          <w:rFonts w:ascii="Times New Roman" w:hAnsi="Times New Roman"/>
          <w:lang w:val="pt-BR"/>
        </w:rPr>
        <w:t>succinato</w:t>
      </w:r>
      <w:proofErr w:type="spellEnd"/>
      <w:r w:rsidRPr="00B07396">
        <w:rPr>
          <w:rFonts w:ascii="Times New Roman" w:hAnsi="Times New Roman"/>
          <w:lang w:val="pt-BR"/>
        </w:rPr>
        <w:t xml:space="preserve"> </w:t>
      </w:r>
      <w:r w:rsidR="00DB117C" w:rsidRPr="00B07396">
        <w:rPr>
          <w:rFonts w:ascii="Times New Roman" w:hAnsi="Times New Roman"/>
          <w:lang w:val="pt-BR"/>
        </w:rPr>
        <w:t>apresentaram</w:t>
      </w:r>
      <w:r w:rsidRPr="00B07396">
        <w:rPr>
          <w:rFonts w:ascii="Times New Roman" w:hAnsi="Times New Roman"/>
          <w:lang w:val="pt-BR"/>
        </w:rPr>
        <w:t xml:space="preserve"> uma área superficial média de 1</w:t>
      </w:r>
      <w:r w:rsidR="00976017" w:rsidRPr="00B07396">
        <w:rPr>
          <w:rFonts w:ascii="Times New Roman" w:hAnsi="Times New Roman"/>
          <w:lang w:val="pt-BR"/>
        </w:rPr>
        <w:t>87</w:t>
      </w:r>
      <w:r w:rsidRPr="00B07396">
        <w:rPr>
          <w:rFonts w:ascii="Times New Roman" w:hAnsi="Times New Roman"/>
          <w:lang w:val="pt-BR"/>
        </w:rPr>
        <w:t>±</w:t>
      </w:r>
      <w:r w:rsidR="00976017" w:rsidRPr="00B07396">
        <w:rPr>
          <w:rFonts w:ascii="Times New Roman" w:hAnsi="Times New Roman"/>
          <w:lang w:val="pt-BR"/>
        </w:rPr>
        <w:t>10</w:t>
      </w:r>
      <w:r w:rsidR="00D23A4C" w:rsidRPr="00B07396">
        <w:rPr>
          <w:rFonts w:ascii="Times New Roman" w:hAnsi="Times New Roman"/>
          <w:lang w:val="pt-BR"/>
        </w:rPr>
        <w:t xml:space="preserve"> </w:t>
      </w:r>
      <w:r w:rsidR="00B92D09" w:rsidRPr="00B07396">
        <w:rPr>
          <w:lang w:val="pt-BR"/>
        </w:rPr>
        <w:t>m</w:t>
      </w:r>
      <w:r w:rsidR="00B92D09" w:rsidRPr="00B07396">
        <w:rPr>
          <w:vertAlign w:val="superscript"/>
          <w:lang w:val="pt-BR"/>
        </w:rPr>
        <w:t>2</w:t>
      </w:r>
      <w:r w:rsidR="00B92D09" w:rsidRPr="00B07396">
        <w:rPr>
          <w:lang w:val="pt-BR"/>
        </w:rPr>
        <w:t>g</w:t>
      </w:r>
      <w:r w:rsidR="00B92D09" w:rsidRPr="00B07396">
        <w:rPr>
          <w:vertAlign w:val="superscript"/>
          <w:lang w:val="pt-BR"/>
        </w:rPr>
        <w:t>-1</w:t>
      </w:r>
      <w:r w:rsidRPr="00B07396">
        <w:rPr>
          <w:rFonts w:ascii="Times New Roman" w:hAnsi="Times New Roman"/>
          <w:lang w:val="pt-BR"/>
        </w:rPr>
        <w:t xml:space="preserve"> e volume médio de poros de 0,2</w:t>
      </w:r>
      <w:r w:rsidR="00CC0102" w:rsidRPr="00B07396">
        <w:rPr>
          <w:rFonts w:ascii="Times New Roman" w:hAnsi="Times New Roman"/>
          <w:lang w:val="pt-BR"/>
        </w:rPr>
        <w:t>5</w:t>
      </w:r>
      <w:r w:rsidRPr="00B07396">
        <w:rPr>
          <w:rFonts w:ascii="Times New Roman" w:hAnsi="Times New Roman"/>
          <w:lang w:val="pt-BR"/>
        </w:rPr>
        <w:t>±0,</w:t>
      </w:r>
      <w:r w:rsidR="00CC0102" w:rsidRPr="00B07396">
        <w:rPr>
          <w:rFonts w:ascii="Times New Roman" w:hAnsi="Times New Roman"/>
          <w:lang w:val="pt-BR"/>
        </w:rPr>
        <w:t>01</w:t>
      </w:r>
      <w:r w:rsidR="00013818" w:rsidRPr="00B07396">
        <w:rPr>
          <w:rFonts w:ascii="Times New Roman" w:hAnsi="Times New Roman"/>
          <w:lang w:val="pt-BR"/>
        </w:rPr>
        <w:t xml:space="preserve"> </w:t>
      </w:r>
      <w:r w:rsidR="00B92D09" w:rsidRPr="00B07396">
        <w:rPr>
          <w:lang w:val="pt-BR"/>
        </w:rPr>
        <w:t>cm</w:t>
      </w:r>
      <w:r w:rsidR="00B92D09" w:rsidRPr="00B07396">
        <w:rPr>
          <w:vertAlign w:val="superscript"/>
          <w:lang w:val="pt-BR"/>
        </w:rPr>
        <w:t>3</w:t>
      </w:r>
      <w:r w:rsidR="00B92D09" w:rsidRPr="00B07396">
        <w:rPr>
          <w:lang w:val="pt-BR"/>
        </w:rPr>
        <w:t>g</w:t>
      </w:r>
      <w:r w:rsidR="00B92D09" w:rsidRPr="00B07396">
        <w:rPr>
          <w:vertAlign w:val="superscript"/>
          <w:lang w:val="pt-BR"/>
        </w:rPr>
        <w:t>-1</w:t>
      </w:r>
      <w:r w:rsidRPr="00B07396">
        <w:rPr>
          <w:rFonts w:ascii="Times New Roman" w:hAnsi="Times New Roman"/>
          <w:lang w:val="pt-BR"/>
        </w:rPr>
        <w:t xml:space="preserve"> </w:t>
      </w:r>
      <w:r w:rsidR="004B1290" w:rsidRPr="00B07396">
        <w:rPr>
          <w:rFonts w:ascii="Times New Roman" w:hAnsi="Times New Roman"/>
          <w:lang w:val="pt-BR"/>
        </w:rPr>
        <w:t>enquanto</w:t>
      </w:r>
      <w:r w:rsidRPr="00B07396">
        <w:rPr>
          <w:rFonts w:ascii="Times New Roman" w:hAnsi="Times New Roman"/>
          <w:lang w:val="pt-BR"/>
        </w:rPr>
        <w:t xml:space="preserve"> </w:t>
      </w:r>
      <w:r w:rsidR="00D23A4C" w:rsidRPr="00B07396">
        <w:rPr>
          <w:rFonts w:ascii="Times New Roman" w:hAnsi="Times New Roman"/>
          <w:lang w:val="pt-BR"/>
        </w:rPr>
        <w:t>os gerados</w:t>
      </w:r>
      <w:r w:rsidRPr="00B07396">
        <w:rPr>
          <w:rFonts w:ascii="Times New Roman" w:hAnsi="Times New Roman"/>
          <w:lang w:val="pt-BR"/>
        </w:rPr>
        <w:t xml:space="preserve"> pelas amostras inicialmente com </w:t>
      </w:r>
      <w:proofErr w:type="spellStart"/>
      <w:r w:rsidRPr="00B07396">
        <w:rPr>
          <w:rFonts w:ascii="Times New Roman" w:hAnsi="Times New Roman"/>
          <w:lang w:val="pt-BR"/>
        </w:rPr>
        <w:t>sebacato</w:t>
      </w:r>
      <w:proofErr w:type="spellEnd"/>
      <w:r w:rsidRPr="00B07396">
        <w:rPr>
          <w:rFonts w:ascii="Times New Roman" w:hAnsi="Times New Roman"/>
          <w:lang w:val="pt-BR"/>
        </w:rPr>
        <w:t xml:space="preserve"> apresentam uma área superficial média de 2</w:t>
      </w:r>
      <w:r w:rsidR="00A74A87" w:rsidRPr="00B07396">
        <w:rPr>
          <w:rFonts w:ascii="Times New Roman" w:hAnsi="Times New Roman"/>
          <w:lang w:val="pt-BR"/>
        </w:rPr>
        <w:t>46</w:t>
      </w:r>
      <w:r w:rsidRPr="00B07396">
        <w:rPr>
          <w:rFonts w:ascii="Times New Roman" w:hAnsi="Times New Roman"/>
          <w:lang w:val="pt-BR"/>
        </w:rPr>
        <w:t>±</w:t>
      </w:r>
      <w:r w:rsidR="00A74A87" w:rsidRPr="00B07396">
        <w:rPr>
          <w:rFonts w:ascii="Times New Roman" w:hAnsi="Times New Roman"/>
          <w:lang w:val="pt-BR"/>
        </w:rPr>
        <w:t>20</w:t>
      </w:r>
      <w:r w:rsidR="009375CD" w:rsidRPr="00B07396">
        <w:rPr>
          <w:rFonts w:ascii="Times New Roman" w:hAnsi="Times New Roman"/>
          <w:lang w:val="pt-BR"/>
        </w:rPr>
        <w:t xml:space="preserve"> </w:t>
      </w:r>
      <w:r w:rsidR="00B92D09" w:rsidRPr="00B07396">
        <w:rPr>
          <w:lang w:val="pt-BR"/>
        </w:rPr>
        <w:t>m</w:t>
      </w:r>
      <w:r w:rsidR="00B92D09" w:rsidRPr="00B07396">
        <w:rPr>
          <w:vertAlign w:val="superscript"/>
          <w:lang w:val="pt-BR"/>
        </w:rPr>
        <w:t>2</w:t>
      </w:r>
      <w:r w:rsidR="00B92D09" w:rsidRPr="00B07396">
        <w:rPr>
          <w:lang w:val="pt-BR"/>
        </w:rPr>
        <w:t>g-</w:t>
      </w:r>
      <w:r w:rsidR="00B92D09" w:rsidRPr="00B07396">
        <w:rPr>
          <w:vertAlign w:val="superscript"/>
          <w:lang w:val="pt-BR"/>
        </w:rPr>
        <w:t>1</w:t>
      </w:r>
      <w:r w:rsidRPr="00B07396">
        <w:rPr>
          <w:rFonts w:ascii="Times New Roman" w:hAnsi="Times New Roman"/>
          <w:lang w:val="pt-BR"/>
        </w:rPr>
        <w:t xml:space="preserve"> e volume médio de poros de (0,41±0,08) </w:t>
      </w:r>
      <w:r w:rsidR="00B92D09" w:rsidRPr="00B07396">
        <w:rPr>
          <w:lang w:val="pt-BR"/>
        </w:rPr>
        <w:t>cm</w:t>
      </w:r>
      <w:r w:rsidR="00B92D09" w:rsidRPr="00B07396">
        <w:rPr>
          <w:vertAlign w:val="superscript"/>
          <w:lang w:val="pt-BR"/>
        </w:rPr>
        <w:t>3</w:t>
      </w:r>
      <w:r w:rsidR="00B92D09" w:rsidRPr="00B07396">
        <w:rPr>
          <w:lang w:val="pt-BR"/>
        </w:rPr>
        <w:t>g</w:t>
      </w:r>
      <w:r w:rsidR="00B92D09" w:rsidRPr="00B07396">
        <w:rPr>
          <w:vertAlign w:val="superscript"/>
          <w:lang w:val="pt-BR"/>
        </w:rPr>
        <w:t>-1</w:t>
      </w:r>
      <w:r w:rsidRPr="00B07396">
        <w:rPr>
          <w:rFonts w:ascii="Times New Roman" w:hAnsi="Times New Roman"/>
          <w:lang w:val="pt-BR"/>
        </w:rPr>
        <w:t xml:space="preserve">, indicando que o tamanho do ânion influi fortemente na área </w:t>
      </w:r>
      <w:r w:rsidRPr="00B07396">
        <w:rPr>
          <w:rFonts w:ascii="Times New Roman" w:hAnsi="Times New Roman"/>
          <w:lang w:val="pt-BR"/>
        </w:rPr>
        <w:lastRenderedPageBreak/>
        <w:t>superficial e volume de poros do óxido misto após a calcinação e degradação do ânion</w:t>
      </w:r>
      <w:r w:rsidR="00086C63" w:rsidRPr="00B07396">
        <w:rPr>
          <w:rFonts w:ascii="Times New Roman" w:hAnsi="Times New Roman"/>
          <w:lang w:val="pt-BR"/>
        </w:rPr>
        <w:t>.</w:t>
      </w:r>
      <w:r w:rsidR="000F7432" w:rsidRPr="00B07396">
        <w:rPr>
          <w:rFonts w:ascii="Times New Roman" w:hAnsi="Times New Roman"/>
          <w:lang w:val="pt-BR"/>
        </w:rPr>
        <w:t xml:space="preserve"> </w:t>
      </w:r>
      <w:r w:rsidR="001D6ADA" w:rsidRPr="00B07396">
        <w:rPr>
          <w:rFonts w:ascii="Times New Roman" w:hAnsi="Times New Roman"/>
          <w:lang w:val="pt-BR"/>
        </w:rPr>
        <w:t xml:space="preserve">Uma melhor avaliação dos fatores e suas combinações sobre essas propriedades </w:t>
      </w:r>
      <w:r w:rsidR="0025721F" w:rsidRPr="00B07396">
        <w:rPr>
          <w:rFonts w:ascii="Times New Roman" w:hAnsi="Times New Roman"/>
          <w:lang w:val="pt-BR"/>
        </w:rPr>
        <w:t>foi obtido pelo fatorial.</w:t>
      </w:r>
    </w:p>
    <w:p w14:paraId="58E46F38" w14:textId="77777777" w:rsidR="00E30FC5" w:rsidRPr="00B07396" w:rsidRDefault="00E30FC5" w:rsidP="006A07D5">
      <w:pPr>
        <w:pStyle w:val="TAMainText"/>
        <w:ind w:firstLine="187"/>
        <w:rPr>
          <w:rFonts w:ascii="Times New Roman" w:hAnsi="Times New Roman"/>
          <w:lang w:val="pt-BR"/>
        </w:rPr>
      </w:pPr>
    </w:p>
    <w:p w14:paraId="1B24108D" w14:textId="60E4022E" w:rsidR="00476184" w:rsidRPr="00B07396" w:rsidRDefault="004F58B2" w:rsidP="00981461">
      <w:pPr>
        <w:jc w:val="center"/>
        <w:rPr>
          <w:rFonts w:ascii="Times New Roman" w:hAnsi="Times New Roman" w:cs="Times New Roman"/>
        </w:rPr>
      </w:pPr>
      <w:r w:rsidRPr="00B07396">
        <w:rPr>
          <w:noProof/>
          <w:lang w:eastAsia="pt-BR"/>
        </w:rPr>
        <w:drawing>
          <wp:inline distT="0" distB="0" distL="0" distR="0" wp14:anchorId="480ACFEF" wp14:editId="42E5BBBB">
            <wp:extent cx="3027680" cy="2536358"/>
            <wp:effectExtent l="0" t="0" r="1270" b="0"/>
            <wp:docPr id="7" name="Imagem 7"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Gráfico, Histograma&#10;&#10;Descrição gerada automa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7680" cy="2536358"/>
                    </a:xfrm>
                    <a:prstGeom prst="rect">
                      <a:avLst/>
                    </a:prstGeom>
                    <a:noFill/>
                    <a:ln>
                      <a:noFill/>
                    </a:ln>
                  </pic:spPr>
                </pic:pic>
              </a:graphicData>
            </a:graphic>
          </wp:inline>
        </w:drawing>
      </w:r>
    </w:p>
    <w:p w14:paraId="519BA2F9" w14:textId="0677B673" w:rsidR="00476184" w:rsidRPr="00B07396" w:rsidRDefault="00476184" w:rsidP="00476184">
      <w:pPr>
        <w:pStyle w:val="VAFigureCaption"/>
        <w:spacing w:before="0"/>
        <w:rPr>
          <w:rFonts w:ascii="Times New Roman" w:hAnsi="Times New Roman"/>
          <w:lang w:val="pt-BR"/>
        </w:rPr>
      </w:pPr>
      <w:r w:rsidRPr="00B07396">
        <w:rPr>
          <w:rFonts w:ascii="Times New Roman" w:hAnsi="Times New Roman"/>
          <w:b/>
          <w:lang w:val="pt-BR"/>
        </w:rPr>
        <w:t xml:space="preserve">Figura </w:t>
      </w:r>
      <w:r w:rsidR="00E71A98" w:rsidRPr="00B07396">
        <w:rPr>
          <w:rFonts w:ascii="Times New Roman" w:hAnsi="Times New Roman"/>
          <w:b/>
          <w:lang w:val="pt-BR"/>
        </w:rPr>
        <w:t>6</w:t>
      </w:r>
      <w:r w:rsidRPr="00B07396">
        <w:rPr>
          <w:rFonts w:ascii="Times New Roman" w:hAnsi="Times New Roman"/>
          <w:b/>
          <w:lang w:val="pt-BR"/>
        </w:rPr>
        <w:t>.</w:t>
      </w:r>
      <w:r w:rsidRPr="00B07396">
        <w:rPr>
          <w:rFonts w:ascii="Times New Roman" w:hAnsi="Times New Roman"/>
          <w:lang w:val="pt-BR"/>
        </w:rPr>
        <w:t xml:space="preserve"> </w:t>
      </w:r>
      <w:r w:rsidR="00E71A98" w:rsidRPr="00B07396">
        <w:rPr>
          <w:rFonts w:ascii="Times New Roman" w:hAnsi="Times New Roman"/>
          <w:lang w:val="pt-BR"/>
        </w:rPr>
        <w:t xml:space="preserve">Isotermas obtidos para as amostras de óxidos mistos provenientes dos </w:t>
      </w:r>
      <w:proofErr w:type="spellStart"/>
      <w:r w:rsidR="00E71A98" w:rsidRPr="00B07396">
        <w:rPr>
          <w:rFonts w:ascii="Times New Roman" w:hAnsi="Times New Roman"/>
          <w:lang w:val="pt-BR"/>
        </w:rPr>
        <w:t>HDLs</w:t>
      </w:r>
      <w:proofErr w:type="spellEnd"/>
      <w:r w:rsidR="00E71A98" w:rsidRPr="00B07396">
        <w:rPr>
          <w:rFonts w:ascii="Times New Roman" w:hAnsi="Times New Roman"/>
          <w:lang w:val="pt-BR"/>
        </w:rPr>
        <w:t xml:space="preserve"> de </w:t>
      </w:r>
      <w:proofErr w:type="spellStart"/>
      <w:r w:rsidR="00E71A98" w:rsidRPr="00B07396">
        <w:rPr>
          <w:rFonts w:ascii="Times New Roman" w:hAnsi="Times New Roman"/>
          <w:lang w:val="pt-BR"/>
        </w:rPr>
        <w:t>sebacato</w:t>
      </w:r>
      <w:proofErr w:type="spellEnd"/>
      <w:r w:rsidRPr="00B07396">
        <w:rPr>
          <w:rFonts w:ascii="Times New Roman" w:hAnsi="Times New Roman"/>
          <w:lang w:val="pt-BR"/>
        </w:rPr>
        <w:t>.</w:t>
      </w:r>
    </w:p>
    <w:p w14:paraId="36C4BD43" w14:textId="77777777" w:rsidR="00476184" w:rsidRPr="00B07396" w:rsidRDefault="00476184" w:rsidP="006A07D5">
      <w:pPr>
        <w:pStyle w:val="TAMainText"/>
        <w:ind w:firstLine="187"/>
        <w:rPr>
          <w:rFonts w:ascii="Times New Roman" w:hAnsi="Times New Roman"/>
          <w:lang w:val="pt-BR"/>
        </w:rPr>
      </w:pPr>
    </w:p>
    <w:p w14:paraId="48C109C5" w14:textId="3CAB4F05" w:rsidR="00937B57" w:rsidRPr="00B07396" w:rsidRDefault="00937B57" w:rsidP="00937B57">
      <w:pPr>
        <w:pStyle w:val="TAMainText"/>
        <w:ind w:firstLine="0"/>
        <w:rPr>
          <w:rFonts w:ascii="Times New Roman" w:hAnsi="Times New Roman"/>
          <w:i/>
          <w:lang w:val="pt-BR"/>
        </w:rPr>
      </w:pPr>
      <w:r w:rsidRPr="00B07396">
        <w:rPr>
          <w:rFonts w:ascii="Times New Roman" w:hAnsi="Times New Roman"/>
          <w:i/>
          <w:lang w:val="pt-BR"/>
        </w:rPr>
        <w:t>Avaliação do Fatorial</w:t>
      </w:r>
    </w:p>
    <w:p w14:paraId="714056F9" w14:textId="0F2165CD" w:rsidR="00F36343" w:rsidRPr="00B07396" w:rsidRDefault="00F36343" w:rsidP="006A07D5">
      <w:pPr>
        <w:pStyle w:val="TAMainText"/>
        <w:ind w:firstLine="187"/>
        <w:rPr>
          <w:rFonts w:ascii="Times New Roman" w:hAnsi="Times New Roman"/>
          <w:lang w:val="pt-BR"/>
        </w:rPr>
      </w:pPr>
      <w:bookmarkStart w:id="3" w:name="_Hlk130476892"/>
      <w:r w:rsidRPr="00B07396">
        <w:rPr>
          <w:rFonts w:ascii="Times New Roman" w:hAnsi="Times New Roman"/>
          <w:lang w:val="pt-BR"/>
        </w:rPr>
        <w:t xml:space="preserve">Os </w:t>
      </w:r>
      <w:r w:rsidR="00241583" w:rsidRPr="00B07396">
        <w:rPr>
          <w:rFonts w:ascii="Times New Roman" w:hAnsi="Times New Roman"/>
          <w:lang w:val="pt-BR"/>
        </w:rPr>
        <w:t>result</w:t>
      </w:r>
      <w:r w:rsidR="006F5C54" w:rsidRPr="00B07396">
        <w:rPr>
          <w:rFonts w:ascii="Times New Roman" w:hAnsi="Times New Roman"/>
          <w:lang w:val="pt-BR"/>
        </w:rPr>
        <w:t xml:space="preserve">ados das análises realizadas se encontram na tabela </w:t>
      </w:r>
      <w:r w:rsidR="008E0A3D" w:rsidRPr="00B07396">
        <w:rPr>
          <w:rFonts w:ascii="Times New Roman" w:hAnsi="Times New Roman"/>
          <w:lang w:val="pt-BR"/>
        </w:rPr>
        <w:t xml:space="preserve">3 </w:t>
      </w:r>
      <w:r w:rsidR="006F5C54" w:rsidRPr="00B07396">
        <w:rPr>
          <w:rFonts w:ascii="Times New Roman" w:hAnsi="Times New Roman"/>
          <w:lang w:val="pt-BR"/>
        </w:rPr>
        <w:t xml:space="preserve">e os </w:t>
      </w:r>
      <w:r w:rsidRPr="00B07396">
        <w:rPr>
          <w:rFonts w:ascii="Times New Roman" w:hAnsi="Times New Roman"/>
          <w:lang w:val="pt-BR"/>
        </w:rPr>
        <w:t xml:space="preserve">gráficos de Pareto são apresentados </w:t>
      </w:r>
      <w:r w:rsidR="007A6BF5" w:rsidRPr="00B07396">
        <w:rPr>
          <w:rFonts w:ascii="Times New Roman" w:hAnsi="Times New Roman"/>
          <w:lang w:val="pt-BR"/>
        </w:rPr>
        <w:t>nas figuras 7</w:t>
      </w:r>
      <w:r w:rsidR="00515439" w:rsidRPr="00B07396">
        <w:rPr>
          <w:rFonts w:ascii="Times New Roman" w:hAnsi="Times New Roman"/>
          <w:lang w:val="pt-BR"/>
        </w:rPr>
        <w:t xml:space="preserve"> e </w:t>
      </w:r>
      <w:r w:rsidR="007A6BF5" w:rsidRPr="00B07396">
        <w:rPr>
          <w:rFonts w:ascii="Times New Roman" w:hAnsi="Times New Roman"/>
          <w:lang w:val="pt-BR"/>
        </w:rPr>
        <w:t xml:space="preserve">8 </w:t>
      </w:r>
      <w:r w:rsidRPr="00B07396">
        <w:rPr>
          <w:rFonts w:ascii="Times New Roman" w:hAnsi="Times New Roman"/>
          <w:lang w:val="pt-BR"/>
        </w:rPr>
        <w:t>conforme a discussão de cada resposta.</w:t>
      </w:r>
    </w:p>
    <w:bookmarkEnd w:id="3"/>
    <w:p w14:paraId="5FFAB0E1" w14:textId="77777777" w:rsidR="00966316" w:rsidRPr="00B07396" w:rsidRDefault="00966316" w:rsidP="006A07D5">
      <w:pPr>
        <w:pStyle w:val="TAMainText"/>
        <w:ind w:firstLine="187"/>
        <w:rPr>
          <w:rFonts w:ascii="Times New Roman" w:hAnsi="Times New Roman"/>
          <w:lang w:val="pt-BR"/>
        </w:rPr>
      </w:pPr>
    </w:p>
    <w:p w14:paraId="116C2917" w14:textId="3F982B82" w:rsidR="00966316" w:rsidRPr="00B07396" w:rsidRDefault="00966316" w:rsidP="00966316">
      <w:pPr>
        <w:pStyle w:val="VDTableTitle"/>
        <w:spacing w:after="120"/>
        <w:jc w:val="both"/>
        <w:rPr>
          <w:rFonts w:ascii="Times New Roman" w:hAnsi="Times New Roman"/>
          <w:lang w:val="pt-BR"/>
        </w:rPr>
      </w:pPr>
      <w:r w:rsidRPr="00B07396">
        <w:rPr>
          <w:rFonts w:ascii="Times New Roman" w:hAnsi="Times New Roman"/>
          <w:b/>
          <w:lang w:val="pt-BR"/>
        </w:rPr>
        <w:t xml:space="preserve">Tabela </w:t>
      </w:r>
      <w:r w:rsidR="008E0A3D" w:rsidRPr="00B07396">
        <w:rPr>
          <w:rFonts w:ascii="Times New Roman" w:hAnsi="Times New Roman"/>
          <w:b/>
          <w:lang w:val="pt-BR"/>
        </w:rPr>
        <w:t>3</w:t>
      </w:r>
      <w:r w:rsidRPr="00B07396">
        <w:rPr>
          <w:rFonts w:ascii="Times New Roman" w:hAnsi="Times New Roman"/>
          <w:b/>
          <w:lang w:val="pt-BR"/>
        </w:rPr>
        <w:t>.</w:t>
      </w:r>
      <w:r w:rsidRPr="00B07396">
        <w:rPr>
          <w:rFonts w:ascii="Times New Roman" w:hAnsi="Times New Roman"/>
          <w:lang w:val="pt-BR"/>
        </w:rPr>
        <w:t xml:space="preserve"> Resultados das análises realizadas, onde S é a área superficial</w:t>
      </w:r>
      <w:r w:rsidR="00C30FAB" w:rsidRPr="00B07396">
        <w:rPr>
          <w:rFonts w:ascii="Times New Roman" w:hAnsi="Times New Roman"/>
          <w:lang w:val="pt-BR"/>
        </w:rPr>
        <w:t xml:space="preserve"> e </w:t>
      </w:r>
      <w:r w:rsidRPr="00B07396">
        <w:rPr>
          <w:rFonts w:ascii="Times New Roman" w:hAnsi="Times New Roman"/>
          <w:lang w:val="pt-BR"/>
        </w:rPr>
        <w:t xml:space="preserve">V o volume de poros </w:t>
      </w:r>
      <w:r w:rsidR="00670262" w:rsidRPr="00B07396">
        <w:rPr>
          <w:rFonts w:ascii="Times New Roman" w:hAnsi="Times New Roman"/>
          <w:lang w:val="pt-BR"/>
        </w:rPr>
        <w:t>dos óxidos.</w:t>
      </w:r>
    </w:p>
    <w:tbl>
      <w:tblPr>
        <w:tblW w:w="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1201"/>
        <w:gridCol w:w="1201"/>
      </w:tblGrid>
      <w:tr w:rsidR="0096003B" w:rsidRPr="00B07396" w14:paraId="18D160AC" w14:textId="77777777" w:rsidTr="00FE52E4">
        <w:trPr>
          <w:jc w:val="center"/>
        </w:trPr>
        <w:tc>
          <w:tcPr>
            <w:tcW w:w="1201" w:type="dxa"/>
          </w:tcPr>
          <w:p w14:paraId="7D7111CC" w14:textId="77777777" w:rsidR="0096003B" w:rsidRPr="00B07396" w:rsidRDefault="0096003B" w:rsidP="00FE52E4">
            <w:pPr>
              <w:pStyle w:val="TCTableBody"/>
              <w:jc w:val="center"/>
              <w:rPr>
                <w:lang w:val="pt-BR"/>
              </w:rPr>
            </w:pPr>
            <w:proofErr w:type="spellStart"/>
            <w:r w:rsidRPr="00B07396">
              <w:t>Amostra</w:t>
            </w:r>
            <w:proofErr w:type="spellEnd"/>
          </w:p>
        </w:tc>
        <w:tc>
          <w:tcPr>
            <w:tcW w:w="1201" w:type="dxa"/>
          </w:tcPr>
          <w:p w14:paraId="75C4B305" w14:textId="4BC9E8FA" w:rsidR="0096003B" w:rsidRPr="00B07396" w:rsidRDefault="0096003B" w:rsidP="00FE52E4">
            <w:pPr>
              <w:pStyle w:val="TCTableBody"/>
              <w:jc w:val="center"/>
              <w:rPr>
                <w:lang w:val="pt-BR"/>
              </w:rPr>
            </w:pPr>
            <w:r w:rsidRPr="00B07396">
              <w:t>S (m</w:t>
            </w:r>
            <w:r w:rsidRPr="00B07396">
              <w:rPr>
                <w:vertAlign w:val="superscript"/>
              </w:rPr>
              <w:t>2</w:t>
            </w:r>
            <w:r w:rsidRPr="00B07396">
              <w:t>g-</w:t>
            </w:r>
            <w:r w:rsidRPr="00B07396">
              <w:rPr>
                <w:vertAlign w:val="superscript"/>
              </w:rPr>
              <w:t>1</w:t>
            </w:r>
            <w:r w:rsidRPr="00B07396">
              <w:t>)</w:t>
            </w:r>
          </w:p>
        </w:tc>
        <w:tc>
          <w:tcPr>
            <w:tcW w:w="1201" w:type="dxa"/>
          </w:tcPr>
          <w:p w14:paraId="1614C706" w14:textId="77777777" w:rsidR="0096003B" w:rsidRPr="00B07396" w:rsidRDefault="0096003B" w:rsidP="00FE52E4">
            <w:pPr>
              <w:pStyle w:val="TCTableBody"/>
              <w:jc w:val="center"/>
              <w:rPr>
                <w:lang w:val="pt-BR"/>
              </w:rPr>
            </w:pPr>
            <w:r w:rsidRPr="00B07396">
              <w:t>V (cm</w:t>
            </w:r>
            <w:r w:rsidRPr="00B07396">
              <w:rPr>
                <w:vertAlign w:val="superscript"/>
              </w:rPr>
              <w:t>3</w:t>
            </w:r>
            <w:r w:rsidRPr="00B07396">
              <w:t>g</w:t>
            </w:r>
            <w:r w:rsidRPr="00B07396">
              <w:rPr>
                <w:vertAlign w:val="superscript"/>
              </w:rPr>
              <w:t>-1</w:t>
            </w:r>
            <w:r w:rsidRPr="00B07396">
              <w:t>)</w:t>
            </w:r>
          </w:p>
        </w:tc>
      </w:tr>
      <w:tr w:rsidR="0096003B" w:rsidRPr="00B07396" w14:paraId="5DA3CBF8" w14:textId="77777777" w:rsidTr="00FE52E4">
        <w:trPr>
          <w:trHeight w:val="454"/>
          <w:jc w:val="center"/>
        </w:trPr>
        <w:tc>
          <w:tcPr>
            <w:tcW w:w="1201" w:type="dxa"/>
          </w:tcPr>
          <w:p w14:paraId="33767097" w14:textId="17C47E51" w:rsidR="0096003B" w:rsidRPr="00B07396" w:rsidRDefault="0096003B" w:rsidP="00FE52E4">
            <w:pPr>
              <w:pStyle w:val="TCTableBody"/>
              <w:jc w:val="center"/>
              <w:rPr>
                <w:lang w:val="pt-BR"/>
              </w:rPr>
            </w:pPr>
            <w:r w:rsidRPr="00B07396">
              <w:t>50.65.C4-O</w:t>
            </w:r>
          </w:p>
        </w:tc>
        <w:tc>
          <w:tcPr>
            <w:tcW w:w="1201" w:type="dxa"/>
            <w:shd w:val="clear" w:color="auto" w:fill="auto"/>
            <w:vAlign w:val="bottom"/>
          </w:tcPr>
          <w:p w14:paraId="61CA1CFB" w14:textId="1BFB94FE" w:rsidR="0096003B" w:rsidRPr="00B07396" w:rsidRDefault="0096003B" w:rsidP="00FE52E4">
            <w:pPr>
              <w:pStyle w:val="TCTableBody"/>
              <w:jc w:val="center"/>
              <w:rPr>
                <w:lang w:val="pt-BR"/>
              </w:rPr>
            </w:pPr>
            <w:r w:rsidRPr="00B07396">
              <w:rPr>
                <w:rFonts w:ascii="Calibri" w:hAnsi="Calibri" w:cs="Calibri"/>
                <w:color w:val="000000"/>
                <w:sz w:val="22"/>
                <w:szCs w:val="22"/>
              </w:rPr>
              <w:t>181</w:t>
            </w:r>
          </w:p>
        </w:tc>
        <w:tc>
          <w:tcPr>
            <w:tcW w:w="1201" w:type="dxa"/>
            <w:shd w:val="clear" w:color="auto" w:fill="auto"/>
            <w:vAlign w:val="bottom"/>
          </w:tcPr>
          <w:p w14:paraId="21C6B801" w14:textId="1D8F8368" w:rsidR="0096003B" w:rsidRPr="00B07396" w:rsidRDefault="0096003B" w:rsidP="00FE52E4">
            <w:pPr>
              <w:pStyle w:val="TCTableBody"/>
              <w:jc w:val="center"/>
              <w:rPr>
                <w:lang w:val="pt-BR"/>
              </w:rPr>
            </w:pPr>
            <w:r w:rsidRPr="00B07396">
              <w:rPr>
                <w:rFonts w:ascii="Calibri" w:hAnsi="Calibri" w:cs="Calibri"/>
                <w:color w:val="000000"/>
                <w:sz w:val="22"/>
                <w:szCs w:val="22"/>
              </w:rPr>
              <w:t>0,25</w:t>
            </w:r>
          </w:p>
        </w:tc>
      </w:tr>
      <w:tr w:rsidR="0096003B" w:rsidRPr="00B07396" w14:paraId="6BF5F341" w14:textId="77777777" w:rsidTr="00FE52E4">
        <w:trPr>
          <w:trHeight w:val="454"/>
          <w:jc w:val="center"/>
        </w:trPr>
        <w:tc>
          <w:tcPr>
            <w:tcW w:w="1201" w:type="dxa"/>
          </w:tcPr>
          <w:p w14:paraId="6FD4D37D" w14:textId="0185DA13" w:rsidR="0096003B" w:rsidRPr="00B07396" w:rsidRDefault="0096003B" w:rsidP="00FE52E4">
            <w:pPr>
              <w:pStyle w:val="TCTableBody"/>
              <w:jc w:val="center"/>
              <w:rPr>
                <w:lang w:val="pt-BR"/>
              </w:rPr>
            </w:pPr>
            <w:r w:rsidRPr="00B07396">
              <w:t>70.65.C4-O</w:t>
            </w:r>
          </w:p>
        </w:tc>
        <w:tc>
          <w:tcPr>
            <w:tcW w:w="1201" w:type="dxa"/>
            <w:shd w:val="clear" w:color="auto" w:fill="auto"/>
            <w:vAlign w:val="bottom"/>
          </w:tcPr>
          <w:p w14:paraId="52C25FEA" w14:textId="25B0E9ED" w:rsidR="0096003B" w:rsidRPr="00B07396" w:rsidRDefault="0096003B" w:rsidP="00FE52E4">
            <w:pPr>
              <w:pStyle w:val="TCTableBody"/>
              <w:jc w:val="center"/>
              <w:rPr>
                <w:lang w:val="pt-BR"/>
              </w:rPr>
            </w:pPr>
            <w:r w:rsidRPr="00B07396">
              <w:rPr>
                <w:rFonts w:ascii="Calibri" w:hAnsi="Calibri" w:cs="Calibri"/>
                <w:color w:val="000000"/>
                <w:sz w:val="22"/>
                <w:szCs w:val="22"/>
              </w:rPr>
              <w:t>181</w:t>
            </w:r>
          </w:p>
        </w:tc>
        <w:tc>
          <w:tcPr>
            <w:tcW w:w="1201" w:type="dxa"/>
            <w:shd w:val="clear" w:color="auto" w:fill="auto"/>
            <w:vAlign w:val="bottom"/>
          </w:tcPr>
          <w:p w14:paraId="05E67771" w14:textId="0F0AE4F8" w:rsidR="0096003B" w:rsidRPr="00B07396" w:rsidRDefault="0096003B" w:rsidP="00FE52E4">
            <w:pPr>
              <w:pStyle w:val="TCTableBody"/>
              <w:jc w:val="center"/>
              <w:rPr>
                <w:lang w:val="pt-BR"/>
              </w:rPr>
            </w:pPr>
            <w:r w:rsidRPr="00B07396">
              <w:rPr>
                <w:rFonts w:ascii="Calibri" w:hAnsi="Calibri" w:cs="Calibri"/>
                <w:color w:val="000000"/>
                <w:sz w:val="22"/>
                <w:szCs w:val="22"/>
              </w:rPr>
              <w:t>0,24</w:t>
            </w:r>
          </w:p>
        </w:tc>
      </w:tr>
      <w:tr w:rsidR="0096003B" w:rsidRPr="00B07396" w14:paraId="3100C503" w14:textId="77777777" w:rsidTr="00FE52E4">
        <w:trPr>
          <w:trHeight w:val="454"/>
          <w:jc w:val="center"/>
        </w:trPr>
        <w:tc>
          <w:tcPr>
            <w:tcW w:w="1201" w:type="dxa"/>
          </w:tcPr>
          <w:p w14:paraId="558202DE" w14:textId="1A6A5AA1" w:rsidR="0096003B" w:rsidRPr="00B07396" w:rsidRDefault="0096003B" w:rsidP="00FE52E4">
            <w:pPr>
              <w:pStyle w:val="TCTableBody"/>
              <w:jc w:val="center"/>
              <w:rPr>
                <w:lang w:val="pt-BR"/>
              </w:rPr>
            </w:pPr>
            <w:r w:rsidRPr="00B07396">
              <w:t>50.85.C4-O</w:t>
            </w:r>
          </w:p>
        </w:tc>
        <w:tc>
          <w:tcPr>
            <w:tcW w:w="1201" w:type="dxa"/>
            <w:shd w:val="clear" w:color="auto" w:fill="auto"/>
            <w:vAlign w:val="bottom"/>
          </w:tcPr>
          <w:p w14:paraId="77B4DB08" w14:textId="2FFEB697" w:rsidR="0096003B" w:rsidRPr="00B07396" w:rsidRDefault="0096003B" w:rsidP="00FE52E4">
            <w:pPr>
              <w:pStyle w:val="TCTableBody"/>
              <w:jc w:val="center"/>
              <w:rPr>
                <w:lang w:val="pt-BR"/>
              </w:rPr>
            </w:pPr>
            <w:r w:rsidRPr="00B07396">
              <w:rPr>
                <w:rFonts w:ascii="Calibri" w:hAnsi="Calibri" w:cs="Calibri"/>
                <w:color w:val="000000"/>
                <w:sz w:val="22"/>
                <w:szCs w:val="22"/>
              </w:rPr>
              <w:t>206</w:t>
            </w:r>
          </w:p>
        </w:tc>
        <w:tc>
          <w:tcPr>
            <w:tcW w:w="1201" w:type="dxa"/>
            <w:shd w:val="clear" w:color="auto" w:fill="auto"/>
            <w:vAlign w:val="bottom"/>
          </w:tcPr>
          <w:p w14:paraId="7043C0AF" w14:textId="59AF970B" w:rsidR="0096003B" w:rsidRPr="00B07396" w:rsidRDefault="0096003B" w:rsidP="00FE52E4">
            <w:pPr>
              <w:pStyle w:val="TCTableBody"/>
              <w:jc w:val="center"/>
              <w:rPr>
                <w:lang w:val="pt-BR"/>
              </w:rPr>
            </w:pPr>
            <w:r w:rsidRPr="00B07396">
              <w:rPr>
                <w:rFonts w:ascii="Calibri" w:hAnsi="Calibri" w:cs="Calibri"/>
                <w:color w:val="000000"/>
                <w:sz w:val="22"/>
                <w:szCs w:val="22"/>
              </w:rPr>
              <w:t>0,24</w:t>
            </w:r>
          </w:p>
        </w:tc>
      </w:tr>
      <w:tr w:rsidR="0096003B" w:rsidRPr="00B07396" w14:paraId="3F45E24F" w14:textId="77777777" w:rsidTr="00FE52E4">
        <w:trPr>
          <w:trHeight w:val="454"/>
          <w:jc w:val="center"/>
        </w:trPr>
        <w:tc>
          <w:tcPr>
            <w:tcW w:w="1201" w:type="dxa"/>
          </w:tcPr>
          <w:p w14:paraId="0592D23E" w14:textId="7AD8EF0F" w:rsidR="0096003B" w:rsidRPr="00B07396" w:rsidRDefault="0096003B" w:rsidP="00FE52E4">
            <w:pPr>
              <w:pStyle w:val="TCTableBody"/>
              <w:jc w:val="center"/>
              <w:rPr>
                <w:lang w:val="pt-BR"/>
              </w:rPr>
            </w:pPr>
            <w:r w:rsidRPr="00B07396">
              <w:t>70.85.C4-O</w:t>
            </w:r>
          </w:p>
        </w:tc>
        <w:tc>
          <w:tcPr>
            <w:tcW w:w="1201" w:type="dxa"/>
            <w:shd w:val="clear" w:color="auto" w:fill="auto"/>
            <w:vAlign w:val="bottom"/>
          </w:tcPr>
          <w:p w14:paraId="6C98594E" w14:textId="4042792E" w:rsidR="0096003B" w:rsidRPr="00B07396" w:rsidRDefault="0096003B" w:rsidP="00FE52E4">
            <w:pPr>
              <w:pStyle w:val="TCTableBody"/>
              <w:jc w:val="center"/>
              <w:rPr>
                <w:lang w:val="pt-BR"/>
              </w:rPr>
            </w:pPr>
            <w:r w:rsidRPr="00B07396">
              <w:rPr>
                <w:rFonts w:ascii="Calibri" w:hAnsi="Calibri" w:cs="Calibri"/>
                <w:color w:val="000000"/>
                <w:sz w:val="22"/>
                <w:szCs w:val="22"/>
              </w:rPr>
              <w:t>192</w:t>
            </w:r>
          </w:p>
        </w:tc>
        <w:tc>
          <w:tcPr>
            <w:tcW w:w="1201" w:type="dxa"/>
            <w:shd w:val="clear" w:color="auto" w:fill="auto"/>
            <w:vAlign w:val="bottom"/>
          </w:tcPr>
          <w:p w14:paraId="2BA6FBCD" w14:textId="512FC109" w:rsidR="0096003B" w:rsidRPr="00B07396" w:rsidRDefault="0096003B" w:rsidP="00FE52E4">
            <w:pPr>
              <w:pStyle w:val="TCTableBody"/>
              <w:jc w:val="center"/>
              <w:rPr>
                <w:lang w:val="pt-BR"/>
              </w:rPr>
            </w:pPr>
            <w:r w:rsidRPr="00B07396">
              <w:rPr>
                <w:rFonts w:ascii="Calibri" w:hAnsi="Calibri" w:cs="Calibri"/>
                <w:color w:val="000000"/>
                <w:sz w:val="22"/>
                <w:szCs w:val="22"/>
              </w:rPr>
              <w:t>0,27</w:t>
            </w:r>
          </w:p>
        </w:tc>
      </w:tr>
      <w:tr w:rsidR="00DA7CEF" w:rsidRPr="00B07396" w14:paraId="2175D6D5" w14:textId="77777777" w:rsidTr="0096003B">
        <w:trPr>
          <w:trHeight w:val="454"/>
          <w:jc w:val="center"/>
        </w:trPr>
        <w:tc>
          <w:tcPr>
            <w:tcW w:w="1201" w:type="dxa"/>
          </w:tcPr>
          <w:p w14:paraId="2EAE802B" w14:textId="5F16580C" w:rsidR="00DA7CEF" w:rsidRPr="00B07396" w:rsidRDefault="00DA7CEF" w:rsidP="00DA7CEF">
            <w:pPr>
              <w:pStyle w:val="TCTableBody"/>
              <w:jc w:val="center"/>
            </w:pPr>
            <w:r w:rsidRPr="00B07396">
              <w:t>70.85.C4-O*</w:t>
            </w:r>
          </w:p>
        </w:tc>
        <w:tc>
          <w:tcPr>
            <w:tcW w:w="1201" w:type="dxa"/>
            <w:shd w:val="clear" w:color="auto" w:fill="auto"/>
            <w:vAlign w:val="bottom"/>
          </w:tcPr>
          <w:p w14:paraId="7777C730" w14:textId="31F71AD0" w:rsidR="00DA7CEF" w:rsidRPr="00B07396" w:rsidRDefault="00DA7CEF" w:rsidP="00DA7CEF">
            <w:pPr>
              <w:pStyle w:val="TCTableBody"/>
              <w:jc w:val="center"/>
              <w:rPr>
                <w:rFonts w:ascii="Calibri" w:hAnsi="Calibri" w:cs="Calibri"/>
                <w:color w:val="000000"/>
                <w:sz w:val="22"/>
                <w:szCs w:val="22"/>
              </w:rPr>
            </w:pPr>
            <w:r w:rsidRPr="00B07396">
              <w:rPr>
                <w:rFonts w:ascii="Calibri" w:hAnsi="Calibri" w:cs="Calibri"/>
                <w:color w:val="000000"/>
                <w:sz w:val="22"/>
                <w:szCs w:val="22"/>
              </w:rPr>
              <w:t>192</w:t>
            </w:r>
          </w:p>
        </w:tc>
        <w:tc>
          <w:tcPr>
            <w:tcW w:w="1201" w:type="dxa"/>
            <w:shd w:val="clear" w:color="auto" w:fill="auto"/>
            <w:vAlign w:val="bottom"/>
          </w:tcPr>
          <w:p w14:paraId="492166E9" w14:textId="6FCC5DEC" w:rsidR="00DA7CEF" w:rsidRPr="00B07396" w:rsidRDefault="00DA7CEF" w:rsidP="00DA7CEF">
            <w:pPr>
              <w:pStyle w:val="TCTableBody"/>
              <w:jc w:val="center"/>
              <w:rPr>
                <w:rFonts w:ascii="Calibri" w:hAnsi="Calibri" w:cs="Calibri"/>
                <w:color w:val="000000"/>
                <w:sz w:val="22"/>
                <w:szCs w:val="22"/>
              </w:rPr>
            </w:pPr>
            <w:r w:rsidRPr="00B07396">
              <w:rPr>
                <w:rFonts w:ascii="Calibri" w:hAnsi="Calibri" w:cs="Calibri"/>
                <w:color w:val="000000"/>
                <w:sz w:val="22"/>
                <w:szCs w:val="22"/>
              </w:rPr>
              <w:t>0,27</w:t>
            </w:r>
          </w:p>
        </w:tc>
      </w:tr>
      <w:tr w:rsidR="00DA7CEF" w:rsidRPr="00B07396" w14:paraId="120512BD" w14:textId="77777777" w:rsidTr="00FE52E4">
        <w:trPr>
          <w:trHeight w:val="454"/>
          <w:jc w:val="center"/>
        </w:trPr>
        <w:tc>
          <w:tcPr>
            <w:tcW w:w="1201" w:type="dxa"/>
          </w:tcPr>
          <w:p w14:paraId="7707D6D3" w14:textId="6CB25876" w:rsidR="00DA7CEF" w:rsidRPr="00B07396" w:rsidRDefault="00DA7CEF" w:rsidP="00FE52E4">
            <w:pPr>
              <w:pStyle w:val="TCTableBody"/>
              <w:jc w:val="center"/>
              <w:rPr>
                <w:lang w:val="pt-BR"/>
              </w:rPr>
            </w:pPr>
            <w:r w:rsidRPr="00B07396">
              <w:t>50.65.C10-O</w:t>
            </w:r>
          </w:p>
        </w:tc>
        <w:tc>
          <w:tcPr>
            <w:tcW w:w="1201" w:type="dxa"/>
            <w:shd w:val="clear" w:color="auto" w:fill="auto"/>
            <w:vAlign w:val="bottom"/>
          </w:tcPr>
          <w:p w14:paraId="02C94C99" w14:textId="300D629E" w:rsidR="00DA7CEF" w:rsidRPr="00B07396" w:rsidRDefault="00DA7CEF" w:rsidP="00FE52E4">
            <w:pPr>
              <w:pStyle w:val="TCTableBody"/>
              <w:jc w:val="center"/>
              <w:rPr>
                <w:lang w:val="pt-BR"/>
              </w:rPr>
            </w:pPr>
            <w:r w:rsidRPr="00B07396">
              <w:rPr>
                <w:rFonts w:ascii="Calibri" w:hAnsi="Calibri" w:cs="Calibri"/>
                <w:color w:val="000000"/>
                <w:sz w:val="22"/>
                <w:szCs w:val="22"/>
              </w:rPr>
              <w:t>251</w:t>
            </w:r>
          </w:p>
        </w:tc>
        <w:tc>
          <w:tcPr>
            <w:tcW w:w="1201" w:type="dxa"/>
            <w:shd w:val="clear" w:color="auto" w:fill="auto"/>
            <w:vAlign w:val="bottom"/>
          </w:tcPr>
          <w:p w14:paraId="7F8C4B71" w14:textId="0C8D13E7" w:rsidR="00DA7CEF" w:rsidRPr="00B07396" w:rsidRDefault="00DA7CEF" w:rsidP="00FE52E4">
            <w:pPr>
              <w:pStyle w:val="TCTableBody"/>
              <w:jc w:val="center"/>
              <w:rPr>
                <w:lang w:val="pt-BR"/>
              </w:rPr>
            </w:pPr>
            <w:r w:rsidRPr="00B07396">
              <w:rPr>
                <w:rFonts w:ascii="Calibri" w:hAnsi="Calibri" w:cs="Calibri"/>
                <w:color w:val="000000"/>
                <w:sz w:val="22"/>
                <w:szCs w:val="22"/>
              </w:rPr>
              <w:t>0,28</w:t>
            </w:r>
          </w:p>
        </w:tc>
      </w:tr>
      <w:tr w:rsidR="00DA7CEF" w:rsidRPr="00B07396" w14:paraId="6C93010E" w14:textId="77777777" w:rsidTr="00FE52E4">
        <w:trPr>
          <w:trHeight w:val="454"/>
          <w:jc w:val="center"/>
        </w:trPr>
        <w:tc>
          <w:tcPr>
            <w:tcW w:w="1201" w:type="dxa"/>
          </w:tcPr>
          <w:p w14:paraId="67ACA3FD" w14:textId="5493C987" w:rsidR="00DA7CEF" w:rsidRPr="00B07396" w:rsidRDefault="00DA7CEF" w:rsidP="00FE52E4">
            <w:pPr>
              <w:pStyle w:val="TCTableBody"/>
              <w:jc w:val="center"/>
              <w:rPr>
                <w:lang w:val="pt-BR"/>
              </w:rPr>
            </w:pPr>
            <w:r w:rsidRPr="00B07396">
              <w:t>70.65.C10-O</w:t>
            </w:r>
          </w:p>
        </w:tc>
        <w:tc>
          <w:tcPr>
            <w:tcW w:w="1201" w:type="dxa"/>
            <w:shd w:val="clear" w:color="auto" w:fill="auto"/>
            <w:vAlign w:val="bottom"/>
          </w:tcPr>
          <w:p w14:paraId="651C1E1D" w14:textId="1B4149DB" w:rsidR="00DA7CEF" w:rsidRPr="00B07396" w:rsidRDefault="00DA7CEF" w:rsidP="00FE52E4">
            <w:pPr>
              <w:pStyle w:val="TCTableBody"/>
              <w:jc w:val="center"/>
              <w:rPr>
                <w:lang w:val="pt-BR"/>
              </w:rPr>
            </w:pPr>
            <w:r w:rsidRPr="00B07396">
              <w:rPr>
                <w:rFonts w:ascii="Calibri" w:hAnsi="Calibri" w:cs="Calibri"/>
                <w:color w:val="000000"/>
                <w:sz w:val="22"/>
                <w:szCs w:val="22"/>
              </w:rPr>
              <w:t>227</w:t>
            </w:r>
          </w:p>
        </w:tc>
        <w:tc>
          <w:tcPr>
            <w:tcW w:w="1201" w:type="dxa"/>
            <w:shd w:val="clear" w:color="auto" w:fill="auto"/>
            <w:vAlign w:val="bottom"/>
          </w:tcPr>
          <w:p w14:paraId="02BC2C62" w14:textId="32BB0E3B" w:rsidR="00DA7CEF" w:rsidRPr="00B07396" w:rsidRDefault="00DA7CEF" w:rsidP="00FE52E4">
            <w:pPr>
              <w:pStyle w:val="TCTableBody"/>
              <w:jc w:val="center"/>
              <w:rPr>
                <w:lang w:val="pt-BR"/>
              </w:rPr>
            </w:pPr>
            <w:r w:rsidRPr="00B07396">
              <w:rPr>
                <w:rFonts w:ascii="Calibri" w:hAnsi="Calibri" w:cs="Calibri"/>
                <w:color w:val="000000"/>
                <w:sz w:val="22"/>
                <w:szCs w:val="22"/>
              </w:rPr>
              <w:t>0,37</w:t>
            </w:r>
          </w:p>
        </w:tc>
      </w:tr>
      <w:tr w:rsidR="00A24B6A" w:rsidRPr="00B07396" w14:paraId="3832610B" w14:textId="77777777" w:rsidTr="0096003B">
        <w:trPr>
          <w:trHeight w:val="454"/>
          <w:jc w:val="center"/>
        </w:trPr>
        <w:tc>
          <w:tcPr>
            <w:tcW w:w="1201" w:type="dxa"/>
          </w:tcPr>
          <w:p w14:paraId="6879F1DB" w14:textId="0E9873E5" w:rsidR="00A24B6A" w:rsidRPr="00B07396" w:rsidRDefault="00481811" w:rsidP="00DA7CEF">
            <w:pPr>
              <w:pStyle w:val="TCTableBody"/>
              <w:jc w:val="center"/>
            </w:pPr>
            <w:r w:rsidRPr="00B07396">
              <w:t>70.65.C10-O*</w:t>
            </w:r>
          </w:p>
        </w:tc>
        <w:tc>
          <w:tcPr>
            <w:tcW w:w="1201" w:type="dxa"/>
            <w:shd w:val="clear" w:color="auto" w:fill="auto"/>
            <w:vAlign w:val="bottom"/>
          </w:tcPr>
          <w:p w14:paraId="29404224" w14:textId="1D096BE7" w:rsidR="00A24B6A" w:rsidRPr="00B07396" w:rsidRDefault="00481811" w:rsidP="00DA7CEF">
            <w:pPr>
              <w:pStyle w:val="TCTableBody"/>
              <w:jc w:val="center"/>
              <w:rPr>
                <w:rFonts w:ascii="Calibri" w:hAnsi="Calibri" w:cs="Calibri"/>
                <w:color w:val="000000"/>
                <w:sz w:val="22"/>
                <w:szCs w:val="22"/>
              </w:rPr>
            </w:pPr>
            <w:r w:rsidRPr="00B07396">
              <w:rPr>
                <w:rFonts w:ascii="Calibri" w:hAnsi="Calibri" w:cs="Calibri"/>
                <w:color w:val="000000"/>
                <w:sz w:val="22"/>
                <w:szCs w:val="22"/>
              </w:rPr>
              <w:t>280</w:t>
            </w:r>
          </w:p>
        </w:tc>
        <w:tc>
          <w:tcPr>
            <w:tcW w:w="1201" w:type="dxa"/>
            <w:shd w:val="clear" w:color="auto" w:fill="auto"/>
            <w:vAlign w:val="bottom"/>
          </w:tcPr>
          <w:p w14:paraId="213638EB" w14:textId="30E61279" w:rsidR="00A24B6A" w:rsidRPr="00B07396" w:rsidRDefault="00481811" w:rsidP="00DA7CEF">
            <w:pPr>
              <w:pStyle w:val="TCTableBody"/>
              <w:jc w:val="center"/>
              <w:rPr>
                <w:rFonts w:ascii="Calibri" w:hAnsi="Calibri" w:cs="Calibri"/>
                <w:color w:val="000000"/>
                <w:sz w:val="22"/>
                <w:szCs w:val="22"/>
              </w:rPr>
            </w:pPr>
            <w:r w:rsidRPr="00B07396">
              <w:rPr>
                <w:rFonts w:ascii="Calibri" w:hAnsi="Calibri" w:cs="Calibri"/>
                <w:color w:val="000000"/>
                <w:sz w:val="22"/>
                <w:szCs w:val="22"/>
              </w:rPr>
              <w:t>0,44</w:t>
            </w:r>
          </w:p>
        </w:tc>
      </w:tr>
      <w:tr w:rsidR="00DA7CEF" w:rsidRPr="00B07396" w14:paraId="1FA75571" w14:textId="77777777" w:rsidTr="00FE52E4">
        <w:trPr>
          <w:trHeight w:val="454"/>
          <w:jc w:val="center"/>
        </w:trPr>
        <w:tc>
          <w:tcPr>
            <w:tcW w:w="1201" w:type="dxa"/>
          </w:tcPr>
          <w:p w14:paraId="5E9C729B" w14:textId="17BFA782" w:rsidR="00DA7CEF" w:rsidRPr="00B07396" w:rsidRDefault="00DA7CEF" w:rsidP="00FE52E4">
            <w:pPr>
              <w:pStyle w:val="TCTableBody"/>
              <w:jc w:val="center"/>
              <w:rPr>
                <w:lang w:val="pt-BR"/>
              </w:rPr>
            </w:pPr>
            <w:r w:rsidRPr="00B07396">
              <w:t>50.85.C10-O</w:t>
            </w:r>
          </w:p>
        </w:tc>
        <w:tc>
          <w:tcPr>
            <w:tcW w:w="1201" w:type="dxa"/>
            <w:shd w:val="clear" w:color="auto" w:fill="auto"/>
            <w:vAlign w:val="bottom"/>
          </w:tcPr>
          <w:p w14:paraId="32E59108" w14:textId="4D1DC5B3" w:rsidR="00DA7CEF" w:rsidRPr="00B07396" w:rsidRDefault="00DA7CEF" w:rsidP="00FE52E4">
            <w:pPr>
              <w:pStyle w:val="TCTableBody"/>
              <w:jc w:val="center"/>
              <w:rPr>
                <w:lang w:val="pt-BR"/>
              </w:rPr>
            </w:pPr>
            <w:r w:rsidRPr="00B07396">
              <w:rPr>
                <w:rFonts w:ascii="Calibri" w:hAnsi="Calibri" w:cs="Calibri"/>
                <w:color w:val="000000"/>
                <w:sz w:val="22"/>
                <w:szCs w:val="22"/>
              </w:rPr>
              <w:t>257</w:t>
            </w:r>
          </w:p>
        </w:tc>
        <w:tc>
          <w:tcPr>
            <w:tcW w:w="1201" w:type="dxa"/>
            <w:shd w:val="clear" w:color="auto" w:fill="auto"/>
            <w:vAlign w:val="bottom"/>
          </w:tcPr>
          <w:p w14:paraId="2BF9A8E3" w14:textId="0A363CD2" w:rsidR="00DA7CEF" w:rsidRPr="00B07396" w:rsidRDefault="00DA7CEF" w:rsidP="00FE52E4">
            <w:pPr>
              <w:pStyle w:val="TCTableBody"/>
              <w:jc w:val="center"/>
              <w:rPr>
                <w:lang w:val="pt-BR"/>
              </w:rPr>
            </w:pPr>
            <w:r w:rsidRPr="00B07396">
              <w:rPr>
                <w:rFonts w:ascii="Calibri" w:hAnsi="Calibri" w:cs="Calibri"/>
                <w:color w:val="000000"/>
                <w:sz w:val="22"/>
                <w:szCs w:val="22"/>
              </w:rPr>
              <w:t>0,57</w:t>
            </w:r>
          </w:p>
        </w:tc>
      </w:tr>
      <w:tr w:rsidR="00DA7CEF" w:rsidRPr="00B07396" w14:paraId="60043328" w14:textId="77777777" w:rsidTr="00935645">
        <w:trPr>
          <w:trHeight w:val="246"/>
          <w:jc w:val="center"/>
        </w:trPr>
        <w:tc>
          <w:tcPr>
            <w:tcW w:w="1201" w:type="dxa"/>
          </w:tcPr>
          <w:p w14:paraId="718596B5" w14:textId="42942D86" w:rsidR="00DA7CEF" w:rsidRPr="00B07396" w:rsidRDefault="00DA7CEF" w:rsidP="00FE52E4">
            <w:pPr>
              <w:pStyle w:val="TCTableBody"/>
              <w:jc w:val="center"/>
              <w:rPr>
                <w:lang w:val="pt-BR"/>
              </w:rPr>
            </w:pPr>
            <w:r w:rsidRPr="00B07396">
              <w:t>70.85.C10-O</w:t>
            </w:r>
          </w:p>
        </w:tc>
        <w:tc>
          <w:tcPr>
            <w:tcW w:w="1201" w:type="dxa"/>
            <w:shd w:val="clear" w:color="auto" w:fill="auto"/>
            <w:vAlign w:val="bottom"/>
          </w:tcPr>
          <w:p w14:paraId="2CF3829C" w14:textId="5DC80121" w:rsidR="00DA7CEF" w:rsidRPr="00B07396" w:rsidRDefault="00DA7CEF" w:rsidP="00FE52E4">
            <w:pPr>
              <w:pStyle w:val="TCTableBody"/>
              <w:jc w:val="center"/>
              <w:rPr>
                <w:lang w:val="pt-BR"/>
              </w:rPr>
            </w:pPr>
            <w:r w:rsidRPr="00B07396">
              <w:rPr>
                <w:rFonts w:ascii="Calibri" w:hAnsi="Calibri" w:cs="Calibri"/>
                <w:color w:val="000000"/>
                <w:sz w:val="22"/>
                <w:szCs w:val="22"/>
              </w:rPr>
              <w:t>216</w:t>
            </w:r>
          </w:p>
        </w:tc>
        <w:tc>
          <w:tcPr>
            <w:tcW w:w="1201" w:type="dxa"/>
            <w:shd w:val="clear" w:color="auto" w:fill="auto"/>
            <w:vAlign w:val="bottom"/>
          </w:tcPr>
          <w:p w14:paraId="14E66108" w14:textId="5CE03BB5" w:rsidR="00DA7CEF" w:rsidRPr="00B07396" w:rsidRDefault="00DA7CEF" w:rsidP="00FE52E4">
            <w:pPr>
              <w:pStyle w:val="TCTableBody"/>
              <w:jc w:val="center"/>
              <w:rPr>
                <w:lang w:val="pt-BR"/>
              </w:rPr>
            </w:pPr>
            <w:r w:rsidRPr="00B07396">
              <w:rPr>
                <w:rFonts w:ascii="Calibri" w:hAnsi="Calibri" w:cs="Calibri"/>
                <w:color w:val="000000"/>
                <w:sz w:val="22"/>
                <w:szCs w:val="22"/>
              </w:rPr>
              <w:t>0,41</w:t>
            </w:r>
          </w:p>
        </w:tc>
      </w:tr>
    </w:tbl>
    <w:p w14:paraId="3CA48D98" w14:textId="4B6D4BCD" w:rsidR="00DE0175" w:rsidRPr="00B07396" w:rsidRDefault="007A5BA2" w:rsidP="00DE0175">
      <w:pPr>
        <w:pStyle w:val="TAMainText"/>
        <w:ind w:firstLine="0"/>
        <w:rPr>
          <w:rFonts w:ascii="Times New Roman" w:hAnsi="Times New Roman"/>
          <w:sz w:val="18"/>
          <w:szCs w:val="18"/>
          <w:lang w:val="pt-BR"/>
        </w:rPr>
      </w:pPr>
      <w:r w:rsidRPr="00B07396">
        <w:rPr>
          <w:rFonts w:ascii="Times New Roman" w:hAnsi="Times New Roman"/>
          <w:sz w:val="18"/>
          <w:szCs w:val="18"/>
          <w:lang w:val="pt-BR"/>
        </w:rPr>
        <w:t>*: Amostras de duplicatas</w:t>
      </w:r>
    </w:p>
    <w:p w14:paraId="52349FCD" w14:textId="77777777" w:rsidR="00124FFC" w:rsidRPr="00B07396" w:rsidRDefault="00124FFC" w:rsidP="00DE0175">
      <w:pPr>
        <w:pStyle w:val="TAMainText"/>
        <w:ind w:firstLine="0"/>
        <w:rPr>
          <w:rFonts w:ascii="Times New Roman" w:hAnsi="Times New Roman"/>
          <w:lang w:val="pt-BR"/>
        </w:rPr>
      </w:pPr>
    </w:p>
    <w:p w14:paraId="10DFD224" w14:textId="0137445A" w:rsidR="00816BFC" w:rsidRPr="00B07396" w:rsidRDefault="006F5C54" w:rsidP="00816BFC">
      <w:pPr>
        <w:pStyle w:val="TAMainText"/>
        <w:ind w:firstLine="187"/>
        <w:rPr>
          <w:rFonts w:ascii="Times New Roman" w:hAnsi="Times New Roman"/>
          <w:lang w:val="pt-BR"/>
        </w:rPr>
      </w:pPr>
      <w:r w:rsidRPr="00B07396">
        <w:rPr>
          <w:rFonts w:ascii="Times New Roman" w:hAnsi="Times New Roman"/>
          <w:lang w:val="pt-BR"/>
        </w:rPr>
        <w:t>Analisando o gráfico de</w:t>
      </w:r>
      <w:r w:rsidR="00816BFC" w:rsidRPr="00B07396">
        <w:rPr>
          <w:rFonts w:ascii="Times New Roman" w:hAnsi="Times New Roman"/>
          <w:lang w:val="pt-BR"/>
        </w:rPr>
        <w:t xml:space="preserve"> Pareto obtido para a área superficial</w:t>
      </w:r>
      <w:r w:rsidRPr="00B07396">
        <w:rPr>
          <w:rFonts w:ascii="Times New Roman" w:hAnsi="Times New Roman"/>
          <w:lang w:val="pt-BR"/>
        </w:rPr>
        <w:t xml:space="preserve"> foi possível notar que o</w:t>
      </w:r>
      <w:r w:rsidR="00816BFC" w:rsidRPr="00B07396">
        <w:rPr>
          <w:rFonts w:ascii="Times New Roman" w:hAnsi="Times New Roman"/>
          <w:lang w:val="pt-BR"/>
        </w:rPr>
        <w:t xml:space="preserve"> ânion inicialmente utilizado nos </w:t>
      </w:r>
      <w:proofErr w:type="spellStart"/>
      <w:r w:rsidR="00816BFC" w:rsidRPr="00B07396">
        <w:rPr>
          <w:rFonts w:ascii="Times New Roman" w:hAnsi="Times New Roman"/>
          <w:lang w:val="pt-BR"/>
        </w:rPr>
        <w:t>HDLs</w:t>
      </w:r>
      <w:proofErr w:type="spellEnd"/>
      <w:r w:rsidR="00816BFC" w:rsidRPr="00B07396">
        <w:rPr>
          <w:rFonts w:ascii="Times New Roman" w:hAnsi="Times New Roman"/>
          <w:lang w:val="pt-BR"/>
        </w:rPr>
        <w:t>, C4 ou C10, foi o único efeito relevante para a área dos óxidos. Para a avaliação das propriedades texturais as amostras são calcinadas para a obtenção dos óxidos mistos</w:t>
      </w:r>
      <w:r w:rsidRPr="00B07396">
        <w:rPr>
          <w:rFonts w:ascii="Times New Roman" w:hAnsi="Times New Roman"/>
          <w:lang w:val="pt-BR"/>
        </w:rPr>
        <w:t xml:space="preserve">, </w:t>
      </w:r>
      <w:r w:rsidR="00816BFC" w:rsidRPr="00B07396">
        <w:rPr>
          <w:rFonts w:ascii="Times New Roman" w:hAnsi="Times New Roman"/>
          <w:lang w:val="pt-BR"/>
        </w:rPr>
        <w:t xml:space="preserve">degradando </w:t>
      </w:r>
      <w:r w:rsidRPr="00B07396">
        <w:rPr>
          <w:rFonts w:ascii="Times New Roman" w:hAnsi="Times New Roman"/>
          <w:lang w:val="pt-BR"/>
        </w:rPr>
        <w:t>o ânion no processo</w:t>
      </w:r>
      <w:r w:rsidR="00816BFC" w:rsidRPr="00B07396">
        <w:rPr>
          <w:rFonts w:ascii="Times New Roman" w:hAnsi="Times New Roman"/>
          <w:lang w:val="pt-BR"/>
        </w:rPr>
        <w:t xml:space="preserve">. </w:t>
      </w:r>
      <w:r w:rsidRPr="00B07396">
        <w:rPr>
          <w:rFonts w:ascii="Times New Roman" w:hAnsi="Times New Roman"/>
          <w:lang w:val="pt-BR"/>
        </w:rPr>
        <w:t xml:space="preserve">No entanto </w:t>
      </w:r>
      <w:r w:rsidR="00816BFC" w:rsidRPr="00B07396">
        <w:rPr>
          <w:rFonts w:ascii="Times New Roman" w:hAnsi="Times New Roman"/>
          <w:lang w:val="pt-BR"/>
        </w:rPr>
        <w:t xml:space="preserve">os óxidos mistos obtidos de uma HDL de partida com o ânion </w:t>
      </w:r>
      <w:r w:rsidR="002B2711" w:rsidRPr="00B07396">
        <w:rPr>
          <w:rFonts w:ascii="Times New Roman" w:hAnsi="Times New Roman"/>
          <w:lang w:val="pt-BR"/>
        </w:rPr>
        <w:t xml:space="preserve">mais volumoso </w:t>
      </w:r>
      <w:r w:rsidR="00816BFC" w:rsidRPr="00B07396">
        <w:rPr>
          <w:rFonts w:ascii="Times New Roman" w:hAnsi="Times New Roman"/>
          <w:lang w:val="pt-BR"/>
        </w:rPr>
        <w:t>geraram um material com maior área superficial, isso indica que o ânion possui um efeito orientador</w:t>
      </w:r>
      <w:r w:rsidR="00576A05" w:rsidRPr="00B07396">
        <w:rPr>
          <w:rFonts w:ascii="Times New Roman" w:hAnsi="Times New Roman"/>
          <w:lang w:val="pt-BR"/>
        </w:rPr>
        <w:t>, aumentando a área do</w:t>
      </w:r>
      <w:r w:rsidR="00816BFC" w:rsidRPr="00B07396">
        <w:rPr>
          <w:rFonts w:ascii="Times New Roman" w:hAnsi="Times New Roman"/>
          <w:lang w:val="pt-BR"/>
        </w:rPr>
        <w:t xml:space="preserve"> óxido misto obtido.</w:t>
      </w:r>
    </w:p>
    <w:p w14:paraId="3D39D535" w14:textId="77777777" w:rsidR="00816BFC" w:rsidRPr="00B07396" w:rsidRDefault="00816BFC" w:rsidP="00DE0175">
      <w:pPr>
        <w:pStyle w:val="TAMainText"/>
        <w:ind w:firstLine="0"/>
        <w:rPr>
          <w:rFonts w:ascii="Times New Roman" w:hAnsi="Times New Roman"/>
          <w:lang w:val="pt-BR"/>
        </w:rPr>
      </w:pPr>
    </w:p>
    <w:p w14:paraId="0EE304EA" w14:textId="529D86CE" w:rsidR="00296C29" w:rsidRPr="00B07396" w:rsidRDefault="00F2314A" w:rsidP="00296C29">
      <w:pPr>
        <w:jc w:val="center"/>
      </w:pPr>
      <w:r w:rsidRPr="00B07396">
        <w:rPr>
          <w:noProof/>
          <w:lang w:eastAsia="pt-BR"/>
        </w:rPr>
        <w:drawing>
          <wp:inline distT="0" distB="0" distL="0" distR="0" wp14:anchorId="5F9A4A70" wp14:editId="2C1509B6">
            <wp:extent cx="3027680" cy="2089785"/>
            <wp:effectExtent l="0" t="0" r="127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27680" cy="2089785"/>
                    </a:xfrm>
                    <a:prstGeom prst="rect">
                      <a:avLst/>
                    </a:prstGeom>
                    <a:noFill/>
                    <a:ln>
                      <a:noFill/>
                    </a:ln>
                  </pic:spPr>
                </pic:pic>
              </a:graphicData>
            </a:graphic>
          </wp:inline>
        </w:drawing>
      </w:r>
    </w:p>
    <w:p w14:paraId="2BCB91AC" w14:textId="5B2C1A01" w:rsidR="00296C29" w:rsidRPr="00B07396" w:rsidRDefault="00296C29" w:rsidP="00296C29">
      <w:pPr>
        <w:pStyle w:val="TAMainText"/>
        <w:ind w:firstLine="187"/>
        <w:rPr>
          <w:rFonts w:ascii="Times New Roman" w:hAnsi="Times New Roman"/>
          <w:sz w:val="18"/>
          <w:szCs w:val="18"/>
          <w:lang w:val="pt-BR"/>
        </w:rPr>
      </w:pPr>
      <w:r w:rsidRPr="00B07396">
        <w:rPr>
          <w:rFonts w:ascii="Times New Roman" w:hAnsi="Times New Roman"/>
          <w:b/>
          <w:lang w:val="pt-BR"/>
        </w:rPr>
        <w:t xml:space="preserve">Figura </w:t>
      </w:r>
      <w:r w:rsidR="00E71A98" w:rsidRPr="00B07396">
        <w:rPr>
          <w:rFonts w:ascii="Times New Roman" w:hAnsi="Times New Roman"/>
          <w:b/>
          <w:lang w:val="pt-BR"/>
        </w:rPr>
        <w:t>7</w:t>
      </w:r>
      <w:r w:rsidRPr="00B07396">
        <w:rPr>
          <w:rFonts w:ascii="Times New Roman" w:hAnsi="Times New Roman"/>
          <w:b/>
          <w:lang w:val="pt-BR"/>
        </w:rPr>
        <w:t>.</w:t>
      </w:r>
      <w:r w:rsidRPr="00B07396">
        <w:rPr>
          <w:rFonts w:ascii="Times New Roman" w:hAnsi="Times New Roman"/>
          <w:lang w:val="pt-BR"/>
        </w:rPr>
        <w:t xml:space="preserve"> </w:t>
      </w:r>
      <w:bookmarkStart w:id="4" w:name="_Hlk130475589"/>
      <w:r w:rsidR="009C7604" w:rsidRPr="00B07396">
        <w:rPr>
          <w:rFonts w:ascii="Times New Roman" w:hAnsi="Times New Roman"/>
          <w:sz w:val="18"/>
          <w:szCs w:val="18"/>
          <w:lang w:val="pt-BR"/>
        </w:rPr>
        <w:t xml:space="preserve">Gráfico de Pareto para a </w:t>
      </w:r>
      <w:r w:rsidR="001127A7" w:rsidRPr="00B07396">
        <w:rPr>
          <w:rFonts w:ascii="Times New Roman" w:hAnsi="Times New Roman"/>
          <w:sz w:val="18"/>
          <w:szCs w:val="18"/>
          <w:lang w:val="pt-BR"/>
        </w:rPr>
        <w:t>á</w:t>
      </w:r>
      <w:r w:rsidR="009C7604" w:rsidRPr="00B07396">
        <w:rPr>
          <w:rFonts w:ascii="Times New Roman" w:hAnsi="Times New Roman"/>
          <w:sz w:val="18"/>
          <w:szCs w:val="18"/>
          <w:lang w:val="pt-BR"/>
        </w:rPr>
        <w:t xml:space="preserve">rea </w:t>
      </w:r>
      <w:r w:rsidR="001127A7" w:rsidRPr="00B07396">
        <w:rPr>
          <w:rFonts w:ascii="Times New Roman" w:hAnsi="Times New Roman"/>
          <w:sz w:val="18"/>
          <w:szCs w:val="18"/>
          <w:lang w:val="pt-BR"/>
        </w:rPr>
        <w:t>s</w:t>
      </w:r>
      <w:r w:rsidR="009C7604" w:rsidRPr="00B07396">
        <w:rPr>
          <w:rFonts w:ascii="Times New Roman" w:hAnsi="Times New Roman"/>
          <w:sz w:val="18"/>
          <w:szCs w:val="18"/>
          <w:lang w:val="pt-BR"/>
        </w:rPr>
        <w:t>uperficial dos óxidos mistos</w:t>
      </w:r>
      <w:bookmarkEnd w:id="4"/>
    </w:p>
    <w:p w14:paraId="76107DF5" w14:textId="77777777" w:rsidR="00124FFC" w:rsidRPr="00B07396" w:rsidRDefault="00124FFC" w:rsidP="00296C29">
      <w:pPr>
        <w:pStyle w:val="TAMainText"/>
        <w:ind w:firstLine="187"/>
        <w:rPr>
          <w:rFonts w:ascii="Times New Roman" w:hAnsi="Times New Roman"/>
          <w:lang w:val="pt-BR"/>
        </w:rPr>
      </w:pPr>
    </w:p>
    <w:p w14:paraId="093DCA7C" w14:textId="5C8CBC5E" w:rsidR="009136AA" w:rsidRPr="00B07396" w:rsidRDefault="009136AA" w:rsidP="009136AA">
      <w:pPr>
        <w:pStyle w:val="TAMainText"/>
        <w:ind w:firstLine="187"/>
        <w:rPr>
          <w:rFonts w:ascii="Times New Roman" w:hAnsi="Times New Roman"/>
          <w:lang w:val="pt-BR"/>
        </w:rPr>
      </w:pPr>
      <w:r w:rsidRPr="00B07396">
        <w:rPr>
          <w:rFonts w:ascii="Times New Roman" w:hAnsi="Times New Roman"/>
          <w:lang w:val="pt-BR"/>
        </w:rPr>
        <w:t xml:space="preserve">O ânion </w:t>
      </w:r>
      <w:r w:rsidR="00F679CD" w:rsidRPr="00B07396">
        <w:rPr>
          <w:rFonts w:ascii="Times New Roman" w:hAnsi="Times New Roman"/>
          <w:lang w:val="pt-BR"/>
        </w:rPr>
        <w:t xml:space="preserve">também </w:t>
      </w:r>
      <w:r w:rsidR="00C07C5E" w:rsidRPr="00B07396">
        <w:rPr>
          <w:rFonts w:ascii="Times New Roman" w:hAnsi="Times New Roman"/>
          <w:lang w:val="pt-BR"/>
        </w:rPr>
        <w:t xml:space="preserve">foi </w:t>
      </w:r>
      <w:r w:rsidRPr="00B07396">
        <w:rPr>
          <w:rFonts w:ascii="Times New Roman" w:hAnsi="Times New Roman"/>
          <w:lang w:val="pt-BR"/>
        </w:rPr>
        <w:t xml:space="preserve">o efeito </w:t>
      </w:r>
      <w:r w:rsidR="00420BA3" w:rsidRPr="00B07396">
        <w:rPr>
          <w:rFonts w:ascii="Times New Roman" w:hAnsi="Times New Roman"/>
          <w:lang w:val="pt-BR"/>
        </w:rPr>
        <w:t>significativo</w:t>
      </w:r>
      <w:r w:rsidRPr="00B07396">
        <w:rPr>
          <w:rFonts w:ascii="Times New Roman" w:hAnsi="Times New Roman"/>
          <w:lang w:val="pt-BR"/>
        </w:rPr>
        <w:t xml:space="preserve"> no volume de poros dos óxidos mistos obtidos. </w:t>
      </w:r>
      <w:r w:rsidR="004D75D0" w:rsidRPr="00B07396">
        <w:rPr>
          <w:rFonts w:ascii="Times New Roman" w:hAnsi="Times New Roman"/>
          <w:lang w:val="pt-BR"/>
        </w:rPr>
        <w:t>O</w:t>
      </w:r>
      <w:r w:rsidR="008D31AC" w:rsidRPr="00B07396">
        <w:rPr>
          <w:rFonts w:ascii="Times New Roman" w:hAnsi="Times New Roman"/>
          <w:lang w:val="pt-BR"/>
        </w:rPr>
        <w:t xml:space="preserve"> uso de ânions </w:t>
      </w:r>
      <w:proofErr w:type="spellStart"/>
      <w:r w:rsidR="008D31AC" w:rsidRPr="00B07396">
        <w:rPr>
          <w:rFonts w:ascii="Times New Roman" w:hAnsi="Times New Roman"/>
          <w:lang w:val="pt-BR"/>
        </w:rPr>
        <w:t>dicarboxílicos</w:t>
      </w:r>
      <w:proofErr w:type="spellEnd"/>
      <w:r w:rsidR="008D31AC" w:rsidRPr="00B07396">
        <w:rPr>
          <w:rFonts w:ascii="Times New Roman" w:hAnsi="Times New Roman"/>
          <w:lang w:val="pt-BR"/>
        </w:rPr>
        <w:t xml:space="preserve"> </w:t>
      </w:r>
      <w:r w:rsidR="00801094" w:rsidRPr="00B07396">
        <w:rPr>
          <w:rFonts w:ascii="Times New Roman" w:hAnsi="Times New Roman"/>
          <w:lang w:val="pt-BR"/>
        </w:rPr>
        <w:t>de cadeia longa</w:t>
      </w:r>
      <w:r w:rsidR="00C61B5B" w:rsidRPr="00B07396">
        <w:rPr>
          <w:rFonts w:ascii="Times New Roman" w:hAnsi="Times New Roman"/>
          <w:lang w:val="pt-BR"/>
        </w:rPr>
        <w:t xml:space="preserve"> nos </w:t>
      </w:r>
      <w:proofErr w:type="spellStart"/>
      <w:r w:rsidR="00C61B5B" w:rsidRPr="00B07396">
        <w:rPr>
          <w:rFonts w:ascii="Times New Roman" w:hAnsi="Times New Roman"/>
          <w:lang w:val="pt-BR"/>
        </w:rPr>
        <w:t>HDLs</w:t>
      </w:r>
      <w:proofErr w:type="spellEnd"/>
      <w:r w:rsidR="00C61B5B" w:rsidRPr="00B07396">
        <w:rPr>
          <w:rFonts w:ascii="Times New Roman" w:hAnsi="Times New Roman"/>
          <w:lang w:val="pt-BR"/>
        </w:rPr>
        <w:t xml:space="preserve"> foi capaz de o orientar a formação de óxidos mistos de elevada área </w:t>
      </w:r>
      <w:proofErr w:type="spellStart"/>
      <w:r w:rsidR="00C61B5B" w:rsidRPr="00B07396">
        <w:rPr>
          <w:rFonts w:ascii="Times New Roman" w:hAnsi="Times New Roman"/>
          <w:lang w:val="pt-BR"/>
        </w:rPr>
        <w:t>superfi</w:t>
      </w:r>
      <w:r w:rsidR="005D5C70" w:rsidRPr="00B07396">
        <w:rPr>
          <w:rFonts w:ascii="Times New Roman" w:hAnsi="Times New Roman"/>
          <w:lang w:val="pt-BR"/>
        </w:rPr>
        <w:t>ci</w:t>
      </w:r>
      <w:r w:rsidR="00C61B5B" w:rsidRPr="00B07396">
        <w:rPr>
          <w:rFonts w:ascii="Times New Roman" w:hAnsi="Times New Roman"/>
          <w:lang w:val="pt-BR"/>
        </w:rPr>
        <w:t>cal</w:t>
      </w:r>
      <w:proofErr w:type="spellEnd"/>
      <w:r w:rsidR="00C61B5B" w:rsidRPr="00B07396">
        <w:rPr>
          <w:rFonts w:ascii="Times New Roman" w:hAnsi="Times New Roman"/>
          <w:lang w:val="pt-BR"/>
        </w:rPr>
        <w:t xml:space="preserve"> e volume de poros</w:t>
      </w:r>
      <w:r w:rsidR="00520E53" w:rsidRPr="00B07396">
        <w:rPr>
          <w:rFonts w:ascii="Times New Roman" w:hAnsi="Times New Roman"/>
          <w:lang w:val="pt-BR"/>
        </w:rPr>
        <w:t xml:space="preserve">, </w:t>
      </w:r>
      <w:r w:rsidR="005D5C70" w:rsidRPr="00B07396">
        <w:rPr>
          <w:rFonts w:ascii="Times New Roman" w:hAnsi="Times New Roman"/>
          <w:lang w:val="pt-BR"/>
        </w:rPr>
        <w:t xml:space="preserve">propriedades </w:t>
      </w:r>
      <w:r w:rsidR="00E01C0F" w:rsidRPr="00B07396">
        <w:rPr>
          <w:rFonts w:ascii="Times New Roman" w:hAnsi="Times New Roman"/>
          <w:lang w:val="pt-BR"/>
        </w:rPr>
        <w:t>úteis</w:t>
      </w:r>
      <w:r w:rsidR="00520E53" w:rsidRPr="00B07396">
        <w:rPr>
          <w:rFonts w:ascii="Times New Roman" w:hAnsi="Times New Roman"/>
          <w:lang w:val="pt-BR"/>
        </w:rPr>
        <w:t xml:space="preserve"> </w:t>
      </w:r>
      <w:r w:rsidR="00B652E3" w:rsidRPr="00B07396">
        <w:rPr>
          <w:rFonts w:ascii="Times New Roman" w:hAnsi="Times New Roman"/>
          <w:lang w:val="pt-BR"/>
        </w:rPr>
        <w:t xml:space="preserve">para o uso como catalisadores </w:t>
      </w:r>
      <w:r w:rsidR="00E1220A" w:rsidRPr="00B07396">
        <w:rPr>
          <w:rFonts w:ascii="Times New Roman" w:hAnsi="Times New Roman"/>
          <w:lang w:val="pt-BR"/>
        </w:rPr>
        <w:t>e suportes</w:t>
      </w:r>
      <w:r w:rsidR="00E01C0F" w:rsidRPr="00B07396">
        <w:rPr>
          <w:rFonts w:ascii="Times New Roman" w:hAnsi="Times New Roman"/>
          <w:lang w:val="pt-BR"/>
        </w:rPr>
        <w:t xml:space="preserve">, que serão avaliadas </w:t>
      </w:r>
      <w:r w:rsidR="00A51186" w:rsidRPr="00B07396">
        <w:rPr>
          <w:rFonts w:ascii="Times New Roman" w:hAnsi="Times New Roman"/>
          <w:lang w:val="pt-BR"/>
        </w:rPr>
        <w:t>em trabalhos futuros.</w:t>
      </w:r>
      <w:r w:rsidR="007F3106" w:rsidRPr="00B07396">
        <w:rPr>
          <w:rFonts w:ascii="Times New Roman" w:hAnsi="Times New Roman"/>
          <w:lang w:val="pt-BR"/>
        </w:rPr>
        <w:t xml:space="preserve"> </w:t>
      </w:r>
      <w:r w:rsidR="00124FFC" w:rsidRPr="00B07396">
        <w:rPr>
          <w:rFonts w:ascii="Times New Roman" w:hAnsi="Times New Roman"/>
          <w:lang w:val="pt-BR"/>
        </w:rPr>
        <w:t>Enquanto</w:t>
      </w:r>
      <w:r w:rsidR="007F3106" w:rsidRPr="00B07396">
        <w:rPr>
          <w:rFonts w:ascii="Times New Roman" w:hAnsi="Times New Roman"/>
          <w:lang w:val="pt-BR"/>
        </w:rPr>
        <w:t xml:space="preserve"> a temperatura </w:t>
      </w:r>
      <w:r w:rsidR="00221626" w:rsidRPr="00B07396">
        <w:rPr>
          <w:rFonts w:ascii="Times New Roman" w:hAnsi="Times New Roman"/>
          <w:lang w:val="pt-BR"/>
        </w:rPr>
        <w:t>e pH utilizado nas sínteses e mesmo os efeitos combinados não foram significativos sob as propriedades dos óxidos mistos</w:t>
      </w:r>
      <w:r w:rsidR="004A7D01" w:rsidRPr="00B07396">
        <w:rPr>
          <w:rFonts w:ascii="Times New Roman" w:hAnsi="Times New Roman"/>
          <w:lang w:val="pt-BR"/>
        </w:rPr>
        <w:t>.</w:t>
      </w:r>
    </w:p>
    <w:p w14:paraId="14575C48" w14:textId="77777777" w:rsidR="00E04EC0" w:rsidRPr="00B07396" w:rsidRDefault="00E04EC0" w:rsidP="00E04EC0">
      <w:pPr>
        <w:pStyle w:val="TAMainText"/>
        <w:ind w:firstLine="0"/>
        <w:rPr>
          <w:rFonts w:ascii="Times New Roman" w:hAnsi="Times New Roman"/>
          <w:lang w:val="pt-BR"/>
        </w:rPr>
      </w:pPr>
    </w:p>
    <w:p w14:paraId="1E856302" w14:textId="66A325F4" w:rsidR="00ED7223" w:rsidRPr="00B07396" w:rsidRDefault="00E97946" w:rsidP="00ED7223">
      <w:pPr>
        <w:jc w:val="center"/>
      </w:pPr>
      <w:r w:rsidRPr="00B07396">
        <w:rPr>
          <w:noProof/>
          <w:lang w:eastAsia="pt-BR"/>
        </w:rPr>
        <w:drawing>
          <wp:inline distT="0" distB="0" distL="0" distR="0" wp14:anchorId="1FFA07FE" wp14:editId="1F7245F3">
            <wp:extent cx="3027680" cy="2042160"/>
            <wp:effectExtent l="0" t="0" r="127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27680" cy="2042160"/>
                    </a:xfrm>
                    <a:prstGeom prst="rect">
                      <a:avLst/>
                    </a:prstGeom>
                    <a:noFill/>
                    <a:ln>
                      <a:noFill/>
                    </a:ln>
                  </pic:spPr>
                </pic:pic>
              </a:graphicData>
            </a:graphic>
          </wp:inline>
        </w:drawing>
      </w:r>
    </w:p>
    <w:p w14:paraId="06033515" w14:textId="678627B9" w:rsidR="00AE4157" w:rsidRPr="00B07396" w:rsidRDefault="00ED7223" w:rsidP="003F5645">
      <w:pPr>
        <w:pStyle w:val="TAMainText"/>
        <w:ind w:firstLine="187"/>
        <w:rPr>
          <w:rFonts w:ascii="Times New Roman" w:hAnsi="Times New Roman"/>
          <w:lang w:val="pt-BR"/>
        </w:rPr>
      </w:pPr>
      <w:r w:rsidRPr="00B07396">
        <w:rPr>
          <w:rFonts w:ascii="Times New Roman" w:hAnsi="Times New Roman"/>
          <w:b/>
          <w:lang w:val="pt-BR"/>
        </w:rPr>
        <w:lastRenderedPageBreak/>
        <w:t xml:space="preserve">Figura </w:t>
      </w:r>
      <w:r w:rsidR="00E71A98" w:rsidRPr="00B07396">
        <w:rPr>
          <w:rFonts w:ascii="Times New Roman" w:hAnsi="Times New Roman"/>
          <w:b/>
          <w:lang w:val="pt-BR"/>
        </w:rPr>
        <w:t>8</w:t>
      </w:r>
      <w:r w:rsidRPr="00B07396">
        <w:rPr>
          <w:rFonts w:ascii="Times New Roman" w:hAnsi="Times New Roman"/>
          <w:b/>
          <w:lang w:val="pt-BR"/>
        </w:rPr>
        <w:t>.</w:t>
      </w:r>
      <w:r w:rsidRPr="00B07396">
        <w:rPr>
          <w:rFonts w:ascii="Times New Roman" w:hAnsi="Times New Roman"/>
          <w:lang w:val="pt-BR"/>
        </w:rPr>
        <w:t xml:space="preserve"> </w:t>
      </w:r>
      <w:r w:rsidR="001127A7" w:rsidRPr="00B07396">
        <w:rPr>
          <w:rFonts w:ascii="Times New Roman" w:hAnsi="Times New Roman"/>
          <w:sz w:val="18"/>
          <w:szCs w:val="18"/>
          <w:lang w:val="pt-BR"/>
        </w:rPr>
        <w:t>Gráfico de Pareto para o volume de poros dos óxidos mistos</w:t>
      </w:r>
    </w:p>
    <w:p w14:paraId="20AA905D" w14:textId="1A5955A4" w:rsidR="00EA4E1B" w:rsidRPr="00B07396" w:rsidRDefault="00EA4E1B" w:rsidP="00124FFC">
      <w:pPr>
        <w:jc w:val="center"/>
        <w:rPr>
          <w:rFonts w:ascii="Times New Roman" w:eastAsiaTheme="majorEastAsia" w:hAnsi="Times New Roman" w:cstheme="majorBidi"/>
          <w:sz w:val="32"/>
          <w:szCs w:val="32"/>
        </w:rPr>
      </w:pPr>
      <w:r w:rsidRPr="00B07396">
        <w:rPr>
          <w:rFonts w:ascii="Helvetica" w:hAnsi="Helvetica" w:cs="Helvetica"/>
          <w:sz w:val="24"/>
          <w:szCs w:val="24"/>
        </w:rPr>
        <w:t>Conclusões</w:t>
      </w:r>
    </w:p>
    <w:p w14:paraId="22477E7E" w14:textId="55013FC8" w:rsidR="00AE4157" w:rsidRPr="00B07396" w:rsidRDefault="00AE4157" w:rsidP="00AE4157">
      <w:pPr>
        <w:pStyle w:val="TAMainText"/>
        <w:ind w:firstLine="187"/>
        <w:rPr>
          <w:rFonts w:ascii="Times New Roman" w:hAnsi="Times New Roman"/>
          <w:lang w:val="pt-BR"/>
        </w:rPr>
      </w:pPr>
      <w:r w:rsidRPr="00B07396">
        <w:rPr>
          <w:rFonts w:ascii="Times New Roman" w:hAnsi="Times New Roman"/>
          <w:lang w:val="pt-BR"/>
        </w:rPr>
        <w:t xml:space="preserve">Foram realizadas sínteses de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de Al, Mg e Co com valor de x de 0,5 e diferentes ânions </w:t>
      </w:r>
      <w:proofErr w:type="spellStart"/>
      <w:r w:rsidRPr="00B07396">
        <w:rPr>
          <w:rFonts w:ascii="Times New Roman" w:hAnsi="Times New Roman"/>
          <w:lang w:val="pt-BR"/>
        </w:rPr>
        <w:t>dicarboxílicos</w:t>
      </w:r>
      <w:proofErr w:type="spellEnd"/>
      <w:r w:rsidRPr="00B07396">
        <w:rPr>
          <w:rFonts w:ascii="Times New Roman" w:hAnsi="Times New Roman"/>
          <w:lang w:val="pt-BR"/>
        </w:rPr>
        <w:t xml:space="preserve">. Foi realizado um fatorial avaliando a temperatura, pH e comprimento do ânion sob a síntese dos </w:t>
      </w:r>
      <w:proofErr w:type="spellStart"/>
      <w:r w:rsidRPr="00B07396">
        <w:rPr>
          <w:rFonts w:ascii="Times New Roman" w:hAnsi="Times New Roman"/>
          <w:lang w:val="pt-BR"/>
        </w:rPr>
        <w:t>HDLs</w:t>
      </w:r>
      <w:proofErr w:type="spellEnd"/>
      <w:r w:rsidRPr="00B07396">
        <w:rPr>
          <w:rFonts w:ascii="Times New Roman" w:hAnsi="Times New Roman"/>
          <w:lang w:val="pt-BR"/>
        </w:rPr>
        <w:t xml:space="preserve"> e dos óxidos mistos correspondentes obtidos por calcinação.</w:t>
      </w:r>
    </w:p>
    <w:p w14:paraId="4A70FE93" w14:textId="30144D1A" w:rsidR="00EA4E1B" w:rsidRPr="00B07396" w:rsidRDefault="00C91EEC" w:rsidP="00AE4157">
      <w:pPr>
        <w:pStyle w:val="TAMainText"/>
        <w:ind w:firstLine="187"/>
        <w:rPr>
          <w:rFonts w:ascii="Times New Roman" w:hAnsi="Times New Roman"/>
          <w:lang w:val="pt-BR"/>
        </w:rPr>
      </w:pPr>
      <w:r w:rsidRPr="00B07396">
        <w:rPr>
          <w:rFonts w:ascii="Times New Roman" w:hAnsi="Times New Roman"/>
          <w:lang w:val="pt-BR"/>
        </w:rPr>
        <w:t xml:space="preserve">A partir das </w:t>
      </w:r>
      <w:r w:rsidR="001D325E" w:rsidRPr="00B07396">
        <w:rPr>
          <w:rFonts w:ascii="Times New Roman" w:hAnsi="Times New Roman"/>
          <w:lang w:val="pt-BR"/>
        </w:rPr>
        <w:t>caracterizações</w:t>
      </w:r>
      <w:r w:rsidRPr="00B07396">
        <w:rPr>
          <w:rFonts w:ascii="Times New Roman" w:hAnsi="Times New Roman"/>
          <w:lang w:val="pt-BR"/>
        </w:rPr>
        <w:t xml:space="preserve"> p</w:t>
      </w:r>
      <w:r w:rsidR="001D325E" w:rsidRPr="00B07396">
        <w:rPr>
          <w:rFonts w:ascii="Times New Roman" w:hAnsi="Times New Roman"/>
          <w:lang w:val="pt-BR"/>
        </w:rPr>
        <w:t>or diferentes técnicas</w:t>
      </w:r>
      <w:r w:rsidR="001F34F2" w:rsidRPr="00B07396">
        <w:rPr>
          <w:rFonts w:ascii="Times New Roman" w:hAnsi="Times New Roman"/>
          <w:lang w:val="pt-BR"/>
        </w:rPr>
        <w:t xml:space="preserve"> foi possível </w:t>
      </w:r>
      <w:r w:rsidR="00AE4157" w:rsidRPr="00B07396">
        <w:rPr>
          <w:rFonts w:ascii="Times New Roman" w:hAnsi="Times New Roman"/>
          <w:lang w:val="pt-BR"/>
        </w:rPr>
        <w:t xml:space="preserve">verificar a formação de </w:t>
      </w:r>
      <w:r w:rsidR="000E2B14" w:rsidRPr="00B07396">
        <w:rPr>
          <w:rFonts w:ascii="Times New Roman" w:hAnsi="Times New Roman"/>
          <w:lang w:val="pt-BR"/>
        </w:rPr>
        <w:t xml:space="preserve">compostos </w:t>
      </w:r>
      <w:proofErr w:type="spellStart"/>
      <w:r w:rsidR="00AE4157" w:rsidRPr="00B07396">
        <w:rPr>
          <w:rFonts w:ascii="Times New Roman" w:hAnsi="Times New Roman"/>
          <w:lang w:val="pt-BR"/>
        </w:rPr>
        <w:t>HDLs</w:t>
      </w:r>
      <w:proofErr w:type="spellEnd"/>
      <w:r w:rsidR="00AE4157" w:rsidRPr="00B07396">
        <w:rPr>
          <w:rFonts w:ascii="Times New Roman" w:hAnsi="Times New Roman"/>
          <w:lang w:val="pt-BR"/>
        </w:rPr>
        <w:t xml:space="preserve"> </w:t>
      </w:r>
      <w:proofErr w:type="spellStart"/>
      <w:proofErr w:type="gramStart"/>
      <w:r w:rsidR="00DE47DA" w:rsidRPr="00B07396">
        <w:rPr>
          <w:rFonts w:ascii="Times New Roman" w:hAnsi="Times New Roman"/>
          <w:lang w:val="pt-BR"/>
        </w:rPr>
        <w:t>semi</w:t>
      </w:r>
      <w:proofErr w:type="spellEnd"/>
      <w:r w:rsidR="00DE47DA" w:rsidRPr="00B07396">
        <w:rPr>
          <w:rFonts w:ascii="Times New Roman" w:hAnsi="Times New Roman"/>
          <w:lang w:val="pt-BR"/>
        </w:rPr>
        <w:t xml:space="preserve"> cristalinos</w:t>
      </w:r>
      <w:proofErr w:type="gramEnd"/>
      <w:r w:rsidR="00CB06EC" w:rsidRPr="00B07396">
        <w:rPr>
          <w:rFonts w:ascii="Times New Roman" w:hAnsi="Times New Roman"/>
          <w:lang w:val="pt-BR"/>
        </w:rPr>
        <w:t xml:space="preserve"> </w:t>
      </w:r>
      <w:r w:rsidR="00AE4157" w:rsidRPr="00B07396">
        <w:rPr>
          <w:rFonts w:ascii="Times New Roman" w:hAnsi="Times New Roman"/>
          <w:lang w:val="pt-BR"/>
        </w:rPr>
        <w:t xml:space="preserve">com a intercalação </w:t>
      </w:r>
      <w:r w:rsidR="00300E65" w:rsidRPr="00B07396">
        <w:rPr>
          <w:rFonts w:ascii="Times New Roman" w:hAnsi="Times New Roman"/>
          <w:lang w:val="pt-BR"/>
        </w:rPr>
        <w:t xml:space="preserve">majoritária </w:t>
      </w:r>
      <w:r w:rsidR="00AE4157" w:rsidRPr="00B07396">
        <w:rPr>
          <w:rFonts w:ascii="Times New Roman" w:hAnsi="Times New Roman"/>
          <w:lang w:val="pt-BR"/>
        </w:rPr>
        <w:t>d</w:t>
      </w:r>
      <w:r w:rsidR="00300E65" w:rsidRPr="00B07396">
        <w:rPr>
          <w:rFonts w:ascii="Times New Roman" w:hAnsi="Times New Roman"/>
          <w:lang w:val="pt-BR"/>
        </w:rPr>
        <w:t>e</w:t>
      </w:r>
      <w:r w:rsidR="00AE4157" w:rsidRPr="00B07396">
        <w:rPr>
          <w:rFonts w:ascii="Times New Roman" w:hAnsi="Times New Roman"/>
          <w:lang w:val="pt-BR"/>
        </w:rPr>
        <w:t xml:space="preserve"> ânions </w:t>
      </w:r>
      <w:proofErr w:type="spellStart"/>
      <w:r w:rsidR="00AE4157" w:rsidRPr="00B07396">
        <w:rPr>
          <w:rFonts w:ascii="Times New Roman" w:hAnsi="Times New Roman"/>
          <w:lang w:val="pt-BR"/>
        </w:rPr>
        <w:t>dicarboxílico</w:t>
      </w:r>
      <w:r w:rsidR="00EA0C40" w:rsidRPr="00B07396">
        <w:rPr>
          <w:rFonts w:ascii="Times New Roman" w:hAnsi="Times New Roman"/>
          <w:lang w:val="pt-BR"/>
        </w:rPr>
        <w:t>s</w:t>
      </w:r>
      <w:proofErr w:type="spellEnd"/>
      <w:r w:rsidR="00767B00" w:rsidRPr="00B07396">
        <w:rPr>
          <w:rFonts w:ascii="Times New Roman" w:hAnsi="Times New Roman"/>
          <w:lang w:val="pt-BR"/>
        </w:rPr>
        <w:t xml:space="preserve">, com </w:t>
      </w:r>
      <w:r w:rsidR="008631BF" w:rsidRPr="00B07396">
        <w:rPr>
          <w:rFonts w:ascii="Times New Roman" w:hAnsi="Times New Roman"/>
          <w:lang w:val="pt-BR"/>
        </w:rPr>
        <w:t>absorções</w:t>
      </w:r>
      <w:r w:rsidR="00767B00" w:rsidRPr="00B07396">
        <w:rPr>
          <w:rFonts w:ascii="Times New Roman" w:hAnsi="Times New Roman"/>
          <w:lang w:val="pt-BR"/>
        </w:rPr>
        <w:t xml:space="preserve"> de FTIR correspondentes a</w:t>
      </w:r>
      <w:r w:rsidR="000216AB" w:rsidRPr="00B07396">
        <w:rPr>
          <w:rFonts w:ascii="Times New Roman" w:hAnsi="Times New Roman"/>
          <w:lang w:val="pt-BR"/>
        </w:rPr>
        <w:t>o ânion utilizado</w:t>
      </w:r>
      <w:r w:rsidR="00CB06EC" w:rsidRPr="00B07396">
        <w:rPr>
          <w:rFonts w:ascii="Times New Roman" w:hAnsi="Times New Roman"/>
          <w:lang w:val="pt-BR"/>
        </w:rPr>
        <w:t xml:space="preserve">. </w:t>
      </w:r>
      <w:r w:rsidR="00C370EF" w:rsidRPr="00B07396">
        <w:rPr>
          <w:rFonts w:ascii="Times New Roman" w:hAnsi="Times New Roman"/>
          <w:lang w:val="pt-BR"/>
        </w:rPr>
        <w:t>No entanto,</w:t>
      </w:r>
      <w:r w:rsidR="00CB06EC" w:rsidRPr="00B07396">
        <w:rPr>
          <w:rFonts w:ascii="Times New Roman" w:hAnsi="Times New Roman"/>
          <w:lang w:val="pt-BR"/>
        </w:rPr>
        <w:t xml:space="preserve"> análises de FTIR verificaram </w:t>
      </w:r>
      <w:r w:rsidR="00C370EF" w:rsidRPr="00B07396">
        <w:rPr>
          <w:rFonts w:ascii="Times New Roman" w:hAnsi="Times New Roman"/>
          <w:lang w:val="pt-BR"/>
        </w:rPr>
        <w:t xml:space="preserve">pequena </w:t>
      </w:r>
      <w:proofErr w:type="gramStart"/>
      <w:r w:rsidR="00C74201" w:rsidRPr="00B07396">
        <w:rPr>
          <w:rFonts w:ascii="Times New Roman" w:hAnsi="Times New Roman"/>
          <w:lang w:val="pt-BR"/>
        </w:rPr>
        <w:t>presença  de</w:t>
      </w:r>
      <w:proofErr w:type="gramEnd"/>
      <w:r w:rsidR="00C74201" w:rsidRPr="00B07396">
        <w:rPr>
          <w:rFonts w:ascii="Times New Roman" w:hAnsi="Times New Roman"/>
          <w:lang w:val="pt-BR"/>
        </w:rPr>
        <w:t xml:space="preserve"> carbonato </w:t>
      </w:r>
      <w:r w:rsidR="00C2222B" w:rsidRPr="00B07396">
        <w:rPr>
          <w:rFonts w:ascii="Times New Roman" w:hAnsi="Times New Roman"/>
          <w:lang w:val="pt-BR"/>
        </w:rPr>
        <w:t xml:space="preserve">nas amostras </w:t>
      </w:r>
      <w:r w:rsidR="00C370EF" w:rsidRPr="00B07396">
        <w:rPr>
          <w:rFonts w:ascii="Times New Roman" w:hAnsi="Times New Roman"/>
          <w:lang w:val="pt-BR"/>
        </w:rPr>
        <w:t xml:space="preserve">sintetizadas no pH de 8,5 </w:t>
      </w:r>
      <w:r w:rsidR="00C2222B" w:rsidRPr="00B07396">
        <w:rPr>
          <w:rFonts w:ascii="Times New Roman" w:hAnsi="Times New Roman"/>
          <w:lang w:val="pt-BR"/>
        </w:rPr>
        <w:t>e ausência</w:t>
      </w:r>
      <w:r w:rsidR="000216AB" w:rsidRPr="00B07396">
        <w:rPr>
          <w:rFonts w:ascii="Times New Roman" w:hAnsi="Times New Roman"/>
          <w:lang w:val="pt-BR"/>
        </w:rPr>
        <w:t xml:space="preserve"> de bandas de </w:t>
      </w:r>
      <w:r w:rsidR="00C74201" w:rsidRPr="00B07396">
        <w:rPr>
          <w:rFonts w:ascii="Times New Roman" w:hAnsi="Times New Roman"/>
          <w:lang w:val="pt-BR"/>
        </w:rPr>
        <w:t xml:space="preserve">outros </w:t>
      </w:r>
      <w:r w:rsidR="000216AB" w:rsidRPr="00B07396">
        <w:rPr>
          <w:rFonts w:ascii="Times New Roman" w:hAnsi="Times New Roman"/>
          <w:lang w:val="pt-BR"/>
        </w:rPr>
        <w:t>contaminantes como nitrato</w:t>
      </w:r>
      <w:r w:rsidR="00AE4157" w:rsidRPr="00B07396">
        <w:rPr>
          <w:rFonts w:ascii="Times New Roman" w:hAnsi="Times New Roman"/>
          <w:lang w:val="pt-BR"/>
        </w:rPr>
        <w:t xml:space="preserve">. </w:t>
      </w:r>
      <w:r w:rsidR="008A282E" w:rsidRPr="00B07396">
        <w:rPr>
          <w:rFonts w:ascii="Times New Roman" w:hAnsi="Times New Roman"/>
          <w:lang w:val="pt-BR"/>
        </w:rPr>
        <w:t xml:space="preserve">O </w:t>
      </w:r>
      <w:r w:rsidR="00AE4157" w:rsidRPr="00B07396">
        <w:rPr>
          <w:rFonts w:ascii="Times New Roman" w:hAnsi="Times New Roman"/>
          <w:lang w:val="pt-BR"/>
        </w:rPr>
        <w:t xml:space="preserve">planejamento fatorial verificou que, após a calcinação, foram obtidos óxidos mistos </w:t>
      </w:r>
      <w:proofErr w:type="spellStart"/>
      <w:r w:rsidR="00AE4157" w:rsidRPr="00B07396">
        <w:rPr>
          <w:rFonts w:ascii="Times New Roman" w:hAnsi="Times New Roman"/>
          <w:lang w:val="pt-BR"/>
        </w:rPr>
        <w:t>mesoporosos</w:t>
      </w:r>
      <w:proofErr w:type="spellEnd"/>
      <w:r w:rsidR="00AE4157" w:rsidRPr="00B07396">
        <w:rPr>
          <w:rFonts w:ascii="Times New Roman" w:hAnsi="Times New Roman"/>
          <w:lang w:val="pt-BR"/>
        </w:rPr>
        <w:t xml:space="preserve"> de elevada área superficial e volume de poros. O comprimento do ânion </w:t>
      </w:r>
      <w:proofErr w:type="spellStart"/>
      <w:r w:rsidR="00AE4157" w:rsidRPr="00B07396">
        <w:rPr>
          <w:rFonts w:ascii="Times New Roman" w:hAnsi="Times New Roman"/>
          <w:lang w:val="pt-BR"/>
        </w:rPr>
        <w:t>dicarboxílico</w:t>
      </w:r>
      <w:proofErr w:type="spellEnd"/>
      <w:r w:rsidR="00AE4157" w:rsidRPr="00B07396">
        <w:rPr>
          <w:rFonts w:ascii="Times New Roman" w:hAnsi="Times New Roman"/>
          <w:lang w:val="pt-BR"/>
        </w:rPr>
        <w:t xml:space="preserve"> utilizado no HDL é capaz de orientar o óxido misto, sendo o fator</w:t>
      </w:r>
      <w:r w:rsidR="005623F8" w:rsidRPr="00B07396">
        <w:rPr>
          <w:rFonts w:ascii="Times New Roman" w:hAnsi="Times New Roman"/>
          <w:lang w:val="pt-BR"/>
        </w:rPr>
        <w:t xml:space="preserve"> </w:t>
      </w:r>
      <w:r w:rsidR="00793187" w:rsidRPr="00B07396">
        <w:rPr>
          <w:rFonts w:ascii="Times New Roman" w:hAnsi="Times New Roman"/>
          <w:lang w:val="pt-BR"/>
        </w:rPr>
        <w:t>signi</w:t>
      </w:r>
      <w:r w:rsidR="005623F8" w:rsidRPr="00B07396">
        <w:rPr>
          <w:rFonts w:ascii="Times New Roman" w:hAnsi="Times New Roman"/>
          <w:lang w:val="pt-BR"/>
        </w:rPr>
        <w:t>ficativo</w:t>
      </w:r>
      <w:r w:rsidR="00AE4157" w:rsidRPr="00B07396">
        <w:rPr>
          <w:rFonts w:ascii="Times New Roman" w:hAnsi="Times New Roman"/>
          <w:lang w:val="pt-BR"/>
        </w:rPr>
        <w:t xml:space="preserve"> nas propriedades texturais do</w:t>
      </w:r>
      <w:r w:rsidR="005623F8" w:rsidRPr="00B07396">
        <w:rPr>
          <w:rFonts w:ascii="Times New Roman" w:hAnsi="Times New Roman"/>
          <w:lang w:val="pt-BR"/>
        </w:rPr>
        <w:t>s</w:t>
      </w:r>
      <w:r w:rsidR="00AE4157" w:rsidRPr="00B07396">
        <w:rPr>
          <w:rFonts w:ascii="Times New Roman" w:hAnsi="Times New Roman"/>
          <w:lang w:val="pt-BR"/>
        </w:rPr>
        <w:t xml:space="preserve"> </w:t>
      </w:r>
      <w:r w:rsidR="005623F8" w:rsidRPr="00B07396">
        <w:rPr>
          <w:rFonts w:ascii="Times New Roman" w:hAnsi="Times New Roman"/>
          <w:lang w:val="pt-BR"/>
        </w:rPr>
        <w:t xml:space="preserve">óxidos </w:t>
      </w:r>
      <w:r w:rsidR="00AE4157" w:rsidRPr="00B07396">
        <w:rPr>
          <w:rFonts w:ascii="Times New Roman" w:hAnsi="Times New Roman"/>
          <w:lang w:val="pt-BR"/>
        </w:rPr>
        <w:t>gerado</w:t>
      </w:r>
      <w:r w:rsidR="005623F8" w:rsidRPr="00B07396">
        <w:rPr>
          <w:rFonts w:ascii="Times New Roman" w:hAnsi="Times New Roman"/>
          <w:lang w:val="pt-BR"/>
        </w:rPr>
        <w:t>s</w:t>
      </w:r>
      <w:r w:rsidR="00AE4157" w:rsidRPr="00B07396">
        <w:rPr>
          <w:rFonts w:ascii="Times New Roman" w:hAnsi="Times New Roman"/>
          <w:lang w:val="pt-BR"/>
        </w:rPr>
        <w:t xml:space="preserve">. </w:t>
      </w:r>
      <w:r w:rsidR="005623F8" w:rsidRPr="00B07396">
        <w:rPr>
          <w:rFonts w:ascii="Times New Roman" w:hAnsi="Times New Roman"/>
          <w:lang w:val="pt-BR"/>
        </w:rPr>
        <w:t>O</w:t>
      </w:r>
      <w:r w:rsidR="00AE4157" w:rsidRPr="00B07396">
        <w:rPr>
          <w:rFonts w:ascii="Times New Roman" w:hAnsi="Times New Roman"/>
          <w:lang w:val="pt-BR"/>
        </w:rPr>
        <w:t xml:space="preserve"> comprimento do ânion também favoreceu a fração cristalina das amostras</w:t>
      </w:r>
      <w:r w:rsidR="008A282E" w:rsidRPr="00B07396">
        <w:rPr>
          <w:rFonts w:ascii="Times New Roman" w:hAnsi="Times New Roman"/>
          <w:lang w:val="pt-BR"/>
        </w:rPr>
        <w:t xml:space="preserve"> de HDL</w:t>
      </w:r>
      <w:r w:rsidR="00AE4157" w:rsidRPr="00B07396">
        <w:rPr>
          <w:rFonts w:ascii="Times New Roman" w:hAnsi="Times New Roman"/>
          <w:lang w:val="pt-BR"/>
        </w:rPr>
        <w:t xml:space="preserve">. </w:t>
      </w:r>
    </w:p>
    <w:p w14:paraId="6D43C308" w14:textId="7A99CB6A" w:rsidR="00241D5A" w:rsidRPr="00B07396" w:rsidRDefault="00241D5A" w:rsidP="00AE4157">
      <w:pPr>
        <w:pStyle w:val="TAMainText"/>
        <w:ind w:firstLine="187"/>
        <w:rPr>
          <w:rFonts w:ascii="Times New Roman" w:hAnsi="Times New Roman"/>
          <w:lang w:val="pt-BR"/>
        </w:rPr>
      </w:pPr>
      <w:r w:rsidRPr="00B07396">
        <w:rPr>
          <w:rFonts w:ascii="Times New Roman" w:hAnsi="Times New Roman"/>
          <w:lang w:val="pt-BR"/>
        </w:rPr>
        <w:t xml:space="preserve">Foi verificado que para a </w:t>
      </w:r>
      <w:r w:rsidR="007042ED" w:rsidRPr="00B07396">
        <w:rPr>
          <w:rFonts w:ascii="Times New Roman" w:hAnsi="Times New Roman"/>
          <w:lang w:val="pt-BR"/>
        </w:rPr>
        <w:t>síntese d</w:t>
      </w:r>
      <w:r w:rsidR="00A57AA5" w:rsidRPr="00B07396">
        <w:rPr>
          <w:rFonts w:ascii="Times New Roman" w:hAnsi="Times New Roman"/>
          <w:lang w:val="pt-BR"/>
        </w:rPr>
        <w:t>os</w:t>
      </w:r>
      <w:r w:rsidR="007042ED" w:rsidRPr="00B07396">
        <w:rPr>
          <w:rFonts w:ascii="Times New Roman" w:hAnsi="Times New Roman"/>
          <w:lang w:val="pt-BR"/>
        </w:rPr>
        <w:t xml:space="preserve"> </w:t>
      </w:r>
      <w:proofErr w:type="spellStart"/>
      <w:r w:rsidR="007042ED" w:rsidRPr="00B07396">
        <w:rPr>
          <w:rFonts w:ascii="Times New Roman" w:hAnsi="Times New Roman"/>
          <w:lang w:val="pt-BR"/>
        </w:rPr>
        <w:t>HDLs</w:t>
      </w:r>
      <w:proofErr w:type="spellEnd"/>
      <w:r w:rsidR="007042ED" w:rsidRPr="00B07396">
        <w:rPr>
          <w:rFonts w:ascii="Times New Roman" w:hAnsi="Times New Roman"/>
          <w:lang w:val="pt-BR"/>
        </w:rPr>
        <w:t xml:space="preserve"> o uso de ânions </w:t>
      </w:r>
      <w:proofErr w:type="spellStart"/>
      <w:r w:rsidR="007042ED" w:rsidRPr="00B07396">
        <w:rPr>
          <w:rFonts w:ascii="Times New Roman" w:hAnsi="Times New Roman"/>
          <w:lang w:val="pt-BR"/>
        </w:rPr>
        <w:t>dicarboxílicos</w:t>
      </w:r>
      <w:proofErr w:type="spellEnd"/>
      <w:r w:rsidR="007042ED" w:rsidRPr="00B07396">
        <w:rPr>
          <w:rFonts w:ascii="Times New Roman" w:hAnsi="Times New Roman"/>
          <w:lang w:val="pt-BR"/>
        </w:rPr>
        <w:t xml:space="preserve"> </w:t>
      </w:r>
      <w:r w:rsidR="00C623A7" w:rsidRPr="00B07396">
        <w:rPr>
          <w:rFonts w:ascii="Times New Roman" w:hAnsi="Times New Roman"/>
          <w:lang w:val="pt-BR"/>
        </w:rPr>
        <w:t xml:space="preserve">de cadeia longa favorece a obtenção de materiais </w:t>
      </w:r>
      <w:r w:rsidR="002A74F1" w:rsidRPr="00B07396">
        <w:rPr>
          <w:rFonts w:ascii="Times New Roman" w:hAnsi="Times New Roman"/>
          <w:lang w:val="pt-BR"/>
        </w:rPr>
        <w:t xml:space="preserve">com </w:t>
      </w:r>
      <w:proofErr w:type="spellStart"/>
      <w:r w:rsidR="002A74F1" w:rsidRPr="00B07396">
        <w:rPr>
          <w:rFonts w:ascii="Times New Roman" w:hAnsi="Times New Roman"/>
          <w:lang w:val="pt-BR"/>
        </w:rPr>
        <w:t>difratogramas</w:t>
      </w:r>
      <w:proofErr w:type="spellEnd"/>
      <w:r w:rsidR="002A74F1" w:rsidRPr="00B07396">
        <w:rPr>
          <w:rFonts w:ascii="Times New Roman" w:hAnsi="Times New Roman"/>
          <w:lang w:val="pt-BR"/>
        </w:rPr>
        <w:t xml:space="preserve"> mais definidos </w:t>
      </w:r>
      <w:r w:rsidR="006218AF" w:rsidRPr="00B07396">
        <w:rPr>
          <w:rFonts w:ascii="Times New Roman" w:hAnsi="Times New Roman"/>
          <w:lang w:val="pt-BR"/>
        </w:rPr>
        <w:t>e</w:t>
      </w:r>
      <w:r w:rsidR="00153079" w:rsidRPr="00B07396">
        <w:rPr>
          <w:rFonts w:ascii="Times New Roman" w:hAnsi="Times New Roman"/>
          <w:lang w:val="pt-BR"/>
        </w:rPr>
        <w:t xml:space="preserve"> obtenção de óxidos mistos de área superficial e volume de poros elevados após calcinação.</w:t>
      </w:r>
    </w:p>
    <w:p w14:paraId="6BE32F7B" w14:textId="4F456A38" w:rsidR="00EA4E1B" w:rsidRPr="00B07396" w:rsidRDefault="00EA4E1B" w:rsidP="00EA4E1B">
      <w:pPr>
        <w:pStyle w:val="Ttulo2"/>
        <w:rPr>
          <w:rFonts w:ascii="Helvetica" w:hAnsi="Helvetica" w:cs="Helvetica"/>
          <w:sz w:val="24"/>
          <w:szCs w:val="24"/>
        </w:rPr>
      </w:pPr>
      <w:r w:rsidRPr="00B07396">
        <w:rPr>
          <w:rFonts w:ascii="Helvetica" w:hAnsi="Helvetica" w:cs="Helvetica"/>
          <w:sz w:val="24"/>
          <w:szCs w:val="24"/>
        </w:rPr>
        <w:t>Agradecimentos</w:t>
      </w:r>
    </w:p>
    <w:p w14:paraId="721BC05D" w14:textId="77777777" w:rsidR="00E72CEB" w:rsidRPr="00B07396" w:rsidRDefault="00E4710C" w:rsidP="00EA4E1B">
      <w:pPr>
        <w:pStyle w:val="Ttulo2"/>
        <w:rPr>
          <w:rFonts w:ascii="Helvetica" w:hAnsi="Helvetica" w:cs="Helvetica"/>
          <w:sz w:val="24"/>
          <w:szCs w:val="24"/>
        </w:rPr>
      </w:pPr>
      <w:r w:rsidRPr="00B07396">
        <w:rPr>
          <w:noProof/>
          <w:lang w:eastAsia="pt-BR"/>
        </w:rPr>
        <w:drawing>
          <wp:inline distT="0" distB="0" distL="0" distR="0" wp14:anchorId="44B51A71" wp14:editId="4DEEF341">
            <wp:extent cx="2267712" cy="1548616"/>
            <wp:effectExtent l="0" t="0" r="0" b="0"/>
            <wp:docPr id="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9276" cy="1577000"/>
                    </a:xfrm>
                    <a:prstGeom prst="rect">
                      <a:avLst/>
                    </a:prstGeom>
                    <a:noFill/>
                    <a:ln>
                      <a:noFill/>
                    </a:ln>
                  </pic:spPr>
                </pic:pic>
              </a:graphicData>
            </a:graphic>
          </wp:inline>
        </w:drawing>
      </w:r>
    </w:p>
    <w:p w14:paraId="761D02FD" w14:textId="77777777" w:rsidR="00B05CD7" w:rsidRPr="00B07396" w:rsidRDefault="00B05CD7" w:rsidP="00EA4E1B">
      <w:pPr>
        <w:pStyle w:val="Ttulo2"/>
        <w:rPr>
          <w:rFonts w:ascii="Helvetica" w:hAnsi="Helvetica" w:cs="Helvetica"/>
          <w:sz w:val="24"/>
          <w:szCs w:val="24"/>
        </w:rPr>
      </w:pPr>
    </w:p>
    <w:p w14:paraId="1EAAA287" w14:textId="5AA13938" w:rsidR="00EA4E1B" w:rsidRPr="00B07396" w:rsidRDefault="00EA4E1B" w:rsidP="00EA4E1B">
      <w:pPr>
        <w:pStyle w:val="Ttulo2"/>
        <w:rPr>
          <w:rFonts w:ascii="Helvetica" w:hAnsi="Helvetica" w:cs="Helvetica"/>
          <w:sz w:val="24"/>
          <w:szCs w:val="24"/>
        </w:rPr>
      </w:pPr>
      <w:r w:rsidRPr="00B07396">
        <w:rPr>
          <w:rFonts w:ascii="Helvetica" w:hAnsi="Helvetica" w:cs="Helvetica"/>
          <w:sz w:val="24"/>
          <w:szCs w:val="24"/>
        </w:rPr>
        <w:t>Referências</w:t>
      </w:r>
    </w:p>
    <w:p w14:paraId="577C5DE9" w14:textId="77777777" w:rsidR="00762F88" w:rsidRPr="00B07396" w:rsidRDefault="00762F88" w:rsidP="00EA4E1B">
      <w:pPr>
        <w:pStyle w:val="TAMainText"/>
        <w:ind w:firstLine="0"/>
        <w:rPr>
          <w:rFonts w:ascii="Times New Roman" w:hAnsi="Times New Roman"/>
          <w:lang w:val="pt-BR"/>
        </w:rPr>
      </w:pPr>
    </w:p>
    <w:p w14:paraId="3E68950F" w14:textId="77777777" w:rsidR="00D67E9E" w:rsidRPr="00B07396" w:rsidRDefault="00D67E9E" w:rsidP="00EA4E1B">
      <w:pPr>
        <w:pStyle w:val="TAMainText"/>
        <w:ind w:firstLine="0"/>
        <w:rPr>
          <w:rFonts w:ascii="Times New Roman" w:hAnsi="Times New Roman"/>
          <w:lang w:val="pt-BR"/>
        </w:rPr>
      </w:pPr>
    </w:p>
    <w:p w14:paraId="2565432C" w14:textId="68597150" w:rsidR="00FD0753" w:rsidRPr="00B07396" w:rsidRDefault="00FD0753" w:rsidP="00FD0753">
      <w:pPr>
        <w:pStyle w:val="TAMainText"/>
        <w:numPr>
          <w:ilvl w:val="0"/>
          <w:numId w:val="1"/>
        </w:numPr>
        <w:rPr>
          <w:lang w:val="pt-BR"/>
        </w:rPr>
      </w:pPr>
      <w:r w:rsidRPr="00B07396">
        <w:rPr>
          <w:lang w:val="pt-BR"/>
        </w:rPr>
        <w:t xml:space="preserve">Cavani, F., </w:t>
      </w:r>
      <w:proofErr w:type="spellStart"/>
      <w:r w:rsidRPr="00B07396">
        <w:rPr>
          <w:lang w:val="pt-BR"/>
        </w:rPr>
        <w:t>Trifirò</w:t>
      </w:r>
      <w:proofErr w:type="spellEnd"/>
      <w:r w:rsidRPr="00B07396">
        <w:rPr>
          <w:lang w:val="pt-BR"/>
        </w:rPr>
        <w:t xml:space="preserve">, F. &amp; Vaccari; Catal. Today </w:t>
      </w:r>
      <w:r w:rsidRPr="00B07396">
        <w:rPr>
          <w:b/>
          <w:bCs/>
          <w:lang w:val="pt-BR"/>
        </w:rPr>
        <w:t>1991</w:t>
      </w:r>
      <w:r w:rsidRPr="00B07396">
        <w:rPr>
          <w:lang w:val="pt-BR"/>
        </w:rPr>
        <w:t>, 11, 173–301.</w:t>
      </w:r>
    </w:p>
    <w:p w14:paraId="38CEBE09" w14:textId="71F87FF7" w:rsidR="00FD0753" w:rsidRPr="00B07396" w:rsidRDefault="00FD0753" w:rsidP="00FD0753">
      <w:pPr>
        <w:pStyle w:val="TAMainText"/>
        <w:numPr>
          <w:ilvl w:val="0"/>
          <w:numId w:val="1"/>
        </w:numPr>
      </w:pPr>
      <w:r w:rsidRPr="00B07396">
        <w:t xml:space="preserve">Park, S., Kwon, D., Kang, J. Y. &amp; Jung, J. C; Green Energy Environ. </w:t>
      </w:r>
      <w:r w:rsidRPr="00B07396">
        <w:rPr>
          <w:b/>
          <w:bCs/>
        </w:rPr>
        <w:t>2019</w:t>
      </w:r>
      <w:r w:rsidRPr="00B07396">
        <w:t>, 4, 287–292.</w:t>
      </w:r>
    </w:p>
    <w:p w14:paraId="6E5D2AF2" w14:textId="39C1CED0" w:rsidR="00FD0753" w:rsidRPr="00B07396" w:rsidRDefault="00FD0753" w:rsidP="00FD0753">
      <w:pPr>
        <w:pStyle w:val="TAMainText"/>
        <w:numPr>
          <w:ilvl w:val="0"/>
          <w:numId w:val="1"/>
        </w:numPr>
      </w:pPr>
      <w:r w:rsidRPr="00B07396">
        <w:t>Duan, X., et al; Layered Double Hydroxides. Layered Double Hydroxides, Springer, Berlin, 2006</w:t>
      </w:r>
    </w:p>
    <w:p w14:paraId="0745714A" w14:textId="2F97CA69" w:rsidR="00FD0753" w:rsidRPr="00B07396" w:rsidRDefault="00FD0753" w:rsidP="00FD0753">
      <w:pPr>
        <w:pStyle w:val="TAMainText"/>
        <w:numPr>
          <w:ilvl w:val="0"/>
          <w:numId w:val="1"/>
        </w:numPr>
      </w:pPr>
      <w:r w:rsidRPr="00B07396">
        <w:t xml:space="preserve">Brindley, G. W. &amp; </w:t>
      </w:r>
      <w:proofErr w:type="spellStart"/>
      <w:r w:rsidRPr="00B07396">
        <w:t>Kikkawa</w:t>
      </w:r>
      <w:proofErr w:type="spellEnd"/>
      <w:r w:rsidRPr="00B07396">
        <w:t xml:space="preserve">, S; Am. Mineral. </w:t>
      </w:r>
      <w:r w:rsidR="008C1E86" w:rsidRPr="00B07396">
        <w:rPr>
          <w:b/>
          <w:bCs/>
        </w:rPr>
        <w:t>1979</w:t>
      </w:r>
      <w:r w:rsidR="008C1E86" w:rsidRPr="00B07396">
        <w:t xml:space="preserve">, </w:t>
      </w:r>
      <w:r w:rsidRPr="00B07396">
        <w:t>64, 836–843.</w:t>
      </w:r>
    </w:p>
    <w:p w14:paraId="0E17E29A" w14:textId="74F45577" w:rsidR="00FD0753" w:rsidRPr="00B07396" w:rsidRDefault="00FD0753" w:rsidP="00FD0753">
      <w:pPr>
        <w:pStyle w:val="TAMainText"/>
        <w:numPr>
          <w:ilvl w:val="0"/>
          <w:numId w:val="1"/>
        </w:numPr>
        <w:rPr>
          <w:lang w:val="pt-BR"/>
        </w:rPr>
      </w:pPr>
      <w:r w:rsidRPr="00B07396">
        <w:rPr>
          <w:lang w:val="pt-BR"/>
        </w:rPr>
        <w:t xml:space="preserve">Aguilera, L. J., Palacio, L. A. &amp; Faro Jr., A. C; </w:t>
      </w:r>
      <w:proofErr w:type="spellStart"/>
      <w:r w:rsidRPr="00B07396">
        <w:rPr>
          <w:lang w:val="pt-BR"/>
        </w:rPr>
        <w:t>Appl</w:t>
      </w:r>
      <w:proofErr w:type="spellEnd"/>
      <w:r w:rsidRPr="00B07396">
        <w:rPr>
          <w:lang w:val="pt-BR"/>
        </w:rPr>
        <w:t xml:space="preserve">. Clay </w:t>
      </w:r>
      <w:proofErr w:type="spellStart"/>
      <w:r w:rsidRPr="00B07396">
        <w:rPr>
          <w:lang w:val="pt-BR"/>
        </w:rPr>
        <w:t>Sci</w:t>
      </w:r>
      <w:proofErr w:type="spellEnd"/>
      <w:r w:rsidRPr="00B07396">
        <w:rPr>
          <w:lang w:val="pt-BR"/>
        </w:rPr>
        <w:t xml:space="preserve">. </w:t>
      </w:r>
      <w:r w:rsidRPr="00B07396">
        <w:rPr>
          <w:b/>
          <w:bCs/>
          <w:lang w:val="pt-BR"/>
        </w:rPr>
        <w:t>2019</w:t>
      </w:r>
      <w:r w:rsidRPr="00B07396">
        <w:rPr>
          <w:lang w:val="pt-BR"/>
        </w:rPr>
        <w:t>, 176, 29–37.</w:t>
      </w:r>
    </w:p>
    <w:p w14:paraId="455CE2B2" w14:textId="6D3CF881" w:rsidR="00FD0753" w:rsidRPr="00B07396" w:rsidRDefault="00FD0753" w:rsidP="00FD0753">
      <w:pPr>
        <w:pStyle w:val="TAMainText"/>
        <w:numPr>
          <w:ilvl w:val="0"/>
          <w:numId w:val="1"/>
        </w:numPr>
        <w:rPr>
          <w:lang w:val="pt-BR"/>
        </w:rPr>
      </w:pPr>
      <w:r w:rsidRPr="00B07396">
        <w:rPr>
          <w:lang w:val="pt-BR"/>
        </w:rPr>
        <w:t xml:space="preserve">Coelho, T. L., Licea, Y. E., Palacio, L. A. &amp; Faro, A. C; Catal. Today </w:t>
      </w:r>
      <w:r w:rsidRPr="00B07396">
        <w:rPr>
          <w:b/>
          <w:bCs/>
          <w:lang w:val="pt-BR"/>
        </w:rPr>
        <w:t>2015</w:t>
      </w:r>
      <w:r w:rsidRPr="00B07396">
        <w:rPr>
          <w:lang w:val="pt-BR"/>
        </w:rPr>
        <w:t>, 250, 38–46.</w:t>
      </w:r>
    </w:p>
    <w:p w14:paraId="35D1A763" w14:textId="206B3ED3" w:rsidR="009578BA" w:rsidRPr="00B07396" w:rsidRDefault="00800137" w:rsidP="00FD0753">
      <w:pPr>
        <w:pStyle w:val="TAMainText"/>
        <w:numPr>
          <w:ilvl w:val="0"/>
          <w:numId w:val="1"/>
        </w:numPr>
      </w:pPr>
      <w:proofErr w:type="spellStart"/>
      <w:r w:rsidRPr="00B07396">
        <w:t>Brunauer</w:t>
      </w:r>
      <w:proofErr w:type="spellEnd"/>
      <w:r w:rsidRPr="00B07396">
        <w:t xml:space="preserve"> S, Deming LS, Deming WE, Teller E; J Am Chem Soc </w:t>
      </w:r>
      <w:r w:rsidRPr="00B07396">
        <w:rPr>
          <w:b/>
          <w:bCs/>
        </w:rPr>
        <w:t>1940</w:t>
      </w:r>
      <w:r w:rsidRPr="00B07396">
        <w:t>, 62:1723–1732</w:t>
      </w:r>
      <w:r w:rsidR="0050241B" w:rsidRPr="00B07396">
        <w:t>.</w:t>
      </w:r>
    </w:p>
    <w:p w14:paraId="202CAE5A" w14:textId="03EC6F01" w:rsidR="00C9167A" w:rsidRPr="00B07396" w:rsidRDefault="0050241B" w:rsidP="00FD0753">
      <w:pPr>
        <w:pStyle w:val="TAMainText"/>
        <w:numPr>
          <w:ilvl w:val="0"/>
          <w:numId w:val="1"/>
        </w:numPr>
      </w:pPr>
      <w:r w:rsidRPr="00B07396">
        <w:t xml:space="preserve">Barrett EP, Joyner LG, </w:t>
      </w:r>
      <w:proofErr w:type="spellStart"/>
      <w:r w:rsidRPr="00B07396">
        <w:t>Halenda</w:t>
      </w:r>
      <w:proofErr w:type="spellEnd"/>
      <w:r w:rsidRPr="00B07396">
        <w:t xml:space="preserve"> PP; J Am Chem Soc </w:t>
      </w:r>
      <w:r w:rsidRPr="00B07396">
        <w:rPr>
          <w:b/>
          <w:bCs/>
        </w:rPr>
        <w:t>1951</w:t>
      </w:r>
      <w:r w:rsidRPr="00B07396">
        <w:t>, 73:373–380.</w:t>
      </w:r>
    </w:p>
    <w:p w14:paraId="17719BB6" w14:textId="37A25274" w:rsidR="00FD0753" w:rsidRPr="00B07396" w:rsidRDefault="00FD0753" w:rsidP="00FD0753">
      <w:pPr>
        <w:pStyle w:val="TAMainText"/>
        <w:numPr>
          <w:ilvl w:val="0"/>
          <w:numId w:val="1"/>
        </w:numPr>
      </w:pPr>
      <w:r w:rsidRPr="00B07396">
        <w:t xml:space="preserve">Greenwell, H. C., Marsden, C. C. &amp; Jones, W; Green Chem. </w:t>
      </w:r>
      <w:r w:rsidRPr="00B07396">
        <w:rPr>
          <w:b/>
          <w:bCs/>
        </w:rPr>
        <w:t>2007</w:t>
      </w:r>
      <w:r w:rsidRPr="00B07396">
        <w:t>, 9, 1299.</w:t>
      </w:r>
    </w:p>
    <w:p w14:paraId="7C6F4ECF" w14:textId="41886788" w:rsidR="00FD0753" w:rsidRPr="00B07396" w:rsidRDefault="00FD0753" w:rsidP="00FD0753">
      <w:pPr>
        <w:pStyle w:val="TAMainText"/>
        <w:numPr>
          <w:ilvl w:val="0"/>
          <w:numId w:val="1"/>
        </w:numPr>
      </w:pPr>
      <w:r w:rsidRPr="00B07396">
        <w:t xml:space="preserve">Du, X., Wang, Y., </w:t>
      </w:r>
      <w:proofErr w:type="spellStart"/>
      <w:r w:rsidRPr="00B07396">
        <w:t>Su</w:t>
      </w:r>
      <w:proofErr w:type="spellEnd"/>
      <w:r w:rsidRPr="00B07396">
        <w:t xml:space="preserve">, X. &amp; Li, J; Powder Technol. </w:t>
      </w:r>
      <w:r w:rsidRPr="00B07396">
        <w:rPr>
          <w:b/>
          <w:bCs/>
        </w:rPr>
        <w:t>2009</w:t>
      </w:r>
      <w:r w:rsidRPr="00B07396">
        <w:t>, 192, 40–46.</w:t>
      </w:r>
    </w:p>
    <w:p w14:paraId="1609366D" w14:textId="2BAB712C" w:rsidR="009913AE" w:rsidRPr="00B07396" w:rsidRDefault="00A50A68" w:rsidP="00FD0753">
      <w:pPr>
        <w:pStyle w:val="TAMainText"/>
        <w:numPr>
          <w:ilvl w:val="0"/>
          <w:numId w:val="1"/>
        </w:numPr>
      </w:pPr>
      <w:r w:rsidRPr="00B07396">
        <w:t xml:space="preserve">Cao Y, Zheng D, Dong S; J </w:t>
      </w:r>
      <w:proofErr w:type="spellStart"/>
      <w:r w:rsidRPr="00B07396">
        <w:t>Electrochem</w:t>
      </w:r>
      <w:proofErr w:type="spellEnd"/>
      <w:r w:rsidRPr="00B07396">
        <w:t xml:space="preserve"> Soc. </w:t>
      </w:r>
      <w:r w:rsidRPr="00B07396">
        <w:rPr>
          <w:b/>
          <w:bCs/>
        </w:rPr>
        <w:t>2019</w:t>
      </w:r>
      <w:r w:rsidRPr="00B07396">
        <w:t>, 166, C3106-C3113.</w:t>
      </w:r>
    </w:p>
    <w:p w14:paraId="552F5628" w14:textId="5E3BF22C" w:rsidR="00FD0753" w:rsidRPr="00B07396" w:rsidRDefault="00FD0753" w:rsidP="00FD0753">
      <w:pPr>
        <w:pStyle w:val="TAMainText"/>
        <w:numPr>
          <w:ilvl w:val="0"/>
          <w:numId w:val="1"/>
        </w:numPr>
      </w:pPr>
      <w:r w:rsidRPr="00B07396">
        <w:t xml:space="preserve">Herrero, M., </w:t>
      </w:r>
      <w:proofErr w:type="spellStart"/>
      <w:r w:rsidRPr="00B07396">
        <w:t>Labajos</w:t>
      </w:r>
      <w:proofErr w:type="spellEnd"/>
      <w:r w:rsidRPr="00B07396">
        <w:t xml:space="preserve">, F. M. &amp; Rives, V; Appl. Clay Sci. </w:t>
      </w:r>
      <w:r w:rsidRPr="00B07396">
        <w:rPr>
          <w:b/>
          <w:bCs/>
        </w:rPr>
        <w:t>2009</w:t>
      </w:r>
      <w:r w:rsidRPr="00B07396">
        <w:t>, 42, 510–518.</w:t>
      </w:r>
    </w:p>
    <w:p w14:paraId="14091938" w14:textId="310DC8D8" w:rsidR="00FD0753" w:rsidRPr="00B07396" w:rsidRDefault="00FD0753" w:rsidP="00FD0753">
      <w:pPr>
        <w:pStyle w:val="TAMainText"/>
        <w:numPr>
          <w:ilvl w:val="0"/>
          <w:numId w:val="1"/>
        </w:numPr>
      </w:pPr>
      <w:r w:rsidRPr="00B07396">
        <w:t xml:space="preserve">M. </w:t>
      </w:r>
      <w:proofErr w:type="spellStart"/>
      <w:r w:rsidRPr="00B07396">
        <w:t>Thommes</w:t>
      </w:r>
      <w:proofErr w:type="spellEnd"/>
      <w:r w:rsidRPr="00B07396">
        <w:t xml:space="preserve">, K. Kaneko, A. V. </w:t>
      </w:r>
      <w:proofErr w:type="spellStart"/>
      <w:r w:rsidRPr="00B07396">
        <w:t>Neimark</w:t>
      </w:r>
      <w:proofErr w:type="spellEnd"/>
      <w:r w:rsidRPr="00B07396">
        <w:t>, J. P. Olivier, F. Rodriguez-</w:t>
      </w:r>
      <w:proofErr w:type="spellStart"/>
      <w:r w:rsidRPr="00B07396">
        <w:t>Reinoso</w:t>
      </w:r>
      <w:proofErr w:type="spellEnd"/>
      <w:r w:rsidRPr="00B07396">
        <w:t xml:space="preserve">, J. </w:t>
      </w:r>
      <w:proofErr w:type="spellStart"/>
      <w:r w:rsidRPr="00B07396">
        <w:t>Rouquerol</w:t>
      </w:r>
      <w:proofErr w:type="spellEnd"/>
      <w:r w:rsidRPr="00B07396">
        <w:t xml:space="preserve">, and K. S. W. Sing; Pure Appl. Chem. </w:t>
      </w:r>
      <w:r w:rsidRPr="00B07396">
        <w:rPr>
          <w:b/>
          <w:bCs/>
        </w:rPr>
        <w:t>2015</w:t>
      </w:r>
      <w:r w:rsidRPr="00B07396">
        <w:t>, 87, 1051.</w:t>
      </w:r>
    </w:p>
    <w:p w14:paraId="3C194745" w14:textId="295FEDE1" w:rsidR="00FD0753" w:rsidRPr="00B07396" w:rsidRDefault="00FD0753" w:rsidP="00FD0753">
      <w:pPr>
        <w:pStyle w:val="TAMainText"/>
        <w:numPr>
          <w:ilvl w:val="0"/>
          <w:numId w:val="1"/>
        </w:numPr>
      </w:pPr>
      <w:r w:rsidRPr="00B07396">
        <w:t xml:space="preserve">Robert M. Silverstein, Francis X. Webster, David J. </w:t>
      </w:r>
      <w:proofErr w:type="spellStart"/>
      <w:r w:rsidRPr="00B07396">
        <w:t>Kiemle</w:t>
      </w:r>
      <w:proofErr w:type="spellEnd"/>
      <w:r w:rsidRPr="00B07396">
        <w:t>, D. L. B. Spectrometric Identification of Organic Compounds, John Wiley &amp; Sons, Inc., New York, 2014.</w:t>
      </w:r>
    </w:p>
    <w:p w14:paraId="58716424" w14:textId="1492D5AD" w:rsidR="007B4B2B" w:rsidRPr="00B07396" w:rsidRDefault="00FD0753" w:rsidP="00EA4E1B">
      <w:pPr>
        <w:pStyle w:val="TAMainText"/>
        <w:numPr>
          <w:ilvl w:val="0"/>
          <w:numId w:val="1"/>
        </w:numPr>
        <w:rPr>
          <w:rFonts w:ascii="Times New Roman" w:hAnsi="Times New Roman"/>
        </w:rPr>
      </w:pPr>
      <w:proofErr w:type="spellStart"/>
      <w:r w:rsidRPr="00B07396">
        <w:t>Boclair</w:t>
      </w:r>
      <w:proofErr w:type="spellEnd"/>
      <w:r w:rsidRPr="00B07396">
        <w:t xml:space="preserve">, J. W. &amp; </w:t>
      </w:r>
      <w:proofErr w:type="spellStart"/>
      <w:r w:rsidRPr="00B07396">
        <w:t>Braterman</w:t>
      </w:r>
      <w:proofErr w:type="spellEnd"/>
      <w:r w:rsidRPr="00B07396">
        <w:t xml:space="preserve">, P. S; Chem. Mater. </w:t>
      </w:r>
      <w:r w:rsidRPr="00B07396">
        <w:rPr>
          <w:b/>
          <w:bCs/>
        </w:rPr>
        <w:t>1999</w:t>
      </w:r>
      <w:r w:rsidRPr="00B07396">
        <w:t>, 11, 298–302.</w:t>
      </w:r>
    </w:p>
    <w:p w14:paraId="3BB9FB51" w14:textId="77777777" w:rsidR="00A1131B" w:rsidRDefault="00A1131B" w:rsidP="00A1131B">
      <w:pPr>
        <w:pStyle w:val="TAMainText"/>
        <w:ind w:firstLine="0"/>
        <w:rPr>
          <w:rFonts w:ascii="Times New Roman" w:hAnsi="Times New Roman"/>
        </w:rPr>
      </w:pPr>
    </w:p>
    <w:p w14:paraId="42A094F8" w14:textId="77777777" w:rsidR="00A1131B" w:rsidRDefault="00A1131B" w:rsidP="00A1131B">
      <w:pPr>
        <w:pStyle w:val="TAMainText"/>
        <w:ind w:firstLine="0"/>
        <w:rPr>
          <w:rFonts w:ascii="Times New Roman" w:hAnsi="Times New Roman"/>
        </w:rPr>
      </w:pPr>
    </w:p>
    <w:p w14:paraId="4D667192" w14:textId="77777777" w:rsidR="00A1131B" w:rsidRPr="00862A3F" w:rsidRDefault="00A1131B" w:rsidP="00935645">
      <w:pPr>
        <w:pStyle w:val="TAMainText"/>
        <w:ind w:firstLine="0"/>
        <w:rPr>
          <w:rFonts w:ascii="Times New Roman" w:hAnsi="Times New Roman"/>
        </w:rPr>
      </w:pPr>
    </w:p>
    <w:sectPr w:rsidR="00A1131B" w:rsidRPr="00862A3F"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E990" w14:textId="77777777" w:rsidR="009B4B37" w:rsidRDefault="009B4B37" w:rsidP="00EA4E1B">
      <w:pPr>
        <w:spacing w:after="0" w:line="240" w:lineRule="auto"/>
      </w:pPr>
      <w:r>
        <w:separator/>
      </w:r>
    </w:p>
  </w:endnote>
  <w:endnote w:type="continuationSeparator" w:id="0">
    <w:p w14:paraId="16547D43" w14:textId="77777777" w:rsidR="009B4B37" w:rsidRDefault="009B4B37"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B2C7" w14:textId="77777777" w:rsidR="009B4B37" w:rsidRDefault="009B4B37" w:rsidP="00EA4E1B">
      <w:pPr>
        <w:spacing w:after="0" w:line="240" w:lineRule="auto"/>
      </w:pPr>
      <w:r>
        <w:separator/>
      </w:r>
    </w:p>
  </w:footnote>
  <w:footnote w:type="continuationSeparator" w:id="0">
    <w:p w14:paraId="55B7B3FA" w14:textId="77777777" w:rsidR="009B4B37" w:rsidRDefault="009B4B37"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43583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13818"/>
    <w:rsid w:val="000216AB"/>
    <w:rsid w:val="00024033"/>
    <w:rsid w:val="0002523A"/>
    <w:rsid w:val="00053823"/>
    <w:rsid w:val="000572D6"/>
    <w:rsid w:val="00061A72"/>
    <w:rsid w:val="00061CEC"/>
    <w:rsid w:val="00062281"/>
    <w:rsid w:val="00067386"/>
    <w:rsid w:val="00074297"/>
    <w:rsid w:val="00075AF4"/>
    <w:rsid w:val="000763E3"/>
    <w:rsid w:val="00082E86"/>
    <w:rsid w:val="00083442"/>
    <w:rsid w:val="00086C63"/>
    <w:rsid w:val="000A386E"/>
    <w:rsid w:val="000A3F2E"/>
    <w:rsid w:val="000B0E09"/>
    <w:rsid w:val="000B4370"/>
    <w:rsid w:val="000B72EE"/>
    <w:rsid w:val="000D2045"/>
    <w:rsid w:val="000D2C4C"/>
    <w:rsid w:val="000D4D55"/>
    <w:rsid w:val="000D5AB3"/>
    <w:rsid w:val="000D5EB2"/>
    <w:rsid w:val="000E2B14"/>
    <w:rsid w:val="000E2DF4"/>
    <w:rsid w:val="000E7DA1"/>
    <w:rsid w:val="000F1D24"/>
    <w:rsid w:val="000F290A"/>
    <w:rsid w:val="000F7432"/>
    <w:rsid w:val="00104256"/>
    <w:rsid w:val="001127A7"/>
    <w:rsid w:val="0011325C"/>
    <w:rsid w:val="00122335"/>
    <w:rsid w:val="00124A3F"/>
    <w:rsid w:val="00124FFC"/>
    <w:rsid w:val="00131BDF"/>
    <w:rsid w:val="001376A0"/>
    <w:rsid w:val="0013781A"/>
    <w:rsid w:val="001451E7"/>
    <w:rsid w:val="001455F5"/>
    <w:rsid w:val="001528D6"/>
    <w:rsid w:val="00153079"/>
    <w:rsid w:val="00155864"/>
    <w:rsid w:val="00156A78"/>
    <w:rsid w:val="0016268B"/>
    <w:rsid w:val="00167F88"/>
    <w:rsid w:val="001903E9"/>
    <w:rsid w:val="0019571E"/>
    <w:rsid w:val="001A2BF1"/>
    <w:rsid w:val="001B06B2"/>
    <w:rsid w:val="001B2687"/>
    <w:rsid w:val="001B2DED"/>
    <w:rsid w:val="001C3E08"/>
    <w:rsid w:val="001D0A1B"/>
    <w:rsid w:val="001D325E"/>
    <w:rsid w:val="001D6ADA"/>
    <w:rsid w:val="001E58A9"/>
    <w:rsid w:val="001F25B2"/>
    <w:rsid w:val="001F32F0"/>
    <w:rsid w:val="001F34F2"/>
    <w:rsid w:val="001F7B1F"/>
    <w:rsid w:val="00200089"/>
    <w:rsid w:val="00201E5A"/>
    <w:rsid w:val="00206552"/>
    <w:rsid w:val="0021020A"/>
    <w:rsid w:val="00210CAF"/>
    <w:rsid w:val="00210F1C"/>
    <w:rsid w:val="00211F20"/>
    <w:rsid w:val="00221626"/>
    <w:rsid w:val="00222230"/>
    <w:rsid w:val="00230A94"/>
    <w:rsid w:val="00241583"/>
    <w:rsid w:val="00241D5A"/>
    <w:rsid w:val="002441BF"/>
    <w:rsid w:val="002474B9"/>
    <w:rsid w:val="00250181"/>
    <w:rsid w:val="0025721F"/>
    <w:rsid w:val="002664AD"/>
    <w:rsid w:val="00271BF3"/>
    <w:rsid w:val="00274E65"/>
    <w:rsid w:val="00277B6D"/>
    <w:rsid w:val="00286698"/>
    <w:rsid w:val="00296938"/>
    <w:rsid w:val="00296C29"/>
    <w:rsid w:val="0029780E"/>
    <w:rsid w:val="00297A9A"/>
    <w:rsid w:val="002A52F8"/>
    <w:rsid w:val="002A74F1"/>
    <w:rsid w:val="002B1718"/>
    <w:rsid w:val="002B2711"/>
    <w:rsid w:val="002B6E7D"/>
    <w:rsid w:val="002C223F"/>
    <w:rsid w:val="002C2D58"/>
    <w:rsid w:val="002C7352"/>
    <w:rsid w:val="002D47DC"/>
    <w:rsid w:val="002D6534"/>
    <w:rsid w:val="002E40B7"/>
    <w:rsid w:val="002E451E"/>
    <w:rsid w:val="002E6207"/>
    <w:rsid w:val="002E6BFF"/>
    <w:rsid w:val="002F1D05"/>
    <w:rsid w:val="002F4C88"/>
    <w:rsid w:val="00300E65"/>
    <w:rsid w:val="003136CA"/>
    <w:rsid w:val="00313A97"/>
    <w:rsid w:val="00315B8A"/>
    <w:rsid w:val="00315F77"/>
    <w:rsid w:val="0031633D"/>
    <w:rsid w:val="00322856"/>
    <w:rsid w:val="0032423F"/>
    <w:rsid w:val="00326C9C"/>
    <w:rsid w:val="00333C00"/>
    <w:rsid w:val="00336B82"/>
    <w:rsid w:val="00340B1E"/>
    <w:rsid w:val="003420ED"/>
    <w:rsid w:val="00356662"/>
    <w:rsid w:val="00364E8E"/>
    <w:rsid w:val="00373F74"/>
    <w:rsid w:val="0037483B"/>
    <w:rsid w:val="00383742"/>
    <w:rsid w:val="003842BB"/>
    <w:rsid w:val="003B0555"/>
    <w:rsid w:val="003B1D54"/>
    <w:rsid w:val="003C741C"/>
    <w:rsid w:val="003D133A"/>
    <w:rsid w:val="003D64AF"/>
    <w:rsid w:val="003F13C0"/>
    <w:rsid w:val="003F5645"/>
    <w:rsid w:val="003F5933"/>
    <w:rsid w:val="00402EEB"/>
    <w:rsid w:val="00402F3E"/>
    <w:rsid w:val="00407CE1"/>
    <w:rsid w:val="00412F68"/>
    <w:rsid w:val="00414374"/>
    <w:rsid w:val="00420BA3"/>
    <w:rsid w:val="00430136"/>
    <w:rsid w:val="00434EC5"/>
    <w:rsid w:val="00435744"/>
    <w:rsid w:val="00435B48"/>
    <w:rsid w:val="0046440E"/>
    <w:rsid w:val="0047192A"/>
    <w:rsid w:val="00476184"/>
    <w:rsid w:val="004776E9"/>
    <w:rsid w:val="00480F95"/>
    <w:rsid w:val="00481811"/>
    <w:rsid w:val="004854B3"/>
    <w:rsid w:val="00486944"/>
    <w:rsid w:val="004916A1"/>
    <w:rsid w:val="004A1E22"/>
    <w:rsid w:val="004A2F26"/>
    <w:rsid w:val="004A72D9"/>
    <w:rsid w:val="004A7D01"/>
    <w:rsid w:val="004A7DC1"/>
    <w:rsid w:val="004B0FA9"/>
    <w:rsid w:val="004B1290"/>
    <w:rsid w:val="004B2796"/>
    <w:rsid w:val="004B408E"/>
    <w:rsid w:val="004B4C04"/>
    <w:rsid w:val="004B739E"/>
    <w:rsid w:val="004C7687"/>
    <w:rsid w:val="004D75D0"/>
    <w:rsid w:val="004E5159"/>
    <w:rsid w:val="004F3F42"/>
    <w:rsid w:val="004F46D4"/>
    <w:rsid w:val="004F58B2"/>
    <w:rsid w:val="0050241B"/>
    <w:rsid w:val="00503A11"/>
    <w:rsid w:val="00506B27"/>
    <w:rsid w:val="0051093D"/>
    <w:rsid w:val="00510E64"/>
    <w:rsid w:val="00515439"/>
    <w:rsid w:val="00520E53"/>
    <w:rsid w:val="0052112E"/>
    <w:rsid w:val="00526CA7"/>
    <w:rsid w:val="00526E71"/>
    <w:rsid w:val="005322CC"/>
    <w:rsid w:val="00534C12"/>
    <w:rsid w:val="00534C83"/>
    <w:rsid w:val="005410FC"/>
    <w:rsid w:val="0054193E"/>
    <w:rsid w:val="005426A8"/>
    <w:rsid w:val="005458CA"/>
    <w:rsid w:val="005477BB"/>
    <w:rsid w:val="005614C8"/>
    <w:rsid w:val="005623F8"/>
    <w:rsid w:val="00564166"/>
    <w:rsid w:val="005649FB"/>
    <w:rsid w:val="00564ECA"/>
    <w:rsid w:val="00565B10"/>
    <w:rsid w:val="005748C4"/>
    <w:rsid w:val="00576406"/>
    <w:rsid w:val="00576A05"/>
    <w:rsid w:val="0058238D"/>
    <w:rsid w:val="00590666"/>
    <w:rsid w:val="005938EF"/>
    <w:rsid w:val="005A16AF"/>
    <w:rsid w:val="005C18C9"/>
    <w:rsid w:val="005C2775"/>
    <w:rsid w:val="005C3321"/>
    <w:rsid w:val="005D5C70"/>
    <w:rsid w:val="005D65EB"/>
    <w:rsid w:val="005E2168"/>
    <w:rsid w:val="005E66DC"/>
    <w:rsid w:val="005F1712"/>
    <w:rsid w:val="005F5FD3"/>
    <w:rsid w:val="0060215D"/>
    <w:rsid w:val="00602706"/>
    <w:rsid w:val="00604718"/>
    <w:rsid w:val="00605A7C"/>
    <w:rsid w:val="00607AC4"/>
    <w:rsid w:val="006218AF"/>
    <w:rsid w:val="006223AA"/>
    <w:rsid w:val="006251AE"/>
    <w:rsid w:val="006326D5"/>
    <w:rsid w:val="00633C33"/>
    <w:rsid w:val="00652815"/>
    <w:rsid w:val="006548CC"/>
    <w:rsid w:val="00657946"/>
    <w:rsid w:val="00661044"/>
    <w:rsid w:val="00662E61"/>
    <w:rsid w:val="0066378B"/>
    <w:rsid w:val="00670262"/>
    <w:rsid w:val="00670DA0"/>
    <w:rsid w:val="006710B6"/>
    <w:rsid w:val="00680F40"/>
    <w:rsid w:val="006828A6"/>
    <w:rsid w:val="00683E3B"/>
    <w:rsid w:val="006852E6"/>
    <w:rsid w:val="00692CA8"/>
    <w:rsid w:val="006952A7"/>
    <w:rsid w:val="006A07D5"/>
    <w:rsid w:val="006A7084"/>
    <w:rsid w:val="006B5CC5"/>
    <w:rsid w:val="006C1E22"/>
    <w:rsid w:val="006E6C96"/>
    <w:rsid w:val="006F58A1"/>
    <w:rsid w:val="006F599B"/>
    <w:rsid w:val="006F5C54"/>
    <w:rsid w:val="006F74EB"/>
    <w:rsid w:val="007012DA"/>
    <w:rsid w:val="007042ED"/>
    <w:rsid w:val="0071212F"/>
    <w:rsid w:val="00734F7C"/>
    <w:rsid w:val="007370F6"/>
    <w:rsid w:val="00737B4A"/>
    <w:rsid w:val="007403EA"/>
    <w:rsid w:val="00742D3B"/>
    <w:rsid w:val="00746ADC"/>
    <w:rsid w:val="00746B62"/>
    <w:rsid w:val="00750A94"/>
    <w:rsid w:val="00751608"/>
    <w:rsid w:val="00753549"/>
    <w:rsid w:val="00755D3B"/>
    <w:rsid w:val="00762561"/>
    <w:rsid w:val="00762AB0"/>
    <w:rsid w:val="00762F88"/>
    <w:rsid w:val="0076404B"/>
    <w:rsid w:val="007657C6"/>
    <w:rsid w:val="007670A0"/>
    <w:rsid w:val="00767B00"/>
    <w:rsid w:val="0077374D"/>
    <w:rsid w:val="00775BBD"/>
    <w:rsid w:val="00781685"/>
    <w:rsid w:val="0078421D"/>
    <w:rsid w:val="00786A20"/>
    <w:rsid w:val="007910FE"/>
    <w:rsid w:val="00793187"/>
    <w:rsid w:val="007A5BA2"/>
    <w:rsid w:val="007A6BF5"/>
    <w:rsid w:val="007B1925"/>
    <w:rsid w:val="007B4B2B"/>
    <w:rsid w:val="007B53FD"/>
    <w:rsid w:val="007C0440"/>
    <w:rsid w:val="007C1B02"/>
    <w:rsid w:val="007C4C5C"/>
    <w:rsid w:val="007C4D08"/>
    <w:rsid w:val="007C4EA2"/>
    <w:rsid w:val="007C523E"/>
    <w:rsid w:val="007C7C4E"/>
    <w:rsid w:val="007D4140"/>
    <w:rsid w:val="007D68E0"/>
    <w:rsid w:val="007E7E62"/>
    <w:rsid w:val="007E7F7E"/>
    <w:rsid w:val="007F3106"/>
    <w:rsid w:val="007F6937"/>
    <w:rsid w:val="00800137"/>
    <w:rsid w:val="00801094"/>
    <w:rsid w:val="0080533F"/>
    <w:rsid w:val="00805DDD"/>
    <w:rsid w:val="00813C55"/>
    <w:rsid w:val="00814ED4"/>
    <w:rsid w:val="00816BFC"/>
    <w:rsid w:val="00817765"/>
    <w:rsid w:val="00822C03"/>
    <w:rsid w:val="00831574"/>
    <w:rsid w:val="00841A2B"/>
    <w:rsid w:val="0084317D"/>
    <w:rsid w:val="00843800"/>
    <w:rsid w:val="00843A68"/>
    <w:rsid w:val="00850250"/>
    <w:rsid w:val="0085426E"/>
    <w:rsid w:val="0085543C"/>
    <w:rsid w:val="00857A1E"/>
    <w:rsid w:val="00862528"/>
    <w:rsid w:val="00862A3F"/>
    <w:rsid w:val="008631BF"/>
    <w:rsid w:val="00864CC3"/>
    <w:rsid w:val="0086621C"/>
    <w:rsid w:val="00866822"/>
    <w:rsid w:val="00866AEF"/>
    <w:rsid w:val="00871AD5"/>
    <w:rsid w:val="0087620D"/>
    <w:rsid w:val="0088093E"/>
    <w:rsid w:val="00882918"/>
    <w:rsid w:val="00885B08"/>
    <w:rsid w:val="00887AA5"/>
    <w:rsid w:val="0089327B"/>
    <w:rsid w:val="00894970"/>
    <w:rsid w:val="00896E35"/>
    <w:rsid w:val="008A282E"/>
    <w:rsid w:val="008B1683"/>
    <w:rsid w:val="008B28A2"/>
    <w:rsid w:val="008B3564"/>
    <w:rsid w:val="008C1B30"/>
    <w:rsid w:val="008C1E86"/>
    <w:rsid w:val="008D0D3A"/>
    <w:rsid w:val="008D31AC"/>
    <w:rsid w:val="008D357C"/>
    <w:rsid w:val="008D3C7A"/>
    <w:rsid w:val="008E0A3D"/>
    <w:rsid w:val="008E1067"/>
    <w:rsid w:val="008E60C9"/>
    <w:rsid w:val="008F0C1B"/>
    <w:rsid w:val="008F2469"/>
    <w:rsid w:val="008F2C6A"/>
    <w:rsid w:val="008F4B8D"/>
    <w:rsid w:val="00901098"/>
    <w:rsid w:val="00910853"/>
    <w:rsid w:val="009113D3"/>
    <w:rsid w:val="009136AA"/>
    <w:rsid w:val="00914438"/>
    <w:rsid w:val="009146EA"/>
    <w:rsid w:val="00935057"/>
    <w:rsid w:val="009351FF"/>
    <w:rsid w:val="00935645"/>
    <w:rsid w:val="00935EE0"/>
    <w:rsid w:val="009375CD"/>
    <w:rsid w:val="00937B57"/>
    <w:rsid w:val="00945C7D"/>
    <w:rsid w:val="00954A60"/>
    <w:rsid w:val="009578BA"/>
    <w:rsid w:val="0096003B"/>
    <w:rsid w:val="00961F5C"/>
    <w:rsid w:val="009656D9"/>
    <w:rsid w:val="0096597A"/>
    <w:rsid w:val="00966316"/>
    <w:rsid w:val="00966A5F"/>
    <w:rsid w:val="009703FB"/>
    <w:rsid w:val="00970E55"/>
    <w:rsid w:val="00971B43"/>
    <w:rsid w:val="009737D4"/>
    <w:rsid w:val="00973F26"/>
    <w:rsid w:val="00976017"/>
    <w:rsid w:val="00981461"/>
    <w:rsid w:val="00983AE8"/>
    <w:rsid w:val="009913AE"/>
    <w:rsid w:val="009A4BF7"/>
    <w:rsid w:val="009B4B37"/>
    <w:rsid w:val="009C1B5A"/>
    <w:rsid w:val="009C7291"/>
    <w:rsid w:val="009C7604"/>
    <w:rsid w:val="009C7CB0"/>
    <w:rsid w:val="009C7F0F"/>
    <w:rsid w:val="009D2719"/>
    <w:rsid w:val="009E0AB7"/>
    <w:rsid w:val="009E7281"/>
    <w:rsid w:val="009F07C1"/>
    <w:rsid w:val="009F1B57"/>
    <w:rsid w:val="009F4E35"/>
    <w:rsid w:val="009F62F6"/>
    <w:rsid w:val="009F6974"/>
    <w:rsid w:val="00A00352"/>
    <w:rsid w:val="00A01552"/>
    <w:rsid w:val="00A111FC"/>
    <w:rsid w:val="00A1131B"/>
    <w:rsid w:val="00A13DB5"/>
    <w:rsid w:val="00A17D85"/>
    <w:rsid w:val="00A21FF5"/>
    <w:rsid w:val="00A24B6A"/>
    <w:rsid w:val="00A337B2"/>
    <w:rsid w:val="00A3667A"/>
    <w:rsid w:val="00A50A68"/>
    <w:rsid w:val="00A51186"/>
    <w:rsid w:val="00A52791"/>
    <w:rsid w:val="00A544EE"/>
    <w:rsid w:val="00A579BA"/>
    <w:rsid w:val="00A57AA5"/>
    <w:rsid w:val="00A57AA8"/>
    <w:rsid w:val="00A627AE"/>
    <w:rsid w:val="00A63B4A"/>
    <w:rsid w:val="00A658CE"/>
    <w:rsid w:val="00A678D7"/>
    <w:rsid w:val="00A72E7A"/>
    <w:rsid w:val="00A73491"/>
    <w:rsid w:val="00A74A87"/>
    <w:rsid w:val="00A802E4"/>
    <w:rsid w:val="00A808D2"/>
    <w:rsid w:val="00A87CE8"/>
    <w:rsid w:val="00AA08A3"/>
    <w:rsid w:val="00AA182E"/>
    <w:rsid w:val="00AA1B6C"/>
    <w:rsid w:val="00AA1BD7"/>
    <w:rsid w:val="00AB03C4"/>
    <w:rsid w:val="00AB053C"/>
    <w:rsid w:val="00AB4956"/>
    <w:rsid w:val="00AC5118"/>
    <w:rsid w:val="00AC7CCD"/>
    <w:rsid w:val="00AD0E23"/>
    <w:rsid w:val="00AD7E11"/>
    <w:rsid w:val="00AE1CAE"/>
    <w:rsid w:val="00AE4157"/>
    <w:rsid w:val="00AE5475"/>
    <w:rsid w:val="00AE66FE"/>
    <w:rsid w:val="00AE7F5C"/>
    <w:rsid w:val="00AF0400"/>
    <w:rsid w:val="00AF140F"/>
    <w:rsid w:val="00AF1BCF"/>
    <w:rsid w:val="00AF3F1F"/>
    <w:rsid w:val="00AF5F5D"/>
    <w:rsid w:val="00B04E9D"/>
    <w:rsid w:val="00B057C8"/>
    <w:rsid w:val="00B05CD7"/>
    <w:rsid w:val="00B07396"/>
    <w:rsid w:val="00B125FB"/>
    <w:rsid w:val="00B25CA6"/>
    <w:rsid w:val="00B27173"/>
    <w:rsid w:val="00B30AEB"/>
    <w:rsid w:val="00B41692"/>
    <w:rsid w:val="00B4409F"/>
    <w:rsid w:val="00B47F2C"/>
    <w:rsid w:val="00B5660C"/>
    <w:rsid w:val="00B64621"/>
    <w:rsid w:val="00B652E3"/>
    <w:rsid w:val="00B67E8C"/>
    <w:rsid w:val="00B744EC"/>
    <w:rsid w:val="00B75FFB"/>
    <w:rsid w:val="00B82374"/>
    <w:rsid w:val="00B824B3"/>
    <w:rsid w:val="00B8350C"/>
    <w:rsid w:val="00B87245"/>
    <w:rsid w:val="00B87630"/>
    <w:rsid w:val="00B92D09"/>
    <w:rsid w:val="00BA0FD3"/>
    <w:rsid w:val="00BA16E1"/>
    <w:rsid w:val="00BA299E"/>
    <w:rsid w:val="00BA5BB9"/>
    <w:rsid w:val="00BA6A6E"/>
    <w:rsid w:val="00BA7D99"/>
    <w:rsid w:val="00BB2795"/>
    <w:rsid w:val="00BB6720"/>
    <w:rsid w:val="00BB715D"/>
    <w:rsid w:val="00BC546A"/>
    <w:rsid w:val="00BC5EFC"/>
    <w:rsid w:val="00BD1BE0"/>
    <w:rsid w:val="00BD5A2B"/>
    <w:rsid w:val="00BD5C94"/>
    <w:rsid w:val="00BE6029"/>
    <w:rsid w:val="00BE7EA4"/>
    <w:rsid w:val="00BF1D42"/>
    <w:rsid w:val="00BF67AE"/>
    <w:rsid w:val="00BF7730"/>
    <w:rsid w:val="00C00AA3"/>
    <w:rsid w:val="00C052EC"/>
    <w:rsid w:val="00C05D22"/>
    <w:rsid w:val="00C07C5E"/>
    <w:rsid w:val="00C20CA0"/>
    <w:rsid w:val="00C21FA3"/>
    <w:rsid w:val="00C2222B"/>
    <w:rsid w:val="00C262A1"/>
    <w:rsid w:val="00C30FAB"/>
    <w:rsid w:val="00C3500A"/>
    <w:rsid w:val="00C370EF"/>
    <w:rsid w:val="00C536D5"/>
    <w:rsid w:val="00C5568F"/>
    <w:rsid w:val="00C61752"/>
    <w:rsid w:val="00C6183B"/>
    <w:rsid w:val="00C61B5B"/>
    <w:rsid w:val="00C623A7"/>
    <w:rsid w:val="00C63613"/>
    <w:rsid w:val="00C700C6"/>
    <w:rsid w:val="00C74201"/>
    <w:rsid w:val="00C76380"/>
    <w:rsid w:val="00C76DDB"/>
    <w:rsid w:val="00C76E54"/>
    <w:rsid w:val="00C77B46"/>
    <w:rsid w:val="00C83848"/>
    <w:rsid w:val="00C87D24"/>
    <w:rsid w:val="00C912D3"/>
    <w:rsid w:val="00C9167A"/>
    <w:rsid w:val="00C91EEC"/>
    <w:rsid w:val="00C97A14"/>
    <w:rsid w:val="00CA0E25"/>
    <w:rsid w:val="00CA0F17"/>
    <w:rsid w:val="00CA13A2"/>
    <w:rsid w:val="00CA335D"/>
    <w:rsid w:val="00CB06EC"/>
    <w:rsid w:val="00CC0102"/>
    <w:rsid w:val="00CC7846"/>
    <w:rsid w:val="00CD2C49"/>
    <w:rsid w:val="00CD5FC1"/>
    <w:rsid w:val="00CE05DC"/>
    <w:rsid w:val="00CE0B13"/>
    <w:rsid w:val="00CE38E6"/>
    <w:rsid w:val="00CE65A6"/>
    <w:rsid w:val="00CF5A5C"/>
    <w:rsid w:val="00CF7873"/>
    <w:rsid w:val="00D20126"/>
    <w:rsid w:val="00D212A2"/>
    <w:rsid w:val="00D23A4C"/>
    <w:rsid w:val="00D2561F"/>
    <w:rsid w:val="00D27BCF"/>
    <w:rsid w:val="00D417B1"/>
    <w:rsid w:val="00D56F55"/>
    <w:rsid w:val="00D60219"/>
    <w:rsid w:val="00D603A0"/>
    <w:rsid w:val="00D67E9E"/>
    <w:rsid w:val="00D7407E"/>
    <w:rsid w:val="00D74B1B"/>
    <w:rsid w:val="00D7732E"/>
    <w:rsid w:val="00D80448"/>
    <w:rsid w:val="00D943B8"/>
    <w:rsid w:val="00D96135"/>
    <w:rsid w:val="00D967AC"/>
    <w:rsid w:val="00DA7CEF"/>
    <w:rsid w:val="00DB117C"/>
    <w:rsid w:val="00DC01AD"/>
    <w:rsid w:val="00DC2290"/>
    <w:rsid w:val="00DC7CE7"/>
    <w:rsid w:val="00DD60F0"/>
    <w:rsid w:val="00DD648D"/>
    <w:rsid w:val="00DE0175"/>
    <w:rsid w:val="00DE4531"/>
    <w:rsid w:val="00DE47DA"/>
    <w:rsid w:val="00DF33C2"/>
    <w:rsid w:val="00DF672A"/>
    <w:rsid w:val="00DF686B"/>
    <w:rsid w:val="00E01C0F"/>
    <w:rsid w:val="00E02A21"/>
    <w:rsid w:val="00E038AF"/>
    <w:rsid w:val="00E04EC0"/>
    <w:rsid w:val="00E1220A"/>
    <w:rsid w:val="00E153A7"/>
    <w:rsid w:val="00E16040"/>
    <w:rsid w:val="00E21CEC"/>
    <w:rsid w:val="00E24B83"/>
    <w:rsid w:val="00E25AEF"/>
    <w:rsid w:val="00E27DA8"/>
    <w:rsid w:val="00E30FC5"/>
    <w:rsid w:val="00E372DB"/>
    <w:rsid w:val="00E443AF"/>
    <w:rsid w:val="00E44F43"/>
    <w:rsid w:val="00E4710C"/>
    <w:rsid w:val="00E54597"/>
    <w:rsid w:val="00E6688D"/>
    <w:rsid w:val="00E709B4"/>
    <w:rsid w:val="00E71A98"/>
    <w:rsid w:val="00E72CEB"/>
    <w:rsid w:val="00E76BA2"/>
    <w:rsid w:val="00E81B6C"/>
    <w:rsid w:val="00E837AE"/>
    <w:rsid w:val="00E9399D"/>
    <w:rsid w:val="00E97946"/>
    <w:rsid w:val="00EA0C40"/>
    <w:rsid w:val="00EA0D29"/>
    <w:rsid w:val="00EA4E1B"/>
    <w:rsid w:val="00EB3712"/>
    <w:rsid w:val="00EB3FC3"/>
    <w:rsid w:val="00EB7EDA"/>
    <w:rsid w:val="00EC2893"/>
    <w:rsid w:val="00ED52A1"/>
    <w:rsid w:val="00ED7223"/>
    <w:rsid w:val="00EE3211"/>
    <w:rsid w:val="00EE38AB"/>
    <w:rsid w:val="00EE521D"/>
    <w:rsid w:val="00EF05EB"/>
    <w:rsid w:val="00F02A88"/>
    <w:rsid w:val="00F047A1"/>
    <w:rsid w:val="00F13B19"/>
    <w:rsid w:val="00F2314A"/>
    <w:rsid w:val="00F269BD"/>
    <w:rsid w:val="00F27471"/>
    <w:rsid w:val="00F30661"/>
    <w:rsid w:val="00F36343"/>
    <w:rsid w:val="00F46998"/>
    <w:rsid w:val="00F4767A"/>
    <w:rsid w:val="00F603BE"/>
    <w:rsid w:val="00F667F8"/>
    <w:rsid w:val="00F679CD"/>
    <w:rsid w:val="00F7043D"/>
    <w:rsid w:val="00F71835"/>
    <w:rsid w:val="00F90662"/>
    <w:rsid w:val="00F917DA"/>
    <w:rsid w:val="00F9763A"/>
    <w:rsid w:val="00FA0448"/>
    <w:rsid w:val="00FA5914"/>
    <w:rsid w:val="00FB3859"/>
    <w:rsid w:val="00FB468B"/>
    <w:rsid w:val="00FD001C"/>
    <w:rsid w:val="00FD0753"/>
    <w:rsid w:val="00FD2324"/>
    <w:rsid w:val="00FE08AD"/>
    <w:rsid w:val="00FE2AA4"/>
    <w:rsid w:val="00FE3ED5"/>
    <w:rsid w:val="00FE52E4"/>
    <w:rsid w:val="00FF1E47"/>
    <w:rsid w:val="00FF781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A658CE"/>
    <w:rPr>
      <w:color w:val="0563C1" w:themeColor="hyperlink"/>
      <w:u w:val="single"/>
    </w:rPr>
  </w:style>
  <w:style w:type="character" w:customStyle="1" w:styleId="MenoPendente1">
    <w:name w:val="Menção Pendente1"/>
    <w:basedOn w:val="Fontepargpadro"/>
    <w:uiPriority w:val="99"/>
    <w:semiHidden/>
    <w:unhideWhenUsed/>
    <w:rsid w:val="00A658CE"/>
    <w:rPr>
      <w:color w:val="605E5C"/>
      <w:shd w:val="clear" w:color="auto" w:fill="E1DFDD"/>
    </w:rPr>
  </w:style>
  <w:style w:type="paragraph" w:styleId="Reviso">
    <w:name w:val="Revision"/>
    <w:hidden/>
    <w:uiPriority w:val="99"/>
    <w:semiHidden/>
    <w:rsid w:val="005A16AF"/>
    <w:pPr>
      <w:spacing w:after="0" w:line="240" w:lineRule="auto"/>
    </w:pPr>
  </w:style>
  <w:style w:type="character" w:styleId="Refdecomentrio">
    <w:name w:val="annotation reference"/>
    <w:basedOn w:val="Fontepargpadro"/>
    <w:uiPriority w:val="99"/>
    <w:semiHidden/>
    <w:unhideWhenUsed/>
    <w:rsid w:val="005A16AF"/>
    <w:rPr>
      <w:sz w:val="16"/>
      <w:szCs w:val="16"/>
    </w:rPr>
  </w:style>
  <w:style w:type="paragraph" w:styleId="Textodecomentrio">
    <w:name w:val="annotation text"/>
    <w:basedOn w:val="Normal"/>
    <w:link w:val="TextodecomentrioChar"/>
    <w:uiPriority w:val="99"/>
    <w:semiHidden/>
    <w:unhideWhenUsed/>
    <w:rsid w:val="005A16A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A16AF"/>
    <w:rPr>
      <w:sz w:val="20"/>
      <w:szCs w:val="20"/>
    </w:rPr>
  </w:style>
  <w:style w:type="paragraph" w:styleId="Assuntodocomentrio">
    <w:name w:val="annotation subject"/>
    <w:basedOn w:val="Textodecomentrio"/>
    <w:next w:val="Textodecomentrio"/>
    <w:link w:val="AssuntodocomentrioChar"/>
    <w:uiPriority w:val="99"/>
    <w:semiHidden/>
    <w:unhideWhenUsed/>
    <w:rsid w:val="005A16AF"/>
    <w:rPr>
      <w:b/>
      <w:bCs/>
    </w:rPr>
  </w:style>
  <w:style w:type="character" w:customStyle="1" w:styleId="AssuntodocomentrioChar">
    <w:name w:val="Assunto do comentário Char"/>
    <w:basedOn w:val="TextodecomentrioChar"/>
    <w:link w:val="Assuntodocomentrio"/>
    <w:uiPriority w:val="99"/>
    <w:semiHidden/>
    <w:rsid w:val="005A16AF"/>
    <w:rPr>
      <w:b/>
      <w:bCs/>
      <w:sz w:val="20"/>
      <w:szCs w:val="20"/>
    </w:rPr>
  </w:style>
  <w:style w:type="paragraph" w:styleId="PargrafodaLista">
    <w:name w:val="List Paragraph"/>
    <w:basedOn w:val="Normal"/>
    <w:uiPriority w:val="34"/>
    <w:qFormat/>
    <w:rsid w:val="006A7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748067">
      <w:bodyDiv w:val="1"/>
      <w:marLeft w:val="0"/>
      <w:marRight w:val="0"/>
      <w:marTop w:val="0"/>
      <w:marBottom w:val="0"/>
      <w:divBdr>
        <w:top w:val="none" w:sz="0" w:space="0" w:color="auto"/>
        <w:left w:val="none" w:sz="0" w:space="0" w:color="auto"/>
        <w:bottom w:val="none" w:sz="0" w:space="0" w:color="auto"/>
        <w:right w:val="none" w:sz="0" w:space="0" w:color="auto"/>
      </w:divBdr>
    </w:div>
    <w:div w:id="160399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t.wikipedia.org/wiki/Oxig%C3%AAnio"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pt.wikipedia.org/wiki/Hidrog%C3%AAnio"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Oxig%C3%AAn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pt.wikipedia.org/wiki/Nitrog%C3%AAnio"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pt.wikipedia.org/wiki/Cobalto" TargetMode="External"/><Relationship Id="rId14" Type="http://schemas.openxmlformats.org/officeDocument/2006/relationships/image" Target="media/image3.pn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C7FA-E784-4286-BA57-CFA2AB66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3114</Words>
  <Characters>16819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Felipe Reis Bernardes</cp:lastModifiedBy>
  <cp:revision>4</cp:revision>
  <dcterms:created xsi:type="dcterms:W3CDTF">2023-06-22T14:55:00Z</dcterms:created>
  <dcterms:modified xsi:type="dcterms:W3CDTF">2023-06-22T16:25:00Z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5f2ed9029b996a23549bb35a9469bb2e9f4453c5d2448a7e117aa15967c00760</vt:lpwstr>
  </property>
  <property fmtid="{D5CDD505-2E9C-101B-9397-08002B2CF9AE}" pid="23" name="Mendeley Document_1">
    <vt:lpwstr>True</vt:lpwstr>
  </property>
  <property fmtid="{D5CDD505-2E9C-101B-9397-08002B2CF9AE}" pid="24" name="Mendeley Unique User Id_1">
    <vt:lpwstr>5a56d201-0c19-3cd4-8310-077397c3590e</vt:lpwstr>
  </property>
  <property fmtid="{D5CDD505-2E9C-101B-9397-08002B2CF9AE}" pid="25" name="Mendeley Citation Style_1">
    <vt:lpwstr>http://www.zotero.org/styles/springer-basic-brackets</vt:lpwstr>
  </property>
</Properties>
</file>