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00" w:rsidRDefault="008D519F" w:rsidP="00EA4E1B">
      <w:pPr>
        <w:pStyle w:val="BATitle"/>
        <w:spacing w:before="0" w:after="0" w:line="240" w:lineRule="auto"/>
        <w:ind w:right="0"/>
        <w:jc w:val="both"/>
        <w:rPr>
          <w:sz w:val="32"/>
          <w:lang w:val="pt-BR"/>
        </w:rPr>
      </w:pPr>
      <w:bookmarkStart w:id="0" w:name="_Hlk1324517"/>
      <w:bookmarkStart w:id="1" w:name="_Hlk1324670"/>
      <w:r>
        <w:rPr>
          <w:noProof/>
          <w:sz w:val="32"/>
          <w:lang w:val="pt-BR"/>
        </w:rPr>
        <w:pict>
          <v:rect id="Retângulo 2" o:spid="_x0000_s1026" style="position:absolute;left:0;text-align:left;margin-left:0;margin-top:0;width:512.4pt;height:13.2pt;z-index:251660287;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" fillcolor="#9a0000" stroked="f" strokeweight="1pt">
            <v:path arrowok="t"/>
            <v:textbox inset=",0,,0">
              <w:txbxContent>
                <w:p w:rsidR="0075528A" w:rsidRPr="008C1B30" w:rsidRDefault="0075528A" w:rsidP="00866822">
                  <w:pPr>
                    <w:pStyle w:val="BDAbstract"/>
                    <w:spacing w:before="0" w:after="0" w:line="240" w:lineRule="auto"/>
                    <w:rPr>
                      <w:rFonts w:cs="Helvetica"/>
                      <w:bCs/>
                      <w:sz w:val="20"/>
                      <w:lang w:val="pt-BR"/>
                    </w:rPr>
                  </w:pPr>
                </w:p>
                <w:p w:rsidR="0075528A" w:rsidRPr="008C1B30" w:rsidRDefault="0075528A" w:rsidP="00866822">
                  <w:pPr>
                    <w:pStyle w:val="SemEspaamento"/>
                  </w:pPr>
                </w:p>
              </w:txbxContent>
            </v:textbox>
            <w10:wrap anchorx="margin"/>
          </v:rect>
        </w:pict>
      </w:r>
    </w:p>
    <w:p w:rsidR="0093444D" w:rsidRDefault="00C96212" w:rsidP="0093444D">
      <w:pPr>
        <w:pStyle w:val="BATitle"/>
        <w:spacing w:before="0" w:after="0" w:line="240" w:lineRule="auto"/>
        <w:ind w:right="0"/>
        <w:jc w:val="both"/>
        <w:rPr>
          <w:sz w:val="32"/>
          <w:lang w:val="pt-BR"/>
        </w:rPr>
      </w:pPr>
      <w:r>
        <w:rPr>
          <w:sz w:val="32"/>
          <w:lang w:val="pt-BR"/>
        </w:rPr>
        <w:t>S</w:t>
      </w:r>
      <w:r w:rsidRPr="0093444D">
        <w:rPr>
          <w:sz w:val="32"/>
          <w:lang w:val="pt-BR"/>
        </w:rPr>
        <w:t xml:space="preserve">íntese </w:t>
      </w:r>
      <w:r w:rsidR="0093444D" w:rsidRPr="0093444D">
        <w:rPr>
          <w:sz w:val="32"/>
          <w:lang w:val="pt-BR"/>
        </w:rPr>
        <w:t>de levulinato de etil</w:t>
      </w:r>
      <w:r>
        <w:rPr>
          <w:sz w:val="32"/>
          <w:lang w:val="pt-BR"/>
        </w:rPr>
        <w:t>a</w:t>
      </w:r>
      <w:r w:rsidR="0093444D" w:rsidRPr="0093444D">
        <w:rPr>
          <w:sz w:val="32"/>
          <w:lang w:val="pt-BR"/>
        </w:rPr>
        <w:t xml:space="preserve"> a partir </w:t>
      </w:r>
      <w:r w:rsidRPr="0093444D">
        <w:rPr>
          <w:sz w:val="32"/>
          <w:lang w:val="pt-BR"/>
        </w:rPr>
        <w:t>d</w:t>
      </w:r>
      <w:r>
        <w:rPr>
          <w:sz w:val="32"/>
          <w:lang w:val="pt-BR"/>
        </w:rPr>
        <w:t>a alcoólise do</w:t>
      </w:r>
      <w:r w:rsidR="00AA0BED">
        <w:rPr>
          <w:sz w:val="32"/>
          <w:lang w:val="pt-BR"/>
        </w:rPr>
        <w:t xml:space="preserve"> </w:t>
      </w:r>
      <w:r w:rsidR="0093444D" w:rsidRPr="0093444D">
        <w:rPr>
          <w:sz w:val="32"/>
          <w:lang w:val="pt-BR"/>
        </w:rPr>
        <w:t>álcool furfurílico</w:t>
      </w:r>
      <w:r w:rsidR="00AA0BED">
        <w:rPr>
          <w:sz w:val="32"/>
          <w:lang w:val="pt-BR"/>
        </w:rPr>
        <w:t xml:space="preserve"> </w:t>
      </w:r>
      <w:r w:rsidR="0079682D">
        <w:rPr>
          <w:sz w:val="32"/>
          <w:lang w:val="pt-BR"/>
        </w:rPr>
        <w:t xml:space="preserve">sobre </w:t>
      </w:r>
      <w:r>
        <w:rPr>
          <w:sz w:val="32"/>
          <w:lang w:val="pt-BR"/>
        </w:rPr>
        <w:t>catalisadores a base de nióbio</w:t>
      </w:r>
    </w:p>
    <w:p w:rsidR="00C02493" w:rsidRPr="006673A3" w:rsidRDefault="00C02493" w:rsidP="00C02493">
      <w:pPr>
        <w:pStyle w:val="BBAuthorName"/>
        <w:spacing w:after="120"/>
        <w:jc w:val="both"/>
        <w:rPr>
          <w:rFonts w:ascii="Times New Roman" w:hAnsi="Times New Roman"/>
          <w:sz w:val="20"/>
          <w:lang w:val="pt-BR"/>
        </w:rPr>
      </w:pPr>
      <w:r w:rsidRPr="006673A3">
        <w:rPr>
          <w:rFonts w:ascii="Times New Roman" w:hAnsi="Times New Roman"/>
          <w:sz w:val="20"/>
          <w:lang w:val="pt-BR"/>
        </w:rPr>
        <w:t>Camila Calicchio Lopes,</w:t>
      </w:r>
      <w:r w:rsidR="00D723CC" w:rsidRPr="006673A3">
        <w:rPr>
          <w:rFonts w:ascii="Times New Roman" w:hAnsi="Times New Roman"/>
          <w:sz w:val="20"/>
          <w:vertAlign w:val="superscript"/>
          <w:lang w:val="pt-BR"/>
        </w:rPr>
        <w:t>1,2</w:t>
      </w:r>
      <w:r w:rsidRPr="006673A3">
        <w:rPr>
          <w:rFonts w:ascii="Times New Roman" w:hAnsi="Times New Roman"/>
          <w:sz w:val="20"/>
          <w:lang w:val="pt-BR"/>
        </w:rPr>
        <w:t>Alanna Silveira de Moraes,</w:t>
      </w:r>
      <w:r w:rsidR="00D723CC" w:rsidRPr="006673A3">
        <w:rPr>
          <w:rFonts w:ascii="Times New Roman" w:hAnsi="Times New Roman"/>
          <w:sz w:val="20"/>
          <w:vertAlign w:val="superscript"/>
          <w:lang w:val="pt-BR"/>
        </w:rPr>
        <w:t>1</w:t>
      </w:r>
      <w:r w:rsidRPr="006673A3">
        <w:rPr>
          <w:rFonts w:ascii="Times New Roman" w:hAnsi="Times New Roman"/>
          <w:sz w:val="20"/>
          <w:lang w:val="pt-BR"/>
        </w:rPr>
        <w:t xml:space="preserve"> Marco A. Fraga</w:t>
      </w:r>
      <w:r w:rsidR="00D723CC" w:rsidRPr="006673A3">
        <w:rPr>
          <w:rFonts w:ascii="Times New Roman" w:hAnsi="Times New Roman"/>
          <w:sz w:val="20"/>
          <w:vertAlign w:val="superscript"/>
          <w:lang w:val="pt-BR"/>
        </w:rPr>
        <w:t>1,2</w:t>
      </w:r>
      <w:r w:rsidR="006673A3">
        <w:rPr>
          <w:rFonts w:ascii="Times New Roman" w:hAnsi="Times New Roman"/>
          <w:sz w:val="20"/>
          <w:vertAlign w:val="superscript"/>
          <w:lang w:val="pt-BR"/>
        </w:rPr>
        <w:t>*</w:t>
      </w:r>
    </w:p>
    <w:p w:rsidR="00D723CC" w:rsidRPr="00D723CC" w:rsidRDefault="00D723CC" w:rsidP="00D723CC">
      <w:pPr>
        <w:spacing w:after="0" w:line="240" w:lineRule="exact"/>
        <w:rPr>
          <w:rFonts w:ascii="Times" w:hAnsi="Times" w:cs="Times"/>
          <w:i/>
          <w:sz w:val="20"/>
          <w:szCs w:val="20"/>
        </w:rPr>
      </w:pPr>
      <w:r w:rsidRPr="00D723CC">
        <w:rPr>
          <w:rFonts w:ascii="Times" w:hAnsi="Times" w:cs="Times"/>
          <w:i/>
          <w:sz w:val="20"/>
          <w:szCs w:val="20"/>
          <w:vertAlign w:val="superscript"/>
        </w:rPr>
        <w:t>1</w:t>
      </w:r>
      <w:r w:rsidRPr="00D723CC">
        <w:rPr>
          <w:rFonts w:ascii="Times" w:hAnsi="Times" w:cs="Times"/>
          <w:i/>
          <w:sz w:val="20"/>
          <w:szCs w:val="20"/>
        </w:rPr>
        <w:t xml:space="preserve"> Instituto Nacional de Tecnologia</w:t>
      </w:r>
      <w:r w:rsidR="006673A3">
        <w:rPr>
          <w:rFonts w:ascii="Times" w:hAnsi="Times" w:cs="Times"/>
          <w:i/>
          <w:sz w:val="20"/>
          <w:szCs w:val="20"/>
        </w:rPr>
        <w:t xml:space="preserve"> - </w:t>
      </w:r>
      <w:r w:rsidRPr="00D723CC">
        <w:rPr>
          <w:rFonts w:ascii="Times" w:hAnsi="Times" w:cs="Times"/>
          <w:i/>
          <w:sz w:val="20"/>
          <w:szCs w:val="20"/>
        </w:rPr>
        <w:t>INT</w:t>
      </w:r>
      <w:r w:rsidR="006673A3">
        <w:rPr>
          <w:rFonts w:ascii="Times" w:hAnsi="Times" w:cs="Times"/>
          <w:i/>
          <w:sz w:val="20"/>
          <w:szCs w:val="20"/>
        </w:rPr>
        <w:t>, Rio de Janeiro/RJ</w:t>
      </w:r>
    </w:p>
    <w:p w:rsidR="00D723CC" w:rsidRPr="00D723CC" w:rsidRDefault="00D723CC" w:rsidP="00D723CC">
      <w:pPr>
        <w:spacing w:after="0" w:line="240" w:lineRule="exact"/>
        <w:rPr>
          <w:rFonts w:ascii="Times" w:hAnsi="Times" w:cs="Times"/>
          <w:i/>
          <w:sz w:val="20"/>
          <w:szCs w:val="20"/>
        </w:rPr>
      </w:pPr>
      <w:r w:rsidRPr="00D723CC">
        <w:rPr>
          <w:rFonts w:ascii="Times" w:hAnsi="Times" w:cs="Times"/>
          <w:i/>
          <w:sz w:val="20"/>
          <w:szCs w:val="20"/>
          <w:vertAlign w:val="superscript"/>
        </w:rPr>
        <w:t>2</w:t>
      </w:r>
      <w:r w:rsidRPr="00D723CC">
        <w:rPr>
          <w:rFonts w:ascii="Times" w:hAnsi="Times" w:cs="Times"/>
          <w:i/>
          <w:sz w:val="20"/>
          <w:szCs w:val="20"/>
        </w:rPr>
        <w:t xml:space="preserve"> Instituto Militar de Engenharia</w:t>
      </w:r>
      <w:r w:rsidR="006673A3">
        <w:rPr>
          <w:rFonts w:ascii="Times" w:hAnsi="Times" w:cs="Times"/>
          <w:i/>
          <w:sz w:val="20"/>
          <w:szCs w:val="20"/>
        </w:rPr>
        <w:t xml:space="preserve"> - </w:t>
      </w:r>
      <w:r w:rsidRPr="00D723CC">
        <w:rPr>
          <w:rFonts w:ascii="Times" w:hAnsi="Times" w:cs="Times"/>
          <w:i/>
          <w:sz w:val="20"/>
          <w:szCs w:val="20"/>
        </w:rPr>
        <w:t>IME</w:t>
      </w:r>
      <w:r w:rsidR="006673A3">
        <w:rPr>
          <w:rFonts w:ascii="Times" w:hAnsi="Times" w:cs="Times"/>
          <w:i/>
          <w:sz w:val="20"/>
          <w:szCs w:val="20"/>
        </w:rPr>
        <w:t>, Rio de Janeiro/RJ</w:t>
      </w:r>
      <w:r w:rsidRPr="00D723CC">
        <w:rPr>
          <w:rFonts w:ascii="Times" w:hAnsi="Times" w:cs="Times"/>
          <w:i/>
          <w:sz w:val="20"/>
          <w:szCs w:val="20"/>
        </w:rPr>
        <w:t xml:space="preserve">. </w:t>
      </w:r>
    </w:p>
    <w:p w:rsidR="00D723CC" w:rsidRPr="00D723CC" w:rsidRDefault="00D723CC" w:rsidP="00D723CC">
      <w:pPr>
        <w:spacing w:after="0" w:line="240" w:lineRule="exact"/>
        <w:rPr>
          <w:rFonts w:ascii="Times" w:hAnsi="Times" w:cs="Times"/>
          <w:i/>
          <w:sz w:val="20"/>
          <w:szCs w:val="20"/>
          <w:lang w:eastAsia="pt-BR"/>
        </w:rPr>
      </w:pPr>
      <w:r w:rsidRPr="00D723CC">
        <w:rPr>
          <w:rFonts w:ascii="Times" w:hAnsi="Times" w:cs="Times"/>
          <w:i/>
          <w:sz w:val="20"/>
          <w:szCs w:val="20"/>
        </w:rPr>
        <w:t>*marco.fraga@int.gov.br</w:t>
      </w:r>
    </w:p>
    <w:bookmarkEnd w:id="0"/>
    <w:p w:rsidR="00AF0400" w:rsidRDefault="008D519F" w:rsidP="00EA4E1B">
      <w:pPr>
        <w:pStyle w:val="BDAbstract"/>
        <w:spacing w:before="0" w:after="0" w:line="240" w:lineRule="auto"/>
        <w:rPr>
          <w:rFonts w:ascii="Times New Roman" w:hAnsi="Times New Roman"/>
          <w:b w:val="0"/>
          <w:sz w:val="20"/>
          <w:lang w:val="pt-BR"/>
        </w:rPr>
      </w:pPr>
      <w:r w:rsidRPr="008D519F">
        <w:rPr>
          <w:noProof/>
          <w:sz w:val="32"/>
          <w:lang w:val="pt-BR"/>
        </w:rPr>
        <w:pict>
          <v:rect id="Retângulo 1" o:spid="_x0000_s1027" style="position:absolute;left:0;text-align:left;margin-left:933.6pt;margin-top:2.75pt;width:512.4pt;height:13.2pt;z-index:251658239;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" fillcolor="#9a0000" stroked="f" strokeweight="1pt">
            <v:path arrowok="t"/>
            <v:textbox inset=",0,,0">
              <w:txbxContent>
                <w:p w:rsidR="0075528A" w:rsidRPr="008C1B30" w:rsidRDefault="0075528A"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rsidR="0075528A" w:rsidRPr="008C1B30" w:rsidRDefault="0075528A" w:rsidP="008C1B30">
                  <w:pPr>
                    <w:pStyle w:val="SemEspaamento"/>
                  </w:pPr>
                </w:p>
              </w:txbxContent>
            </v:textbox>
            <w10:wrap anchorx="margin"/>
          </v:rect>
        </w:pict>
      </w:r>
    </w:p>
    <w:p w:rsidR="00AF0400" w:rsidRDefault="00AF0400" w:rsidP="00EA4E1B">
      <w:pPr>
        <w:pStyle w:val="BDAbstract"/>
        <w:spacing w:before="0" w:after="0" w:line="240" w:lineRule="auto"/>
        <w:rPr>
          <w:rFonts w:ascii="Times New Roman" w:hAnsi="Times New Roman"/>
          <w:b w:val="0"/>
          <w:sz w:val="20"/>
          <w:lang w:val="pt-BR"/>
        </w:rPr>
      </w:pPr>
    </w:p>
    <w:p w:rsidR="00F64291" w:rsidRPr="007D13E5" w:rsidRDefault="00EA4E1B" w:rsidP="00F64291">
      <w:pPr>
        <w:pStyle w:val="BDAbstract"/>
        <w:spacing w:before="0" w:after="0" w:line="240" w:lineRule="auto"/>
        <w:rPr>
          <w:rFonts w:ascii="Times New Roman" w:hAnsi="Times New Roman"/>
          <w:b w:val="0"/>
          <w:sz w:val="20"/>
          <w:lang w:val="pt-BR"/>
        </w:rPr>
      </w:pPr>
      <w:r w:rsidRPr="007D13E5">
        <w:rPr>
          <w:rFonts w:ascii="Times New Roman" w:hAnsi="Times New Roman"/>
          <w:b w:val="0"/>
          <w:sz w:val="20"/>
          <w:lang w:val="pt-BR"/>
        </w:rPr>
        <w:t xml:space="preserve">RESUMO - </w:t>
      </w:r>
      <w:r w:rsidR="00666E5E" w:rsidRPr="007D13E5">
        <w:rPr>
          <w:rFonts w:ascii="Times New Roman" w:hAnsi="Times New Roman"/>
          <w:b w:val="0"/>
          <w:sz w:val="20"/>
          <w:lang w:val="pt-BR"/>
        </w:rPr>
        <w:t>Os levulinatos de alquil</w:t>
      </w:r>
      <w:r w:rsidR="00C1230B" w:rsidRPr="007D13E5">
        <w:rPr>
          <w:rFonts w:ascii="Times New Roman" w:hAnsi="Times New Roman"/>
          <w:b w:val="0"/>
          <w:sz w:val="20"/>
          <w:lang w:val="pt-BR"/>
        </w:rPr>
        <w:t>a</w:t>
      </w:r>
      <w:r w:rsidR="00666E5E" w:rsidRPr="007D13E5">
        <w:rPr>
          <w:rFonts w:ascii="Times New Roman" w:hAnsi="Times New Roman"/>
          <w:b w:val="0"/>
          <w:sz w:val="20"/>
          <w:lang w:val="pt-BR"/>
        </w:rPr>
        <w:t xml:space="preserve"> são derivados de biomassa e considerados produtos versáteis para </w:t>
      </w:r>
      <w:r w:rsidR="00A27BED" w:rsidRPr="007D13E5">
        <w:rPr>
          <w:rFonts w:ascii="Times New Roman" w:hAnsi="Times New Roman"/>
          <w:b w:val="0"/>
          <w:sz w:val="20"/>
          <w:lang w:val="pt-BR"/>
        </w:rPr>
        <w:t>diversos setores da indústria química</w:t>
      </w:r>
      <w:r w:rsidR="008A371A" w:rsidRPr="007D13E5">
        <w:rPr>
          <w:rFonts w:ascii="Times New Roman" w:hAnsi="Times New Roman"/>
          <w:b w:val="0"/>
          <w:sz w:val="20"/>
          <w:lang w:val="pt-BR"/>
        </w:rPr>
        <w:t xml:space="preserve"> como, </w:t>
      </w:r>
      <w:r w:rsidR="00A27BED" w:rsidRPr="007D13E5">
        <w:rPr>
          <w:rFonts w:ascii="Times New Roman" w:hAnsi="Times New Roman"/>
          <w:b w:val="0"/>
          <w:sz w:val="20"/>
          <w:lang w:val="pt-BR"/>
        </w:rPr>
        <w:t>por exemplo, polímeros, fragrâncias</w:t>
      </w:r>
      <w:r w:rsidR="00666E5E" w:rsidRPr="007D13E5">
        <w:rPr>
          <w:rFonts w:ascii="Times New Roman" w:hAnsi="Times New Roman"/>
          <w:b w:val="0"/>
          <w:sz w:val="20"/>
          <w:lang w:val="pt-BR"/>
        </w:rPr>
        <w:t xml:space="preserve"> e</w:t>
      </w:r>
      <w:r w:rsidR="002444A1">
        <w:rPr>
          <w:rFonts w:ascii="Times New Roman" w:hAnsi="Times New Roman"/>
          <w:b w:val="0"/>
          <w:sz w:val="20"/>
          <w:lang w:val="pt-BR"/>
        </w:rPr>
        <w:t xml:space="preserve"> </w:t>
      </w:r>
      <w:r w:rsidR="00666E5E" w:rsidRPr="007D13E5">
        <w:rPr>
          <w:rFonts w:ascii="Times New Roman" w:hAnsi="Times New Roman"/>
          <w:b w:val="0"/>
          <w:sz w:val="20"/>
          <w:lang w:val="pt-BR"/>
        </w:rPr>
        <w:t>aditivos de combustível.</w:t>
      </w:r>
      <w:r w:rsidR="002444A1">
        <w:rPr>
          <w:rFonts w:ascii="Times New Roman" w:hAnsi="Times New Roman"/>
          <w:b w:val="0"/>
          <w:sz w:val="20"/>
          <w:lang w:val="pt-BR"/>
        </w:rPr>
        <w:t xml:space="preserve"> </w:t>
      </w:r>
      <w:r w:rsidR="00A27BED" w:rsidRPr="007D13E5">
        <w:rPr>
          <w:rFonts w:ascii="Times New Roman" w:hAnsi="Times New Roman"/>
          <w:b w:val="0"/>
          <w:sz w:val="20"/>
          <w:lang w:val="pt-BR"/>
        </w:rPr>
        <w:t>A obtenção desse</w:t>
      </w:r>
      <w:r w:rsidR="00F64291" w:rsidRPr="007D13E5">
        <w:rPr>
          <w:rFonts w:ascii="Times New Roman" w:hAnsi="Times New Roman"/>
          <w:b w:val="0"/>
          <w:sz w:val="20"/>
          <w:lang w:val="pt-BR"/>
        </w:rPr>
        <w:t>s</w:t>
      </w:r>
      <w:r w:rsidR="00A27BED" w:rsidRPr="007D13E5">
        <w:rPr>
          <w:rFonts w:ascii="Times New Roman" w:hAnsi="Times New Roman"/>
          <w:b w:val="0"/>
          <w:sz w:val="20"/>
          <w:lang w:val="pt-BR"/>
        </w:rPr>
        <w:t xml:space="preserve"> composto</w:t>
      </w:r>
      <w:r w:rsidR="00F64291" w:rsidRPr="007D13E5">
        <w:rPr>
          <w:rFonts w:ascii="Times New Roman" w:hAnsi="Times New Roman"/>
          <w:b w:val="0"/>
          <w:sz w:val="20"/>
          <w:lang w:val="pt-BR"/>
        </w:rPr>
        <w:t>s</w:t>
      </w:r>
      <w:r w:rsidR="00A27BED" w:rsidRPr="007D13E5">
        <w:rPr>
          <w:rFonts w:ascii="Times New Roman" w:hAnsi="Times New Roman"/>
          <w:b w:val="0"/>
          <w:sz w:val="20"/>
          <w:lang w:val="pt-BR"/>
        </w:rPr>
        <w:t xml:space="preserve"> a partir da biomassa lignocelulósica pode ser feita por duas rotas</w:t>
      </w:r>
      <w:r w:rsidR="00F64291" w:rsidRPr="007D13E5">
        <w:rPr>
          <w:rFonts w:ascii="Times New Roman" w:hAnsi="Times New Roman"/>
          <w:b w:val="0"/>
          <w:sz w:val="20"/>
          <w:lang w:val="pt-BR"/>
        </w:rPr>
        <w:t xml:space="preserve">, ambas catalisadas por </w:t>
      </w:r>
      <w:r w:rsidR="00D723CC" w:rsidRPr="007D13E5">
        <w:rPr>
          <w:rFonts w:ascii="Times New Roman" w:hAnsi="Times New Roman"/>
          <w:b w:val="0"/>
          <w:sz w:val="20"/>
          <w:lang w:val="pt-BR"/>
        </w:rPr>
        <w:t xml:space="preserve">sítios </w:t>
      </w:r>
      <w:r w:rsidR="00F64291" w:rsidRPr="007D13E5">
        <w:rPr>
          <w:rFonts w:ascii="Times New Roman" w:hAnsi="Times New Roman"/>
          <w:b w:val="0"/>
          <w:sz w:val="20"/>
          <w:lang w:val="pt-BR"/>
        </w:rPr>
        <w:t>ácido</w:t>
      </w:r>
      <w:r w:rsidR="00D723CC" w:rsidRPr="007D13E5">
        <w:rPr>
          <w:rFonts w:ascii="Times New Roman" w:hAnsi="Times New Roman"/>
          <w:b w:val="0"/>
          <w:sz w:val="20"/>
          <w:lang w:val="pt-BR"/>
        </w:rPr>
        <w:t>s</w:t>
      </w:r>
      <w:r w:rsidR="00F64291" w:rsidRPr="007D13E5">
        <w:rPr>
          <w:rFonts w:ascii="Times New Roman" w:hAnsi="Times New Roman"/>
          <w:b w:val="0"/>
          <w:sz w:val="20"/>
          <w:lang w:val="pt-BR"/>
        </w:rPr>
        <w:t xml:space="preserve">. </w:t>
      </w:r>
      <w:r w:rsidR="00666E5E" w:rsidRPr="007D13E5">
        <w:rPr>
          <w:rFonts w:ascii="Times New Roman" w:hAnsi="Times New Roman"/>
          <w:b w:val="0"/>
          <w:sz w:val="20"/>
          <w:lang w:val="pt-BR"/>
        </w:rPr>
        <w:t>Neste estudo, a</w:t>
      </w:r>
      <w:r w:rsidR="00F53E90" w:rsidRPr="007D13E5">
        <w:rPr>
          <w:rFonts w:ascii="Times New Roman" w:hAnsi="Times New Roman"/>
          <w:b w:val="0"/>
          <w:sz w:val="20"/>
          <w:lang w:val="pt-BR"/>
        </w:rPr>
        <w:t xml:space="preserve"> conversão do</w:t>
      </w:r>
      <w:r w:rsidR="00666E5E" w:rsidRPr="007D13E5">
        <w:rPr>
          <w:rFonts w:ascii="Times New Roman" w:hAnsi="Times New Roman"/>
          <w:b w:val="0"/>
          <w:sz w:val="20"/>
          <w:lang w:val="pt-BR"/>
        </w:rPr>
        <w:t xml:space="preserve"> álcool furfurílico</w:t>
      </w:r>
      <w:r w:rsidR="002444A1">
        <w:rPr>
          <w:rFonts w:ascii="Times New Roman" w:hAnsi="Times New Roman"/>
          <w:b w:val="0"/>
          <w:sz w:val="20"/>
          <w:lang w:val="pt-BR"/>
        </w:rPr>
        <w:t xml:space="preserve"> </w:t>
      </w:r>
      <w:r w:rsidR="00666E5E" w:rsidRPr="007D13E5">
        <w:rPr>
          <w:rFonts w:ascii="Times New Roman" w:hAnsi="Times New Roman"/>
          <w:b w:val="0"/>
          <w:sz w:val="20"/>
          <w:lang w:val="pt-BR"/>
        </w:rPr>
        <w:t>em levulinato de etila</w:t>
      </w:r>
      <w:r w:rsidR="002444A1">
        <w:rPr>
          <w:rFonts w:ascii="Times New Roman" w:hAnsi="Times New Roman"/>
          <w:b w:val="0"/>
          <w:sz w:val="20"/>
          <w:lang w:val="pt-BR"/>
        </w:rPr>
        <w:t xml:space="preserve"> </w:t>
      </w:r>
      <w:r w:rsidR="00F53E90" w:rsidRPr="007D13E5">
        <w:rPr>
          <w:rFonts w:ascii="Times New Roman" w:hAnsi="Times New Roman"/>
          <w:b w:val="0"/>
          <w:sz w:val="20"/>
          <w:lang w:val="pt-BR"/>
        </w:rPr>
        <w:t xml:space="preserve">foi investigada </w:t>
      </w:r>
      <w:r w:rsidR="00666E5E" w:rsidRPr="007D13E5">
        <w:rPr>
          <w:rFonts w:ascii="Times New Roman" w:hAnsi="Times New Roman"/>
          <w:b w:val="0"/>
          <w:sz w:val="20"/>
          <w:lang w:val="pt-BR"/>
        </w:rPr>
        <w:t>usando</w:t>
      </w:r>
      <w:r w:rsidR="002444A1">
        <w:rPr>
          <w:rFonts w:ascii="Times New Roman" w:hAnsi="Times New Roman"/>
          <w:b w:val="0"/>
          <w:sz w:val="20"/>
          <w:lang w:val="pt-BR"/>
        </w:rPr>
        <w:t xml:space="preserve"> </w:t>
      </w:r>
      <w:r w:rsidR="00666E5E" w:rsidRPr="007D13E5">
        <w:rPr>
          <w:rFonts w:ascii="Times New Roman" w:hAnsi="Times New Roman"/>
          <w:b w:val="0"/>
          <w:sz w:val="20"/>
          <w:lang w:val="pt-BR"/>
        </w:rPr>
        <w:t>catalisador</w:t>
      </w:r>
      <w:r w:rsidR="00916CA8">
        <w:rPr>
          <w:rFonts w:ascii="Times New Roman" w:hAnsi="Times New Roman"/>
          <w:b w:val="0"/>
          <w:sz w:val="20"/>
          <w:lang w:val="pt-BR"/>
        </w:rPr>
        <w:t>es</w:t>
      </w:r>
      <w:r w:rsidR="00022B54" w:rsidRPr="007D13E5">
        <w:rPr>
          <w:rFonts w:ascii="Times New Roman" w:hAnsi="Times New Roman"/>
          <w:b w:val="0"/>
          <w:sz w:val="20"/>
          <w:lang w:val="pt-BR"/>
        </w:rPr>
        <w:t xml:space="preserve"> a base de nióbio</w:t>
      </w:r>
      <w:r w:rsidR="003B1E09">
        <w:rPr>
          <w:rFonts w:ascii="Times New Roman" w:hAnsi="Times New Roman"/>
          <w:b w:val="0"/>
          <w:sz w:val="20"/>
          <w:lang w:val="pt-BR"/>
        </w:rPr>
        <w:t>: fosfato e óxido de nióbio</w:t>
      </w:r>
      <w:r w:rsidR="00666E5E" w:rsidRPr="007D13E5">
        <w:rPr>
          <w:rFonts w:ascii="Times New Roman" w:hAnsi="Times New Roman"/>
          <w:b w:val="0"/>
          <w:sz w:val="20"/>
          <w:lang w:val="pt-BR"/>
        </w:rPr>
        <w:t xml:space="preserve">. </w:t>
      </w:r>
      <w:r w:rsidR="00022B54" w:rsidRPr="007D13E5">
        <w:rPr>
          <w:rFonts w:ascii="Times New Roman" w:hAnsi="Times New Roman"/>
          <w:b w:val="0"/>
          <w:sz w:val="20"/>
          <w:lang w:val="pt-BR"/>
        </w:rPr>
        <w:t>Relações entre os resultados</w:t>
      </w:r>
      <w:r w:rsidR="00A60CEF">
        <w:rPr>
          <w:rFonts w:ascii="Times New Roman" w:hAnsi="Times New Roman"/>
          <w:b w:val="0"/>
          <w:sz w:val="20"/>
          <w:lang w:val="pt-BR"/>
        </w:rPr>
        <w:t xml:space="preserve"> de estudos</w:t>
      </w:r>
      <w:r w:rsidR="00022B54" w:rsidRPr="007D13E5">
        <w:rPr>
          <w:rFonts w:ascii="Times New Roman" w:hAnsi="Times New Roman"/>
          <w:b w:val="0"/>
          <w:sz w:val="20"/>
          <w:lang w:val="pt-BR"/>
        </w:rPr>
        <w:t xml:space="preserve"> catalíticos e as propriedades ácidas e </w:t>
      </w:r>
      <w:r w:rsidR="00A60CEF" w:rsidRPr="007D13E5">
        <w:rPr>
          <w:rFonts w:ascii="Times New Roman" w:hAnsi="Times New Roman"/>
          <w:b w:val="0"/>
          <w:sz w:val="20"/>
          <w:lang w:val="pt-BR"/>
        </w:rPr>
        <w:t>textura</w:t>
      </w:r>
      <w:r w:rsidR="00A60CEF">
        <w:rPr>
          <w:rFonts w:ascii="Times New Roman" w:hAnsi="Times New Roman"/>
          <w:b w:val="0"/>
          <w:sz w:val="20"/>
          <w:lang w:val="pt-BR"/>
        </w:rPr>
        <w:t>is</w:t>
      </w:r>
      <w:r w:rsidR="00AA0BED">
        <w:rPr>
          <w:rFonts w:ascii="Times New Roman" w:hAnsi="Times New Roman"/>
          <w:b w:val="0"/>
          <w:sz w:val="20"/>
          <w:lang w:val="pt-BR"/>
        </w:rPr>
        <w:t xml:space="preserve"> </w:t>
      </w:r>
      <w:r w:rsidR="00022B54" w:rsidRPr="007D13E5">
        <w:rPr>
          <w:rFonts w:ascii="Times New Roman" w:hAnsi="Times New Roman"/>
          <w:b w:val="0"/>
          <w:sz w:val="20"/>
          <w:lang w:val="pt-BR"/>
        </w:rPr>
        <w:t>dos catalisadores foram estabelecidas</w:t>
      </w:r>
      <w:r w:rsidRPr="007D13E5">
        <w:rPr>
          <w:rFonts w:ascii="Times New Roman" w:hAnsi="Times New Roman"/>
          <w:b w:val="0"/>
          <w:sz w:val="20"/>
          <w:lang w:val="pt-BR"/>
        </w:rPr>
        <w:t>.</w:t>
      </w:r>
      <w:r w:rsidR="00022B54" w:rsidRPr="007D13E5">
        <w:rPr>
          <w:rFonts w:ascii="Times New Roman" w:hAnsi="Times New Roman"/>
          <w:b w:val="0"/>
          <w:sz w:val="20"/>
          <w:lang w:val="pt-BR"/>
        </w:rPr>
        <w:t xml:space="preserve"> O produto de interesse</w:t>
      </w:r>
      <w:r w:rsidR="00916CA8">
        <w:rPr>
          <w:rFonts w:ascii="Times New Roman" w:hAnsi="Times New Roman"/>
          <w:b w:val="0"/>
          <w:sz w:val="20"/>
          <w:lang w:val="pt-BR"/>
        </w:rPr>
        <w:t>, levulinato de etila,</w:t>
      </w:r>
      <w:r w:rsidR="00022B54" w:rsidRPr="007D13E5">
        <w:rPr>
          <w:rFonts w:ascii="Times New Roman" w:hAnsi="Times New Roman"/>
          <w:b w:val="0"/>
          <w:sz w:val="20"/>
          <w:lang w:val="pt-BR"/>
        </w:rPr>
        <w:t xml:space="preserve"> foi formado com seletividade de até 3</w:t>
      </w:r>
      <w:r w:rsidR="00916CA8">
        <w:rPr>
          <w:rFonts w:ascii="Times New Roman" w:hAnsi="Times New Roman"/>
          <w:b w:val="0"/>
          <w:sz w:val="20"/>
          <w:lang w:val="pt-BR"/>
        </w:rPr>
        <w:t>2</w:t>
      </w:r>
      <w:r w:rsidR="00022B54" w:rsidRPr="007D13E5">
        <w:rPr>
          <w:rFonts w:ascii="Times New Roman" w:hAnsi="Times New Roman"/>
          <w:b w:val="0"/>
          <w:sz w:val="20"/>
          <w:lang w:val="pt-BR"/>
        </w:rPr>
        <w:t xml:space="preserve">%, a 3 h reação (99% de conversão </w:t>
      </w:r>
      <w:r w:rsidR="00A26D79" w:rsidRPr="007D13E5">
        <w:rPr>
          <w:rFonts w:ascii="Times New Roman" w:hAnsi="Times New Roman"/>
          <w:b w:val="0"/>
          <w:sz w:val="20"/>
          <w:lang w:val="pt-BR"/>
        </w:rPr>
        <w:t>do AFF</w:t>
      </w:r>
      <w:r w:rsidR="00022B54" w:rsidRPr="007D13E5">
        <w:rPr>
          <w:rFonts w:ascii="Times New Roman" w:hAnsi="Times New Roman"/>
          <w:b w:val="0"/>
          <w:sz w:val="20"/>
          <w:lang w:val="pt-BR"/>
        </w:rPr>
        <w:t>).</w:t>
      </w:r>
    </w:p>
    <w:p w:rsidR="00EA4E1B" w:rsidRPr="007D13E5" w:rsidRDefault="00EA4E1B" w:rsidP="00F64291">
      <w:pPr>
        <w:pStyle w:val="BDAbstract"/>
        <w:spacing w:before="0" w:after="0" w:line="240" w:lineRule="auto"/>
        <w:rPr>
          <w:rFonts w:ascii="Times New Roman" w:hAnsi="Times New Roman"/>
          <w:b w:val="0"/>
          <w:sz w:val="20"/>
          <w:lang w:val="pt-BR"/>
        </w:rPr>
      </w:pPr>
      <w:r w:rsidRPr="007D13E5">
        <w:rPr>
          <w:rFonts w:ascii="Times New Roman" w:hAnsi="Times New Roman"/>
          <w:b w:val="0"/>
          <w:i/>
          <w:sz w:val="20"/>
          <w:lang w:val="pt-BR"/>
        </w:rPr>
        <w:t xml:space="preserve">Palavras-chave: </w:t>
      </w:r>
      <w:r w:rsidR="00F64291" w:rsidRPr="007D13E5">
        <w:rPr>
          <w:rFonts w:ascii="Times New Roman" w:hAnsi="Times New Roman"/>
          <w:b w:val="0"/>
          <w:i/>
          <w:sz w:val="20"/>
          <w:lang w:val="pt-BR"/>
        </w:rPr>
        <w:t>álcool furfurílico,</w:t>
      </w:r>
      <w:r w:rsidR="00BD07BF">
        <w:rPr>
          <w:rFonts w:ascii="Times New Roman" w:hAnsi="Times New Roman"/>
          <w:b w:val="0"/>
          <w:i/>
          <w:sz w:val="20"/>
          <w:lang w:val="pt-BR"/>
        </w:rPr>
        <w:t>alcoólise,</w:t>
      </w:r>
      <w:r w:rsidR="00517BC9">
        <w:rPr>
          <w:rFonts w:ascii="Times New Roman" w:hAnsi="Times New Roman"/>
          <w:b w:val="0"/>
          <w:i/>
          <w:sz w:val="20"/>
          <w:lang w:val="pt-BR"/>
        </w:rPr>
        <w:t>catalisadores ácidos</w:t>
      </w:r>
      <w:r w:rsidR="00F64291" w:rsidRPr="006673A3">
        <w:rPr>
          <w:rFonts w:ascii="Times New Roman" w:hAnsi="Times New Roman"/>
          <w:b w:val="0"/>
          <w:bCs/>
          <w:i/>
          <w:sz w:val="20"/>
          <w:lang w:val="pt-BR"/>
        </w:rPr>
        <w:t xml:space="preserve">, </w:t>
      </w:r>
      <w:r w:rsidR="00F64291" w:rsidRPr="007D13E5">
        <w:rPr>
          <w:rFonts w:ascii="Times New Roman" w:hAnsi="Times New Roman"/>
          <w:b w:val="0"/>
          <w:i/>
          <w:sz w:val="20"/>
          <w:lang w:val="pt-BR"/>
        </w:rPr>
        <w:t>levulinato</w:t>
      </w:r>
      <w:r w:rsidR="00BD07BF">
        <w:rPr>
          <w:rFonts w:ascii="Times New Roman" w:hAnsi="Times New Roman"/>
          <w:b w:val="0"/>
          <w:i/>
          <w:sz w:val="20"/>
          <w:lang w:val="pt-BR"/>
        </w:rPr>
        <w:t>s</w:t>
      </w:r>
      <w:r w:rsidR="00F64291" w:rsidRPr="007D13E5">
        <w:rPr>
          <w:rFonts w:ascii="Times New Roman" w:hAnsi="Times New Roman"/>
          <w:b w:val="0"/>
          <w:i/>
          <w:sz w:val="20"/>
          <w:lang w:val="pt-BR"/>
        </w:rPr>
        <w:t xml:space="preserve"> de </w:t>
      </w:r>
      <w:r w:rsidR="00BD07BF">
        <w:rPr>
          <w:rFonts w:ascii="Times New Roman" w:hAnsi="Times New Roman"/>
          <w:b w:val="0"/>
          <w:i/>
          <w:sz w:val="20"/>
          <w:lang w:val="pt-BR"/>
        </w:rPr>
        <w:t>alquila</w:t>
      </w:r>
    </w:p>
    <w:p w:rsidR="00EA4E1B" w:rsidRPr="007D13E5" w:rsidRDefault="00EA4E1B" w:rsidP="00EA4E1B">
      <w:pPr>
        <w:pStyle w:val="BDAbstract"/>
        <w:spacing w:before="0" w:after="0" w:line="240" w:lineRule="auto"/>
        <w:rPr>
          <w:rFonts w:ascii="Times New Roman" w:hAnsi="Times New Roman"/>
          <w:b w:val="0"/>
          <w:sz w:val="20"/>
          <w:lang w:val="pt-BR"/>
        </w:rPr>
      </w:pPr>
    </w:p>
    <w:p w:rsidR="00A60CEF" w:rsidRPr="006673A3" w:rsidRDefault="00EA4E1B" w:rsidP="00517BC9">
      <w:pPr>
        <w:pStyle w:val="BDAbstract"/>
        <w:spacing w:before="0" w:after="0" w:line="240" w:lineRule="auto"/>
        <w:rPr>
          <w:rFonts w:ascii="Times New Roman" w:hAnsi="Times New Roman"/>
          <w:b w:val="0"/>
          <w:sz w:val="20"/>
        </w:rPr>
      </w:pPr>
      <w:r w:rsidRPr="006673A3">
        <w:rPr>
          <w:rFonts w:ascii="Times New Roman" w:hAnsi="Times New Roman"/>
          <w:b w:val="0"/>
          <w:sz w:val="20"/>
        </w:rPr>
        <w:t xml:space="preserve">ABSTRACT - </w:t>
      </w:r>
      <w:r w:rsidR="00A60CEF" w:rsidRPr="006673A3">
        <w:rPr>
          <w:rFonts w:ascii="Times New Roman" w:hAnsi="Times New Roman"/>
          <w:b w:val="0"/>
          <w:sz w:val="20"/>
        </w:rPr>
        <w:t>Alkyl levulinates</w:t>
      </w:r>
      <w:r w:rsidR="00AA0BED">
        <w:rPr>
          <w:rFonts w:ascii="Times New Roman" w:hAnsi="Times New Roman"/>
          <w:b w:val="0"/>
          <w:sz w:val="20"/>
        </w:rPr>
        <w:t xml:space="preserve"> </w:t>
      </w:r>
      <w:r w:rsidR="00A60CEF" w:rsidRPr="006673A3">
        <w:rPr>
          <w:rFonts w:ascii="Times New Roman" w:hAnsi="Times New Roman"/>
          <w:b w:val="0"/>
          <w:sz w:val="20"/>
        </w:rPr>
        <w:t>are derived from biomass and are considered versatile products for the chemical industry, such as polymers, fragrances and fuel additives. Obtaining these compounds from lignocellulosic biomass can be done by two routes, both reactions catalyzed by acid sites. In this study, the conversion of furfuryl alcohol to ethyl levulinate</w:t>
      </w:r>
      <w:r w:rsidR="00AA0BED">
        <w:rPr>
          <w:rFonts w:ascii="Times New Roman" w:hAnsi="Times New Roman"/>
          <w:b w:val="0"/>
          <w:sz w:val="20"/>
        </w:rPr>
        <w:t xml:space="preserve"> </w:t>
      </w:r>
      <w:r w:rsidR="00A60CEF" w:rsidRPr="006673A3">
        <w:rPr>
          <w:rFonts w:ascii="Times New Roman" w:hAnsi="Times New Roman"/>
          <w:b w:val="0"/>
          <w:sz w:val="20"/>
        </w:rPr>
        <w:t>was investigated using niobium-based catalyst</w:t>
      </w:r>
      <w:r w:rsidR="00916CA8">
        <w:rPr>
          <w:rFonts w:ascii="Times New Roman" w:hAnsi="Times New Roman"/>
          <w:b w:val="0"/>
          <w:sz w:val="20"/>
        </w:rPr>
        <w:t>s</w:t>
      </w:r>
      <w:r w:rsidR="003F3A93" w:rsidRPr="006673A3">
        <w:rPr>
          <w:rFonts w:ascii="Times New Roman" w:hAnsi="Times New Roman"/>
          <w:b w:val="0"/>
          <w:sz w:val="20"/>
        </w:rPr>
        <w:t>: niobium phosphate and niobium oxide</w:t>
      </w:r>
      <w:r w:rsidR="00A60CEF" w:rsidRPr="006673A3">
        <w:rPr>
          <w:rFonts w:ascii="Times New Roman" w:hAnsi="Times New Roman"/>
          <w:b w:val="0"/>
          <w:sz w:val="20"/>
        </w:rPr>
        <w:t xml:space="preserve">. </w:t>
      </w:r>
      <w:r w:rsidR="00916CA8">
        <w:rPr>
          <w:rFonts w:ascii="Times New Roman" w:hAnsi="Times New Roman"/>
          <w:b w:val="0"/>
          <w:sz w:val="20"/>
        </w:rPr>
        <w:t>The r</w:t>
      </w:r>
      <w:r w:rsidR="00A60CEF" w:rsidRPr="006673A3">
        <w:rPr>
          <w:rFonts w:ascii="Times New Roman" w:hAnsi="Times New Roman"/>
          <w:b w:val="0"/>
          <w:sz w:val="20"/>
        </w:rPr>
        <w:t>elationships between the catalytic results and the acid and textur</w:t>
      </w:r>
      <w:r w:rsidR="00916CA8">
        <w:rPr>
          <w:rFonts w:ascii="Times New Roman" w:hAnsi="Times New Roman"/>
          <w:b w:val="0"/>
          <w:sz w:val="20"/>
        </w:rPr>
        <w:t>al</w:t>
      </w:r>
      <w:r w:rsidR="00A60CEF" w:rsidRPr="006673A3">
        <w:rPr>
          <w:rFonts w:ascii="Times New Roman" w:hAnsi="Times New Roman"/>
          <w:b w:val="0"/>
          <w:sz w:val="20"/>
        </w:rPr>
        <w:t xml:space="preserve"> properties of the catalysts were established. The main product</w:t>
      </w:r>
      <w:r w:rsidR="00916CA8">
        <w:rPr>
          <w:rFonts w:ascii="Times New Roman" w:hAnsi="Times New Roman"/>
          <w:b w:val="0"/>
          <w:sz w:val="20"/>
        </w:rPr>
        <w:t>, ethyl levulinate,</w:t>
      </w:r>
      <w:r w:rsidR="00203A67">
        <w:rPr>
          <w:rFonts w:ascii="Times New Roman" w:hAnsi="Times New Roman"/>
          <w:b w:val="0"/>
          <w:sz w:val="20"/>
        </w:rPr>
        <w:t xml:space="preserve"> </w:t>
      </w:r>
      <w:r w:rsidR="00A60CEF" w:rsidRPr="006673A3">
        <w:rPr>
          <w:rFonts w:ascii="Times New Roman" w:hAnsi="Times New Roman"/>
          <w:b w:val="0"/>
          <w:sz w:val="20"/>
        </w:rPr>
        <w:t>was formed with a selectivity of up to 3</w:t>
      </w:r>
      <w:r w:rsidR="00916CA8">
        <w:rPr>
          <w:rFonts w:ascii="Times New Roman" w:hAnsi="Times New Roman"/>
          <w:b w:val="0"/>
          <w:sz w:val="20"/>
        </w:rPr>
        <w:t>2</w:t>
      </w:r>
      <w:r w:rsidR="00A60CEF" w:rsidRPr="006673A3">
        <w:rPr>
          <w:rFonts w:ascii="Times New Roman" w:hAnsi="Times New Roman"/>
          <w:b w:val="0"/>
          <w:sz w:val="20"/>
        </w:rPr>
        <w:t>%, at 3 h reaction (99% FFA conversion).</w:t>
      </w:r>
    </w:p>
    <w:p w:rsidR="00517BC9" w:rsidRPr="006673A3" w:rsidRDefault="00EA4E1B" w:rsidP="00517BC9">
      <w:pPr>
        <w:pStyle w:val="BDAbstract"/>
        <w:spacing w:before="0" w:after="0" w:line="240" w:lineRule="auto"/>
        <w:rPr>
          <w:rFonts w:ascii="Times New Roman" w:hAnsi="Times New Roman"/>
          <w:b w:val="0"/>
          <w:i/>
          <w:sz w:val="20"/>
        </w:rPr>
      </w:pPr>
      <w:r w:rsidRPr="006673A3">
        <w:rPr>
          <w:rFonts w:ascii="Times New Roman" w:hAnsi="Times New Roman"/>
          <w:b w:val="0"/>
          <w:i/>
          <w:sz w:val="20"/>
        </w:rPr>
        <w:t xml:space="preserve">Keywords: </w:t>
      </w:r>
      <w:r w:rsidR="00F12655" w:rsidRPr="006673A3">
        <w:rPr>
          <w:rFonts w:ascii="Times New Roman" w:hAnsi="Times New Roman"/>
          <w:b w:val="0"/>
          <w:i/>
          <w:sz w:val="20"/>
        </w:rPr>
        <w:t xml:space="preserve">furfuryl alcohol, </w:t>
      </w:r>
      <w:r w:rsidR="00517BC9" w:rsidRPr="006673A3">
        <w:rPr>
          <w:rFonts w:ascii="Times New Roman" w:hAnsi="Times New Roman"/>
          <w:b w:val="0"/>
          <w:i/>
          <w:sz w:val="20"/>
        </w:rPr>
        <w:t xml:space="preserve">alcoholysis, </w:t>
      </w:r>
      <w:r w:rsidR="00F12655" w:rsidRPr="006673A3">
        <w:rPr>
          <w:rFonts w:ascii="Times New Roman" w:hAnsi="Times New Roman"/>
          <w:b w:val="0"/>
          <w:i/>
          <w:sz w:val="20"/>
        </w:rPr>
        <w:t>acid catalysis</w:t>
      </w:r>
      <w:r w:rsidR="00517BC9" w:rsidRPr="006673A3">
        <w:rPr>
          <w:rFonts w:ascii="Times New Roman" w:hAnsi="Times New Roman"/>
          <w:b w:val="0"/>
          <w:i/>
          <w:sz w:val="20"/>
        </w:rPr>
        <w:t>, alkyl levulinates</w:t>
      </w:r>
    </w:p>
    <w:bookmarkEnd w:id="1"/>
    <w:p w:rsidR="00EA4E1B" w:rsidRDefault="00EA4E1B" w:rsidP="00517BC9">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lastRenderedPageBreak/>
        <w:t>Introdução</w:t>
      </w:r>
    </w:p>
    <w:p w:rsidR="00340043" w:rsidRDefault="00F53E90" w:rsidP="00EA4E1B">
      <w:pPr>
        <w:pStyle w:val="TAMainText"/>
        <w:rPr>
          <w:rFonts w:ascii="Times New Roman" w:hAnsi="Times New Roman"/>
          <w:lang w:val="pt-BR"/>
        </w:rPr>
      </w:pPr>
      <w:r>
        <w:rPr>
          <w:rFonts w:ascii="Times New Roman" w:hAnsi="Times New Roman"/>
          <w:lang w:val="pt-BR"/>
        </w:rPr>
        <w:t>A</w:t>
      </w:r>
      <w:r w:rsidR="00AA0BED">
        <w:rPr>
          <w:rFonts w:ascii="Times New Roman" w:hAnsi="Times New Roman"/>
          <w:lang w:val="pt-BR"/>
        </w:rPr>
        <w:t xml:space="preserve"> </w:t>
      </w:r>
      <w:r w:rsidR="00A60CEF">
        <w:rPr>
          <w:rFonts w:ascii="Times New Roman" w:hAnsi="Times New Roman"/>
          <w:lang w:val="pt-BR"/>
        </w:rPr>
        <w:t xml:space="preserve">atual </w:t>
      </w:r>
      <w:r w:rsidRPr="00F53E90">
        <w:rPr>
          <w:rFonts w:ascii="Times New Roman" w:hAnsi="Times New Roman"/>
          <w:lang w:val="pt-BR"/>
        </w:rPr>
        <w:t>atenção significativa d</w:t>
      </w:r>
      <w:r>
        <w:rPr>
          <w:rFonts w:ascii="Times New Roman" w:hAnsi="Times New Roman"/>
          <w:lang w:val="pt-BR"/>
        </w:rPr>
        <w:t>e</w:t>
      </w:r>
      <w:r w:rsidRPr="00F53E90">
        <w:rPr>
          <w:rFonts w:ascii="Times New Roman" w:hAnsi="Times New Roman"/>
          <w:lang w:val="pt-BR"/>
        </w:rPr>
        <w:t xml:space="preserve"> pesquisadores para a conversão de recursos renováveis de biomassa em produtos químicos de alto valor agregado</w:t>
      </w:r>
      <w:r>
        <w:rPr>
          <w:rFonts w:ascii="Times New Roman" w:hAnsi="Times New Roman"/>
          <w:lang w:val="pt-BR"/>
        </w:rPr>
        <w:t xml:space="preserve"> se justifica pel</w:t>
      </w:r>
      <w:r w:rsidRPr="00F53E90">
        <w:rPr>
          <w:rFonts w:ascii="Times New Roman" w:hAnsi="Times New Roman"/>
          <w:lang w:val="pt-BR"/>
        </w:rPr>
        <w:t xml:space="preserve">a </w:t>
      </w:r>
      <w:r w:rsidR="006673A3">
        <w:rPr>
          <w:rFonts w:ascii="Times New Roman" w:hAnsi="Times New Roman"/>
          <w:lang w:val="pt-BR"/>
        </w:rPr>
        <w:t>emergência climática</w:t>
      </w:r>
      <w:r w:rsidR="002444A1">
        <w:rPr>
          <w:rFonts w:ascii="Times New Roman" w:hAnsi="Times New Roman"/>
          <w:lang w:val="pt-BR"/>
        </w:rPr>
        <w:t xml:space="preserve"> </w:t>
      </w:r>
      <w:r w:rsidRPr="00F53E90">
        <w:rPr>
          <w:rFonts w:ascii="Times New Roman" w:hAnsi="Times New Roman"/>
          <w:lang w:val="pt-BR"/>
        </w:rPr>
        <w:t xml:space="preserve">e </w:t>
      </w:r>
      <w:r w:rsidR="006673A3">
        <w:rPr>
          <w:rFonts w:ascii="Times New Roman" w:hAnsi="Times New Roman"/>
          <w:lang w:val="pt-BR"/>
        </w:rPr>
        <w:t xml:space="preserve">necessidade de </w:t>
      </w:r>
      <w:r w:rsidRPr="00F53E90">
        <w:rPr>
          <w:rFonts w:ascii="Times New Roman" w:hAnsi="Times New Roman"/>
          <w:lang w:val="pt-BR"/>
        </w:rPr>
        <w:t>diversifica</w:t>
      </w:r>
      <w:r w:rsidR="00AE56F7">
        <w:rPr>
          <w:rFonts w:ascii="Times New Roman" w:hAnsi="Times New Roman"/>
          <w:lang w:val="pt-BR"/>
        </w:rPr>
        <w:t>ção d</w:t>
      </w:r>
      <w:r w:rsidRPr="00F53E90">
        <w:rPr>
          <w:rFonts w:ascii="Times New Roman" w:hAnsi="Times New Roman"/>
          <w:lang w:val="pt-BR"/>
        </w:rPr>
        <w:t>as fontes de energia</w:t>
      </w:r>
      <w:r w:rsidR="00340043">
        <w:rPr>
          <w:rFonts w:ascii="Times New Roman" w:hAnsi="Times New Roman"/>
          <w:lang w:val="pt-BR"/>
        </w:rPr>
        <w:t xml:space="preserve"> (1)</w:t>
      </w:r>
      <w:r>
        <w:rPr>
          <w:rFonts w:ascii="Times New Roman" w:hAnsi="Times New Roman"/>
          <w:lang w:val="pt-BR"/>
        </w:rPr>
        <w:t xml:space="preserve">. </w:t>
      </w:r>
    </w:p>
    <w:p w:rsidR="003212C9" w:rsidRDefault="00A60CEF" w:rsidP="00EA4E1B">
      <w:pPr>
        <w:pStyle w:val="TAMainText"/>
        <w:rPr>
          <w:rFonts w:ascii="Times New Roman" w:hAnsi="Times New Roman"/>
          <w:lang w:val="pt-BR"/>
        </w:rPr>
      </w:pPr>
      <w:r>
        <w:rPr>
          <w:rFonts w:ascii="Times New Roman" w:hAnsi="Times New Roman"/>
          <w:lang w:val="pt-BR"/>
        </w:rPr>
        <w:t>De</w:t>
      </w:r>
      <w:r w:rsidRPr="00F53E90">
        <w:rPr>
          <w:rFonts w:ascii="Times New Roman" w:hAnsi="Times New Roman"/>
          <w:lang w:val="pt-BR"/>
        </w:rPr>
        <w:t xml:space="preserve">ntre </w:t>
      </w:r>
      <w:r w:rsidR="00F53E90" w:rsidRPr="00F53E90">
        <w:rPr>
          <w:rFonts w:ascii="Times New Roman" w:hAnsi="Times New Roman"/>
          <w:lang w:val="pt-BR"/>
        </w:rPr>
        <w:t>os produtos químicos derivados de biomassa lignocelulósica, os levulinatos de alquila</w:t>
      </w:r>
      <w:r w:rsidR="00BD559D">
        <w:rPr>
          <w:rFonts w:ascii="Times New Roman" w:hAnsi="Times New Roman"/>
          <w:lang w:val="pt-BR"/>
        </w:rPr>
        <w:t xml:space="preserve"> </w:t>
      </w:r>
      <w:r w:rsidR="00F53E90" w:rsidRPr="00F53E90">
        <w:rPr>
          <w:rFonts w:ascii="Times New Roman" w:hAnsi="Times New Roman"/>
          <w:lang w:val="pt-BR"/>
        </w:rPr>
        <w:t>como o levulinato de etila (L</w:t>
      </w:r>
      <w:r w:rsidR="00876578">
        <w:rPr>
          <w:rFonts w:ascii="Times New Roman" w:hAnsi="Times New Roman"/>
          <w:lang w:val="pt-BR"/>
        </w:rPr>
        <w:t>E</w:t>
      </w:r>
      <w:r w:rsidR="00F53E90" w:rsidRPr="00F53E90">
        <w:rPr>
          <w:rFonts w:ascii="Times New Roman" w:hAnsi="Times New Roman"/>
          <w:lang w:val="pt-BR"/>
        </w:rPr>
        <w:t>)</w:t>
      </w:r>
      <w:r w:rsidR="00F53E90">
        <w:rPr>
          <w:rFonts w:ascii="Times New Roman" w:hAnsi="Times New Roman"/>
          <w:lang w:val="pt-BR"/>
        </w:rPr>
        <w:t xml:space="preserve">, </w:t>
      </w:r>
      <w:r w:rsidR="00DD02C5">
        <w:rPr>
          <w:rFonts w:ascii="Times New Roman" w:hAnsi="Times New Roman"/>
          <w:lang w:val="pt-BR"/>
        </w:rPr>
        <w:t xml:space="preserve">são conhecidos pela </w:t>
      </w:r>
      <w:r w:rsidR="00DD02C5" w:rsidRPr="00DD02C5">
        <w:rPr>
          <w:rFonts w:ascii="Times New Roman" w:hAnsi="Times New Roman"/>
          <w:lang w:val="pt-BR"/>
        </w:rPr>
        <w:t xml:space="preserve">miscibilidade com gasolina e diesel, natureza não tóxica, alta lubricidade, estabilidade do ponto de inflamação, </w:t>
      </w:r>
      <w:r w:rsidR="004F357A">
        <w:rPr>
          <w:rFonts w:ascii="Times New Roman" w:hAnsi="Times New Roman"/>
          <w:lang w:val="pt-BR"/>
        </w:rPr>
        <w:t>baixo</w:t>
      </w:r>
      <w:r w:rsidR="00DD02C5" w:rsidRPr="00DD02C5">
        <w:rPr>
          <w:rFonts w:ascii="Times New Roman" w:hAnsi="Times New Roman"/>
          <w:lang w:val="pt-BR"/>
        </w:rPr>
        <w:t xml:space="preserve"> teor de enxofre e </w:t>
      </w:r>
      <w:r w:rsidR="00D723CC">
        <w:rPr>
          <w:rFonts w:ascii="Times New Roman" w:hAnsi="Times New Roman"/>
          <w:lang w:val="pt-BR"/>
        </w:rPr>
        <w:t xml:space="preserve">suas </w:t>
      </w:r>
      <w:r w:rsidR="00DD02C5" w:rsidRPr="00DD02C5">
        <w:rPr>
          <w:rFonts w:ascii="Times New Roman" w:hAnsi="Times New Roman"/>
          <w:lang w:val="pt-BR"/>
        </w:rPr>
        <w:t xml:space="preserve">propriedades de fluxo </w:t>
      </w:r>
      <w:r w:rsidR="004F357A">
        <w:rPr>
          <w:rFonts w:ascii="Times New Roman" w:hAnsi="Times New Roman"/>
          <w:lang w:val="pt-BR"/>
        </w:rPr>
        <w:t>a</w:t>
      </w:r>
      <w:r w:rsidR="00DD02C5" w:rsidRPr="00DD02C5">
        <w:rPr>
          <w:rFonts w:ascii="Times New Roman" w:hAnsi="Times New Roman"/>
          <w:lang w:val="pt-BR"/>
        </w:rPr>
        <w:t xml:space="preserve"> frio</w:t>
      </w:r>
      <w:r w:rsidR="00F53E90">
        <w:rPr>
          <w:rFonts w:ascii="Times New Roman" w:hAnsi="Times New Roman"/>
          <w:lang w:val="pt-BR"/>
        </w:rPr>
        <w:t>, além de potenciais</w:t>
      </w:r>
      <w:r w:rsidR="00F53E90" w:rsidRPr="00F53E90">
        <w:rPr>
          <w:rFonts w:ascii="Times New Roman" w:hAnsi="Times New Roman"/>
          <w:lang w:val="pt-BR"/>
        </w:rPr>
        <w:t xml:space="preserve"> aplicações na indústria de aroma</w:t>
      </w:r>
      <w:r w:rsidR="00F53E90">
        <w:rPr>
          <w:rFonts w:ascii="Times New Roman" w:hAnsi="Times New Roman"/>
          <w:lang w:val="pt-BR"/>
        </w:rPr>
        <w:t>s e fragrâncias</w:t>
      </w:r>
      <w:r w:rsidR="00340043">
        <w:rPr>
          <w:rFonts w:ascii="Times New Roman" w:hAnsi="Times New Roman"/>
          <w:lang w:val="pt-BR"/>
        </w:rPr>
        <w:t xml:space="preserve"> (</w:t>
      </w:r>
      <w:r w:rsidR="007761CA">
        <w:rPr>
          <w:rFonts w:ascii="Times New Roman" w:hAnsi="Times New Roman"/>
          <w:lang w:val="pt-BR"/>
        </w:rPr>
        <w:t>2</w:t>
      </w:r>
      <w:r w:rsidR="00340043">
        <w:rPr>
          <w:rFonts w:ascii="Times New Roman" w:hAnsi="Times New Roman"/>
          <w:lang w:val="pt-BR"/>
        </w:rPr>
        <w:t>)</w:t>
      </w:r>
      <w:r w:rsidR="00F53E90" w:rsidRPr="00F53E90">
        <w:rPr>
          <w:rFonts w:ascii="Times New Roman" w:hAnsi="Times New Roman"/>
          <w:lang w:val="pt-BR"/>
        </w:rPr>
        <w:t xml:space="preserve">. </w:t>
      </w:r>
      <w:r w:rsidR="002222CF">
        <w:rPr>
          <w:rFonts w:ascii="Times New Roman" w:hAnsi="Times New Roman"/>
          <w:lang w:val="pt-BR"/>
        </w:rPr>
        <w:t>G</w:t>
      </w:r>
      <w:r w:rsidR="00F53E90" w:rsidRPr="00F53E90">
        <w:rPr>
          <w:rFonts w:ascii="Times New Roman" w:hAnsi="Times New Roman"/>
          <w:lang w:val="pt-BR"/>
        </w:rPr>
        <w:t>eral</w:t>
      </w:r>
      <w:r w:rsidR="002222CF">
        <w:rPr>
          <w:rFonts w:ascii="Times New Roman" w:hAnsi="Times New Roman"/>
          <w:lang w:val="pt-BR"/>
        </w:rPr>
        <w:t>mente</w:t>
      </w:r>
      <w:r w:rsidR="00F53E90" w:rsidRPr="00F53E90">
        <w:rPr>
          <w:rFonts w:ascii="Times New Roman" w:hAnsi="Times New Roman"/>
          <w:lang w:val="pt-BR"/>
        </w:rPr>
        <w:t xml:space="preserve">, </w:t>
      </w:r>
      <w:r w:rsidR="00EE6243">
        <w:rPr>
          <w:rFonts w:ascii="Times New Roman" w:hAnsi="Times New Roman"/>
          <w:lang w:val="pt-BR"/>
        </w:rPr>
        <w:t xml:space="preserve">a produção de </w:t>
      </w:r>
      <w:r w:rsidR="00F53E90" w:rsidRPr="00F53E90">
        <w:rPr>
          <w:rFonts w:ascii="Times New Roman" w:hAnsi="Times New Roman"/>
          <w:lang w:val="pt-BR"/>
        </w:rPr>
        <w:t>L</w:t>
      </w:r>
      <w:r w:rsidR="003446A4">
        <w:rPr>
          <w:rFonts w:ascii="Times New Roman" w:hAnsi="Times New Roman"/>
          <w:lang w:val="pt-BR"/>
        </w:rPr>
        <w:t>E</w:t>
      </w:r>
      <w:r w:rsidR="00F53E90" w:rsidRPr="00F53E90">
        <w:rPr>
          <w:rFonts w:ascii="Times New Roman" w:hAnsi="Times New Roman"/>
          <w:lang w:val="pt-BR"/>
        </w:rPr>
        <w:t xml:space="preserve"> é </w:t>
      </w:r>
      <w:r w:rsidR="00EE6243">
        <w:rPr>
          <w:rFonts w:ascii="Times New Roman" w:hAnsi="Times New Roman"/>
          <w:lang w:val="pt-BR"/>
        </w:rPr>
        <w:t>feita</w:t>
      </w:r>
      <w:r w:rsidR="00AA0BED">
        <w:rPr>
          <w:rFonts w:ascii="Times New Roman" w:hAnsi="Times New Roman"/>
          <w:lang w:val="pt-BR"/>
        </w:rPr>
        <w:t xml:space="preserve"> </w:t>
      </w:r>
      <w:r w:rsidR="004F357A">
        <w:rPr>
          <w:rFonts w:ascii="Times New Roman" w:hAnsi="Times New Roman"/>
          <w:lang w:val="pt-BR"/>
        </w:rPr>
        <w:t>pel</w:t>
      </w:r>
      <w:r w:rsidR="005C47BE">
        <w:rPr>
          <w:rFonts w:ascii="Times New Roman" w:hAnsi="Times New Roman"/>
          <w:lang w:val="pt-BR"/>
        </w:rPr>
        <w:t>a</w:t>
      </w:r>
      <w:r w:rsidR="00F53E90" w:rsidRPr="00F53E90">
        <w:rPr>
          <w:rFonts w:ascii="Times New Roman" w:hAnsi="Times New Roman"/>
          <w:lang w:val="pt-BR"/>
        </w:rPr>
        <w:t xml:space="preserve"> esterificação </w:t>
      </w:r>
      <w:r w:rsidR="004F357A">
        <w:rPr>
          <w:rFonts w:ascii="Times New Roman" w:hAnsi="Times New Roman"/>
          <w:lang w:val="pt-BR"/>
        </w:rPr>
        <w:t xml:space="preserve">direta </w:t>
      </w:r>
      <w:r w:rsidR="00F53E90" w:rsidRPr="00F53E90">
        <w:rPr>
          <w:rFonts w:ascii="Times New Roman" w:hAnsi="Times New Roman"/>
          <w:lang w:val="pt-BR"/>
        </w:rPr>
        <w:t>do ácido levulínico</w:t>
      </w:r>
      <w:r w:rsidR="00EE6243">
        <w:rPr>
          <w:rFonts w:ascii="Times New Roman" w:hAnsi="Times New Roman"/>
          <w:lang w:val="pt-BR"/>
        </w:rPr>
        <w:t xml:space="preserve"> (AL)</w:t>
      </w:r>
      <w:r w:rsidR="00D723CC">
        <w:rPr>
          <w:rFonts w:ascii="Times New Roman" w:hAnsi="Times New Roman"/>
          <w:lang w:val="pt-BR"/>
        </w:rPr>
        <w:t>. N</w:t>
      </w:r>
      <w:r w:rsidR="00EE6243">
        <w:rPr>
          <w:rFonts w:ascii="Times New Roman" w:hAnsi="Times New Roman"/>
          <w:lang w:val="pt-BR"/>
        </w:rPr>
        <w:t>o entanto</w:t>
      </w:r>
      <w:r w:rsidR="00D723CC">
        <w:rPr>
          <w:rFonts w:ascii="Times New Roman" w:hAnsi="Times New Roman"/>
          <w:lang w:val="pt-BR"/>
        </w:rPr>
        <w:t>,</w:t>
      </w:r>
      <w:r w:rsidR="002444A1">
        <w:rPr>
          <w:rFonts w:ascii="Times New Roman" w:hAnsi="Times New Roman"/>
          <w:lang w:val="pt-BR"/>
        </w:rPr>
        <w:t xml:space="preserve"> </w:t>
      </w:r>
      <w:r>
        <w:rPr>
          <w:rFonts w:ascii="Times New Roman" w:hAnsi="Times New Roman"/>
          <w:lang w:val="pt-BR"/>
        </w:rPr>
        <w:t xml:space="preserve">sendo </w:t>
      </w:r>
      <w:r w:rsidR="004F357A">
        <w:rPr>
          <w:rFonts w:ascii="Times New Roman" w:hAnsi="Times New Roman"/>
          <w:lang w:val="pt-BR"/>
        </w:rPr>
        <w:t xml:space="preserve">o AL </w:t>
      </w:r>
      <w:r w:rsidR="00EE6243" w:rsidRPr="00F53E90">
        <w:rPr>
          <w:rFonts w:ascii="Times New Roman" w:hAnsi="Times New Roman"/>
          <w:lang w:val="pt-BR"/>
        </w:rPr>
        <w:t>uma matéria-prima de alto custo para esta finalidade</w:t>
      </w:r>
      <w:r w:rsidR="006673A3">
        <w:rPr>
          <w:rFonts w:ascii="Times New Roman" w:hAnsi="Times New Roman"/>
          <w:lang w:val="pt-BR"/>
        </w:rPr>
        <w:t>,</w:t>
      </w:r>
      <w:r w:rsidR="002444A1">
        <w:rPr>
          <w:rFonts w:ascii="Times New Roman" w:hAnsi="Times New Roman"/>
          <w:lang w:val="pt-BR"/>
        </w:rPr>
        <w:t xml:space="preserve"> </w:t>
      </w:r>
      <w:r w:rsidR="00EE6243" w:rsidRPr="00EE6243">
        <w:rPr>
          <w:rFonts w:ascii="Times New Roman" w:hAnsi="Times New Roman"/>
          <w:lang w:val="pt-BR"/>
        </w:rPr>
        <w:t>devido ao seu elevado ponto de ebulição e atividade</w:t>
      </w:r>
      <w:r w:rsidR="006673A3">
        <w:rPr>
          <w:rFonts w:ascii="Times New Roman" w:hAnsi="Times New Roman"/>
          <w:lang w:val="pt-BR"/>
        </w:rPr>
        <w:t>,</w:t>
      </w:r>
      <w:r w:rsidR="002444A1">
        <w:rPr>
          <w:rFonts w:ascii="Times New Roman" w:hAnsi="Times New Roman"/>
          <w:lang w:val="pt-BR"/>
        </w:rPr>
        <w:t xml:space="preserve"> </w:t>
      </w:r>
      <w:r w:rsidRPr="00A60CEF">
        <w:rPr>
          <w:rFonts w:ascii="Times New Roman" w:hAnsi="Times New Roman"/>
          <w:lang w:val="pt-BR"/>
        </w:rPr>
        <w:t>torna-se atrativa a</w:t>
      </w:r>
      <w:r w:rsidR="00EE6243" w:rsidRPr="00EE6243">
        <w:rPr>
          <w:rFonts w:ascii="Times New Roman" w:hAnsi="Times New Roman"/>
          <w:lang w:val="pt-BR"/>
        </w:rPr>
        <w:t xml:space="preserve"> busca de uma alte</w:t>
      </w:r>
      <w:r w:rsidR="004F357A">
        <w:rPr>
          <w:rFonts w:ascii="Times New Roman" w:hAnsi="Times New Roman"/>
          <w:lang w:val="pt-BR"/>
        </w:rPr>
        <w:t>r</w:t>
      </w:r>
      <w:r w:rsidR="00EE6243">
        <w:rPr>
          <w:rFonts w:ascii="Times New Roman" w:hAnsi="Times New Roman"/>
          <w:lang w:val="pt-BR"/>
        </w:rPr>
        <w:t>n</w:t>
      </w:r>
      <w:r w:rsidR="00EE6243" w:rsidRPr="00EE6243">
        <w:rPr>
          <w:rFonts w:ascii="Times New Roman" w:hAnsi="Times New Roman"/>
          <w:lang w:val="pt-BR"/>
        </w:rPr>
        <w:t xml:space="preserve">ativa ao </w:t>
      </w:r>
      <w:r w:rsidR="00EE6243">
        <w:rPr>
          <w:rFonts w:ascii="Times New Roman" w:hAnsi="Times New Roman"/>
          <w:lang w:val="pt-BR"/>
        </w:rPr>
        <w:t>AL</w:t>
      </w:r>
      <w:r w:rsidR="00EE6243" w:rsidRPr="00EE6243">
        <w:rPr>
          <w:rFonts w:ascii="Times New Roman" w:hAnsi="Times New Roman"/>
          <w:lang w:val="pt-BR"/>
        </w:rPr>
        <w:t xml:space="preserve">, </w:t>
      </w:r>
      <w:r>
        <w:rPr>
          <w:rFonts w:ascii="Times New Roman" w:hAnsi="Times New Roman"/>
          <w:lang w:val="pt-BR"/>
        </w:rPr>
        <w:t>como o uso d</w:t>
      </w:r>
      <w:r w:rsidR="005C47BE">
        <w:rPr>
          <w:rFonts w:ascii="Times New Roman" w:hAnsi="Times New Roman"/>
          <w:lang w:val="pt-BR"/>
        </w:rPr>
        <w:t>o</w:t>
      </w:r>
      <w:r w:rsidR="00F53E90" w:rsidRPr="00F53E90">
        <w:rPr>
          <w:rFonts w:ascii="Times New Roman" w:hAnsi="Times New Roman"/>
          <w:lang w:val="pt-BR"/>
        </w:rPr>
        <w:t xml:space="preserve"> álcool furfurílico (</w:t>
      </w:r>
      <w:r w:rsidR="00A26D79">
        <w:rPr>
          <w:rFonts w:ascii="Times New Roman" w:hAnsi="Times New Roman"/>
          <w:lang w:val="pt-BR"/>
        </w:rPr>
        <w:t>A</w:t>
      </w:r>
      <w:r w:rsidR="00F53E90" w:rsidRPr="00F53E90">
        <w:rPr>
          <w:rFonts w:ascii="Times New Roman" w:hAnsi="Times New Roman"/>
          <w:lang w:val="pt-BR"/>
        </w:rPr>
        <w:t>F</w:t>
      </w:r>
      <w:r w:rsidR="005C47BE">
        <w:rPr>
          <w:rFonts w:ascii="Times New Roman" w:hAnsi="Times New Roman"/>
          <w:lang w:val="pt-BR"/>
        </w:rPr>
        <w:t>F</w:t>
      </w:r>
      <w:r w:rsidR="006673A3">
        <w:rPr>
          <w:rFonts w:ascii="Times New Roman" w:hAnsi="Times New Roman"/>
          <w:lang w:val="pt-BR"/>
        </w:rPr>
        <w:t>)</w:t>
      </w:r>
      <w:r>
        <w:rPr>
          <w:rFonts w:ascii="Times New Roman" w:hAnsi="Times New Roman"/>
          <w:lang w:val="pt-BR"/>
        </w:rPr>
        <w:t>,</w:t>
      </w:r>
      <w:r w:rsidR="00AA0BED">
        <w:rPr>
          <w:rFonts w:ascii="Times New Roman" w:hAnsi="Times New Roman"/>
          <w:lang w:val="pt-BR"/>
        </w:rPr>
        <w:t xml:space="preserve"> </w:t>
      </w:r>
      <w:r w:rsidR="006673A3">
        <w:rPr>
          <w:rFonts w:ascii="Times New Roman" w:hAnsi="Times New Roman"/>
          <w:lang w:val="pt-BR"/>
        </w:rPr>
        <w:t xml:space="preserve">muitas vezes </w:t>
      </w:r>
      <w:r w:rsidR="00F53E90" w:rsidRPr="00F53E90">
        <w:rPr>
          <w:rFonts w:ascii="Times New Roman" w:hAnsi="Times New Roman"/>
          <w:lang w:val="pt-BR"/>
        </w:rPr>
        <w:t>usado como composto modelo de derivados de biomassa lignocelulósica</w:t>
      </w:r>
      <w:r w:rsidR="00C32A16">
        <w:rPr>
          <w:rFonts w:ascii="Times New Roman" w:hAnsi="Times New Roman"/>
          <w:lang w:val="pt-BR"/>
        </w:rPr>
        <w:t xml:space="preserve"> </w:t>
      </w:r>
      <w:r w:rsidR="005C47BE">
        <w:rPr>
          <w:rFonts w:ascii="Times New Roman" w:hAnsi="Times New Roman"/>
          <w:lang w:val="pt-BR"/>
        </w:rPr>
        <w:t xml:space="preserve">na </w:t>
      </w:r>
      <w:r w:rsidR="003D1C21">
        <w:rPr>
          <w:rFonts w:ascii="Times New Roman" w:hAnsi="Times New Roman"/>
          <w:lang w:val="pt-BR"/>
        </w:rPr>
        <w:t>conversão em</w:t>
      </w:r>
      <w:r w:rsidR="00C32A16">
        <w:rPr>
          <w:rFonts w:ascii="Times New Roman" w:hAnsi="Times New Roman"/>
          <w:lang w:val="pt-BR"/>
        </w:rPr>
        <w:t xml:space="preserve"> </w:t>
      </w:r>
      <w:r w:rsidR="00D723CC">
        <w:rPr>
          <w:rFonts w:ascii="Times New Roman" w:hAnsi="Times New Roman"/>
          <w:lang w:val="pt-BR"/>
        </w:rPr>
        <w:t xml:space="preserve">LE </w:t>
      </w:r>
      <w:r w:rsidR="004F357A">
        <w:rPr>
          <w:rFonts w:ascii="Times New Roman" w:hAnsi="Times New Roman"/>
          <w:lang w:val="pt-BR"/>
        </w:rPr>
        <w:t>através da reação de alcoólise</w:t>
      </w:r>
      <w:r w:rsidR="002444A1">
        <w:rPr>
          <w:rFonts w:ascii="Times New Roman" w:hAnsi="Times New Roman"/>
          <w:lang w:val="pt-BR"/>
        </w:rPr>
        <w:t xml:space="preserve"> </w:t>
      </w:r>
      <w:r w:rsidR="00340043">
        <w:rPr>
          <w:rFonts w:ascii="Times New Roman" w:hAnsi="Times New Roman"/>
          <w:lang w:val="pt-BR"/>
        </w:rPr>
        <w:t>(</w:t>
      </w:r>
      <w:r w:rsidR="00805927">
        <w:rPr>
          <w:rFonts w:ascii="Times New Roman" w:hAnsi="Times New Roman"/>
          <w:lang w:val="pt-BR"/>
        </w:rPr>
        <w:t>3</w:t>
      </w:r>
      <w:r w:rsidR="00340043">
        <w:rPr>
          <w:rFonts w:ascii="Times New Roman" w:hAnsi="Times New Roman"/>
          <w:lang w:val="pt-BR"/>
        </w:rPr>
        <w:t>)</w:t>
      </w:r>
      <w:r w:rsidR="00F53E90" w:rsidRPr="00F53E90">
        <w:rPr>
          <w:rFonts w:ascii="Times New Roman" w:hAnsi="Times New Roman"/>
          <w:lang w:val="pt-BR"/>
        </w:rPr>
        <w:t>.</w:t>
      </w:r>
    </w:p>
    <w:p w:rsidR="00EA4E1B" w:rsidRPr="001F25B2" w:rsidRDefault="008A52C1" w:rsidP="00EA4E1B">
      <w:pPr>
        <w:pStyle w:val="TAMainText"/>
        <w:rPr>
          <w:rFonts w:ascii="Times New Roman" w:hAnsi="Times New Roman"/>
          <w:lang w:val="pt-BR"/>
        </w:rPr>
      </w:pPr>
      <w:r>
        <w:rPr>
          <w:rFonts w:ascii="Times New Roman" w:hAnsi="Times New Roman"/>
          <w:lang w:val="pt-BR"/>
        </w:rPr>
        <w:t>C</w:t>
      </w:r>
      <w:r w:rsidRPr="008A52C1">
        <w:rPr>
          <w:rFonts w:ascii="Times New Roman" w:hAnsi="Times New Roman"/>
          <w:lang w:val="pt-BR"/>
        </w:rPr>
        <w:t>atalisadores ácidos homogêneos, como HCl e H</w:t>
      </w:r>
      <w:r w:rsidRPr="008A52C1">
        <w:rPr>
          <w:rFonts w:ascii="Times New Roman" w:hAnsi="Times New Roman"/>
          <w:vertAlign w:val="subscript"/>
          <w:lang w:val="pt-BR"/>
        </w:rPr>
        <w:t>2</w:t>
      </w:r>
      <w:r w:rsidRPr="008A52C1">
        <w:rPr>
          <w:rFonts w:ascii="Times New Roman" w:hAnsi="Times New Roman"/>
          <w:lang w:val="pt-BR"/>
        </w:rPr>
        <w:t>SO</w:t>
      </w:r>
      <w:r w:rsidRPr="008A52C1">
        <w:rPr>
          <w:rFonts w:ascii="Times New Roman" w:hAnsi="Times New Roman"/>
          <w:vertAlign w:val="subscript"/>
          <w:lang w:val="pt-BR"/>
        </w:rPr>
        <w:t>4</w:t>
      </w:r>
      <w:r>
        <w:rPr>
          <w:rFonts w:ascii="Times New Roman" w:hAnsi="Times New Roman"/>
          <w:lang w:val="pt-BR"/>
        </w:rPr>
        <w:t xml:space="preserve">, são tradicionalmente </w:t>
      </w:r>
      <w:r w:rsidR="003212C9">
        <w:rPr>
          <w:rFonts w:ascii="Times New Roman" w:hAnsi="Times New Roman"/>
          <w:lang w:val="pt-BR"/>
        </w:rPr>
        <w:t>usad</w:t>
      </w:r>
      <w:r w:rsidR="003212C9" w:rsidRPr="003212C9">
        <w:rPr>
          <w:rFonts w:ascii="Times New Roman" w:hAnsi="Times New Roman"/>
          <w:lang w:val="pt-BR"/>
        </w:rPr>
        <w:t>o</w:t>
      </w:r>
      <w:r>
        <w:rPr>
          <w:rFonts w:ascii="Times New Roman" w:hAnsi="Times New Roman"/>
          <w:lang w:val="pt-BR"/>
        </w:rPr>
        <w:t>s</w:t>
      </w:r>
      <w:r w:rsidR="002444A1">
        <w:rPr>
          <w:rFonts w:ascii="Times New Roman" w:hAnsi="Times New Roman"/>
          <w:lang w:val="pt-BR"/>
        </w:rPr>
        <w:t xml:space="preserve"> </w:t>
      </w:r>
      <w:r w:rsidR="003212C9">
        <w:rPr>
          <w:rFonts w:ascii="Times New Roman" w:hAnsi="Times New Roman"/>
          <w:lang w:val="pt-BR"/>
        </w:rPr>
        <w:t>n</w:t>
      </w:r>
      <w:r w:rsidR="003212C9" w:rsidRPr="003212C9">
        <w:rPr>
          <w:rFonts w:ascii="Times New Roman" w:hAnsi="Times New Roman"/>
          <w:lang w:val="pt-BR"/>
        </w:rPr>
        <w:t>es</w:t>
      </w:r>
      <w:r w:rsidR="003212C9">
        <w:rPr>
          <w:rFonts w:ascii="Times New Roman" w:hAnsi="Times New Roman"/>
          <w:lang w:val="pt-BR"/>
        </w:rPr>
        <w:t>s</w:t>
      </w:r>
      <w:r w:rsidR="003212C9" w:rsidRPr="003212C9">
        <w:rPr>
          <w:rFonts w:ascii="Times New Roman" w:hAnsi="Times New Roman"/>
          <w:lang w:val="pt-BR"/>
        </w:rPr>
        <w:t>a reação</w:t>
      </w:r>
      <w:r w:rsidR="006673A3">
        <w:rPr>
          <w:rFonts w:ascii="Times New Roman" w:hAnsi="Times New Roman"/>
          <w:lang w:val="pt-BR"/>
        </w:rPr>
        <w:t>.</w:t>
      </w:r>
      <w:r w:rsidR="002444A1">
        <w:rPr>
          <w:rFonts w:ascii="Times New Roman" w:hAnsi="Times New Roman"/>
          <w:lang w:val="pt-BR"/>
        </w:rPr>
        <w:t xml:space="preserve"> </w:t>
      </w:r>
      <w:r w:rsidR="006673A3">
        <w:rPr>
          <w:rFonts w:ascii="Times New Roman" w:hAnsi="Times New Roman"/>
          <w:lang w:val="pt-BR"/>
        </w:rPr>
        <w:t>P</w:t>
      </w:r>
      <w:r w:rsidR="003212C9">
        <w:rPr>
          <w:rFonts w:ascii="Times New Roman" w:hAnsi="Times New Roman"/>
          <w:lang w:val="pt-BR"/>
        </w:rPr>
        <w:t>orém</w:t>
      </w:r>
      <w:r w:rsidR="006673A3">
        <w:rPr>
          <w:rFonts w:ascii="Times New Roman" w:hAnsi="Times New Roman"/>
          <w:lang w:val="pt-BR"/>
        </w:rPr>
        <w:t>,</w:t>
      </w:r>
      <w:r w:rsidR="002444A1">
        <w:rPr>
          <w:rFonts w:ascii="Times New Roman" w:hAnsi="Times New Roman"/>
          <w:lang w:val="pt-BR"/>
        </w:rPr>
        <w:t xml:space="preserve"> </w:t>
      </w:r>
      <w:r w:rsidRPr="008A52C1">
        <w:rPr>
          <w:rFonts w:ascii="Times New Roman" w:hAnsi="Times New Roman"/>
          <w:lang w:val="pt-BR"/>
        </w:rPr>
        <w:t>desv</w:t>
      </w:r>
      <w:r>
        <w:rPr>
          <w:rFonts w:ascii="Times New Roman" w:hAnsi="Times New Roman"/>
          <w:lang w:val="pt-BR"/>
        </w:rPr>
        <w:t>antagens associadas à separação</w:t>
      </w:r>
      <w:r w:rsidR="003212C9" w:rsidRPr="003212C9">
        <w:rPr>
          <w:rFonts w:ascii="Times New Roman" w:hAnsi="Times New Roman"/>
          <w:lang w:val="pt-BR"/>
        </w:rPr>
        <w:t xml:space="preserve"> da mistura rea</w:t>
      </w:r>
      <w:r w:rsidR="003212C9">
        <w:rPr>
          <w:rFonts w:ascii="Times New Roman" w:hAnsi="Times New Roman"/>
          <w:lang w:val="pt-BR"/>
        </w:rPr>
        <w:t xml:space="preserve">cional e </w:t>
      </w:r>
      <w:r w:rsidRPr="008A52C1">
        <w:rPr>
          <w:rFonts w:ascii="Times New Roman" w:hAnsi="Times New Roman"/>
          <w:lang w:val="pt-BR"/>
        </w:rPr>
        <w:t>problemas de corrosão do equipamento</w:t>
      </w:r>
      <w:r w:rsidR="00957BA0">
        <w:rPr>
          <w:rFonts w:ascii="Times New Roman" w:hAnsi="Times New Roman"/>
          <w:lang w:val="pt-BR"/>
        </w:rPr>
        <w:t xml:space="preserve"> podem ser evitados ao se empregar </w:t>
      </w:r>
      <w:r w:rsidR="003212C9" w:rsidRPr="003212C9">
        <w:rPr>
          <w:rFonts w:ascii="Times New Roman" w:hAnsi="Times New Roman"/>
          <w:lang w:val="pt-BR"/>
        </w:rPr>
        <w:t xml:space="preserve">catalisadores </w:t>
      </w:r>
      <w:r>
        <w:rPr>
          <w:rFonts w:ascii="Times New Roman" w:hAnsi="Times New Roman"/>
          <w:lang w:val="pt-BR"/>
        </w:rPr>
        <w:t>heterogêneos</w:t>
      </w:r>
      <w:r w:rsidR="00340043">
        <w:rPr>
          <w:rFonts w:ascii="Times New Roman" w:hAnsi="Times New Roman"/>
          <w:lang w:val="pt-BR"/>
        </w:rPr>
        <w:t xml:space="preserve"> (</w:t>
      </w:r>
      <w:r w:rsidR="00805927">
        <w:rPr>
          <w:rFonts w:ascii="Times New Roman" w:hAnsi="Times New Roman"/>
          <w:lang w:val="pt-BR"/>
        </w:rPr>
        <w:t>4</w:t>
      </w:r>
      <w:r w:rsidR="00340043">
        <w:rPr>
          <w:rFonts w:ascii="Times New Roman" w:hAnsi="Times New Roman"/>
          <w:lang w:val="pt-BR"/>
        </w:rPr>
        <w:t>)</w:t>
      </w:r>
      <w:r w:rsidR="00957BA0">
        <w:rPr>
          <w:rFonts w:ascii="Times New Roman" w:hAnsi="Times New Roman"/>
          <w:lang w:val="pt-BR"/>
        </w:rPr>
        <w:t>.</w:t>
      </w:r>
      <w:r w:rsidR="00D74A8B">
        <w:rPr>
          <w:rFonts w:ascii="Times New Roman" w:hAnsi="Times New Roman"/>
          <w:lang w:val="pt-BR"/>
        </w:rPr>
        <w:t xml:space="preserve"> N</w:t>
      </w:r>
      <w:r w:rsidR="00D74A8B" w:rsidRPr="00D74A8B">
        <w:rPr>
          <w:rFonts w:ascii="Times New Roman" w:hAnsi="Times New Roman"/>
          <w:lang w:val="pt-BR"/>
        </w:rPr>
        <w:t xml:space="preserve">esse </w:t>
      </w:r>
      <w:r w:rsidR="00D74A8B" w:rsidRPr="00D74A8B">
        <w:rPr>
          <w:rFonts w:ascii="Times New Roman" w:hAnsi="Times New Roman"/>
          <w:lang w:val="pt-BR"/>
        </w:rPr>
        <w:lastRenderedPageBreak/>
        <w:t xml:space="preserve">contexto, </w:t>
      </w:r>
      <w:r w:rsidR="004F357A">
        <w:rPr>
          <w:rFonts w:ascii="Times New Roman" w:hAnsi="Times New Roman"/>
          <w:lang w:val="pt-BR"/>
        </w:rPr>
        <w:t xml:space="preserve">catalisadores heterogêneos </w:t>
      </w:r>
      <w:r w:rsidR="00D74A8B" w:rsidRPr="00D74A8B">
        <w:rPr>
          <w:rFonts w:ascii="Times New Roman" w:hAnsi="Times New Roman"/>
          <w:lang w:val="pt-BR"/>
        </w:rPr>
        <w:t xml:space="preserve">a base de nióbio </w:t>
      </w:r>
      <w:r w:rsidR="00F7454C">
        <w:rPr>
          <w:rFonts w:ascii="Times New Roman" w:hAnsi="Times New Roman"/>
          <w:lang w:val="pt-BR"/>
        </w:rPr>
        <w:t xml:space="preserve">que </w:t>
      </w:r>
      <w:r w:rsidR="00D74A8B" w:rsidRPr="00D74A8B">
        <w:rPr>
          <w:rFonts w:ascii="Times New Roman" w:hAnsi="Times New Roman"/>
          <w:lang w:val="pt-BR"/>
        </w:rPr>
        <w:t xml:space="preserve">apresentam </w:t>
      </w:r>
      <w:r w:rsidR="00D852F6">
        <w:rPr>
          <w:rFonts w:ascii="Times New Roman" w:hAnsi="Times New Roman"/>
          <w:lang w:val="pt-BR"/>
        </w:rPr>
        <w:t>tanto</w:t>
      </w:r>
      <w:r w:rsidR="008E54AF" w:rsidRPr="008E54AF">
        <w:rPr>
          <w:rFonts w:ascii="Times New Roman" w:hAnsi="Times New Roman"/>
          <w:lang w:val="pt-BR"/>
        </w:rPr>
        <w:t xml:space="preserve"> acidez de Lewis </w:t>
      </w:r>
      <w:r w:rsidR="00D852F6">
        <w:rPr>
          <w:rFonts w:ascii="Times New Roman" w:hAnsi="Times New Roman"/>
          <w:lang w:val="pt-BR"/>
        </w:rPr>
        <w:t>quanto d</w:t>
      </w:r>
      <w:r w:rsidR="008E54AF" w:rsidRPr="008E54AF">
        <w:rPr>
          <w:rFonts w:ascii="Times New Roman" w:hAnsi="Times New Roman"/>
          <w:lang w:val="pt-BR"/>
        </w:rPr>
        <w:t>e Brönsted</w:t>
      </w:r>
      <w:r w:rsidR="00D852F6">
        <w:rPr>
          <w:rFonts w:ascii="Times New Roman" w:hAnsi="Times New Roman"/>
          <w:lang w:val="pt-BR"/>
        </w:rPr>
        <w:t>,</w:t>
      </w:r>
      <w:r w:rsidR="008E54AF" w:rsidRPr="008E54AF">
        <w:rPr>
          <w:rFonts w:ascii="Times New Roman" w:hAnsi="Times New Roman"/>
          <w:lang w:val="pt-BR"/>
        </w:rPr>
        <w:t xml:space="preserve"> importante</w:t>
      </w:r>
      <w:r w:rsidR="008E54AF">
        <w:rPr>
          <w:rFonts w:ascii="Times New Roman" w:hAnsi="Times New Roman"/>
          <w:lang w:val="pt-BR"/>
        </w:rPr>
        <w:t>s</w:t>
      </w:r>
      <w:r w:rsidR="008E54AF" w:rsidRPr="008E54AF">
        <w:rPr>
          <w:rFonts w:ascii="Times New Roman" w:hAnsi="Times New Roman"/>
          <w:lang w:val="pt-BR"/>
        </w:rPr>
        <w:t xml:space="preserve"> na conversão de </w:t>
      </w:r>
      <w:r w:rsidR="003446A4">
        <w:rPr>
          <w:rFonts w:ascii="Times New Roman" w:hAnsi="Times New Roman"/>
          <w:lang w:val="pt-BR"/>
        </w:rPr>
        <w:t>A</w:t>
      </w:r>
      <w:r w:rsidR="008E54AF" w:rsidRPr="008E54AF">
        <w:rPr>
          <w:rFonts w:ascii="Times New Roman" w:hAnsi="Times New Roman"/>
          <w:lang w:val="pt-BR"/>
        </w:rPr>
        <w:t>F</w:t>
      </w:r>
      <w:r w:rsidR="008E54AF">
        <w:rPr>
          <w:rFonts w:ascii="Times New Roman" w:hAnsi="Times New Roman"/>
          <w:lang w:val="pt-BR"/>
        </w:rPr>
        <w:t>F</w:t>
      </w:r>
      <w:r w:rsidR="00C32A16">
        <w:rPr>
          <w:rFonts w:ascii="Times New Roman" w:hAnsi="Times New Roman"/>
          <w:lang w:val="pt-BR"/>
        </w:rPr>
        <w:t xml:space="preserve"> </w:t>
      </w:r>
      <w:r w:rsidR="008E54AF">
        <w:rPr>
          <w:rFonts w:ascii="Times New Roman" w:hAnsi="Times New Roman"/>
          <w:lang w:val="pt-BR"/>
        </w:rPr>
        <w:t>em</w:t>
      </w:r>
      <w:r w:rsidR="00C32A16">
        <w:rPr>
          <w:rFonts w:ascii="Times New Roman" w:hAnsi="Times New Roman"/>
          <w:lang w:val="pt-BR"/>
        </w:rPr>
        <w:t xml:space="preserve"> </w:t>
      </w:r>
      <w:r w:rsidR="00D723CC">
        <w:rPr>
          <w:rFonts w:ascii="Times New Roman" w:hAnsi="Times New Roman"/>
          <w:lang w:val="pt-BR"/>
        </w:rPr>
        <w:t>LE</w:t>
      </w:r>
      <w:r w:rsidR="00F7454C">
        <w:rPr>
          <w:rFonts w:ascii="Times New Roman" w:hAnsi="Times New Roman"/>
          <w:lang w:val="pt-BR"/>
        </w:rPr>
        <w:t>, foram avaliados nesse trabalho</w:t>
      </w:r>
      <w:r w:rsidR="008E54AF">
        <w:rPr>
          <w:rFonts w:ascii="Times New Roman" w:hAnsi="Times New Roman"/>
          <w:lang w:val="pt-BR"/>
        </w:rPr>
        <w:t>.</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rsidR="00000000" w:rsidRDefault="00103889">
      <w:pPr>
        <w:pStyle w:val="TAMainText"/>
        <w:ind w:firstLine="284"/>
        <w:rPr>
          <w:rFonts w:ascii="Times New Roman" w:hAnsi="Times New Roman"/>
          <w:lang w:val="pt-BR"/>
        </w:rPr>
      </w:pPr>
      <w:r w:rsidRPr="00103889">
        <w:rPr>
          <w:rFonts w:ascii="Times New Roman" w:hAnsi="Times New Roman"/>
          <w:lang w:val="pt-BR"/>
        </w:rPr>
        <w:t xml:space="preserve">Os catalisadores </w:t>
      </w:r>
      <w:r w:rsidR="00D852F6">
        <w:rPr>
          <w:rFonts w:ascii="Times New Roman" w:hAnsi="Times New Roman"/>
          <w:lang w:val="pt-BR"/>
        </w:rPr>
        <w:t xml:space="preserve">utilizados neste trabalho foram amostras comerciais de </w:t>
      </w:r>
      <w:r>
        <w:rPr>
          <w:rFonts w:ascii="Times New Roman" w:hAnsi="Times New Roman"/>
          <w:lang w:val="pt-BR"/>
        </w:rPr>
        <w:t>ó</w:t>
      </w:r>
      <w:r w:rsidR="006437B5" w:rsidRPr="006437B5">
        <w:rPr>
          <w:rFonts w:ascii="Times New Roman" w:hAnsi="Times New Roman"/>
          <w:lang w:val="pt-BR"/>
        </w:rPr>
        <w:t xml:space="preserve">xido </w:t>
      </w:r>
      <w:r w:rsidR="006437B5">
        <w:rPr>
          <w:rFonts w:ascii="Times New Roman" w:hAnsi="Times New Roman"/>
          <w:lang w:val="pt-BR"/>
        </w:rPr>
        <w:t>(</w:t>
      </w:r>
      <w:r w:rsidR="006437B5" w:rsidRPr="006437B5">
        <w:rPr>
          <w:rFonts w:ascii="Times New Roman" w:hAnsi="Times New Roman"/>
          <w:lang w:val="pt-BR"/>
        </w:rPr>
        <w:t>Nb</w:t>
      </w:r>
      <w:r w:rsidR="006437B5" w:rsidRPr="006437B5">
        <w:rPr>
          <w:rFonts w:ascii="Times New Roman" w:hAnsi="Times New Roman"/>
          <w:vertAlign w:val="subscript"/>
          <w:lang w:val="pt-BR"/>
        </w:rPr>
        <w:t>2</w:t>
      </w:r>
      <w:r w:rsidR="006437B5" w:rsidRPr="006437B5">
        <w:rPr>
          <w:rFonts w:ascii="Times New Roman" w:hAnsi="Times New Roman"/>
          <w:lang w:val="pt-BR"/>
        </w:rPr>
        <w:t>O</w:t>
      </w:r>
      <w:r w:rsidR="006437B5" w:rsidRPr="006437B5">
        <w:rPr>
          <w:rFonts w:ascii="Times New Roman" w:hAnsi="Times New Roman"/>
          <w:vertAlign w:val="subscript"/>
          <w:lang w:val="pt-BR"/>
        </w:rPr>
        <w:t>5</w:t>
      </w:r>
      <w:r w:rsidR="006437B5" w:rsidRPr="006437B5">
        <w:rPr>
          <w:rFonts w:ascii="Times New Roman" w:hAnsi="Times New Roman"/>
          <w:lang w:val="pt-BR"/>
        </w:rPr>
        <w:t>.nH</w:t>
      </w:r>
      <w:r w:rsidR="006437B5" w:rsidRPr="006437B5">
        <w:rPr>
          <w:rFonts w:ascii="Times New Roman" w:hAnsi="Times New Roman"/>
          <w:vertAlign w:val="subscript"/>
          <w:lang w:val="pt-BR"/>
        </w:rPr>
        <w:t>2</w:t>
      </w:r>
      <w:r w:rsidR="006437B5" w:rsidRPr="006437B5">
        <w:rPr>
          <w:rFonts w:ascii="Times New Roman" w:hAnsi="Times New Roman"/>
          <w:lang w:val="pt-BR"/>
        </w:rPr>
        <w:t>O</w:t>
      </w:r>
      <w:r w:rsidR="006437B5">
        <w:rPr>
          <w:rFonts w:ascii="Times New Roman" w:hAnsi="Times New Roman"/>
          <w:lang w:val="pt-BR"/>
        </w:rPr>
        <w:t xml:space="preserve">) e </w:t>
      </w:r>
      <w:r>
        <w:rPr>
          <w:rFonts w:ascii="Times New Roman" w:hAnsi="Times New Roman"/>
          <w:lang w:val="pt-BR"/>
        </w:rPr>
        <w:t>f</w:t>
      </w:r>
      <w:r w:rsidR="006437B5" w:rsidRPr="006437B5">
        <w:rPr>
          <w:rFonts w:ascii="Times New Roman" w:hAnsi="Times New Roman"/>
          <w:lang w:val="pt-BR"/>
        </w:rPr>
        <w:t>osfato de nióbio</w:t>
      </w:r>
      <w:r w:rsidR="006437B5">
        <w:rPr>
          <w:rFonts w:ascii="Times New Roman" w:hAnsi="Times New Roman"/>
          <w:lang w:val="pt-BR"/>
        </w:rPr>
        <w:t xml:space="preserve"> (</w:t>
      </w:r>
      <w:r w:rsidR="006437B5" w:rsidRPr="006437B5">
        <w:rPr>
          <w:rFonts w:ascii="Times New Roman" w:hAnsi="Times New Roman"/>
          <w:lang w:val="pt-BR"/>
        </w:rPr>
        <w:t>NbOPO</w:t>
      </w:r>
      <w:r w:rsidR="006437B5" w:rsidRPr="006437B5">
        <w:rPr>
          <w:rFonts w:ascii="Times New Roman" w:hAnsi="Times New Roman"/>
          <w:vertAlign w:val="subscript"/>
          <w:lang w:val="pt-BR"/>
        </w:rPr>
        <w:t>4</w:t>
      </w:r>
      <w:r w:rsidR="006437B5" w:rsidRPr="006437B5">
        <w:rPr>
          <w:rFonts w:ascii="Times New Roman" w:hAnsi="Times New Roman"/>
          <w:lang w:val="pt-BR"/>
        </w:rPr>
        <w:t>.nH</w:t>
      </w:r>
      <w:r w:rsidR="006437B5" w:rsidRPr="006437B5">
        <w:rPr>
          <w:rFonts w:ascii="Times New Roman" w:hAnsi="Times New Roman"/>
          <w:vertAlign w:val="subscript"/>
          <w:lang w:val="pt-BR"/>
        </w:rPr>
        <w:t>2</w:t>
      </w:r>
      <w:r w:rsidR="006437B5" w:rsidRPr="006437B5">
        <w:rPr>
          <w:rFonts w:ascii="Times New Roman" w:hAnsi="Times New Roman"/>
          <w:lang w:val="pt-BR"/>
        </w:rPr>
        <w:t>O</w:t>
      </w:r>
      <w:r w:rsidR="006437B5">
        <w:rPr>
          <w:rFonts w:ascii="Times New Roman" w:hAnsi="Times New Roman"/>
          <w:lang w:val="pt-BR"/>
        </w:rPr>
        <w:t>)</w:t>
      </w:r>
      <w:r w:rsidR="00D852F6">
        <w:rPr>
          <w:rFonts w:ascii="Times New Roman" w:hAnsi="Times New Roman"/>
          <w:lang w:val="pt-BR"/>
        </w:rPr>
        <w:t>,</w:t>
      </w:r>
      <w:r>
        <w:rPr>
          <w:rFonts w:ascii="Times New Roman" w:hAnsi="Times New Roman"/>
          <w:lang w:val="pt-BR"/>
        </w:rPr>
        <w:t>gentilmente fornecidos pela Companhia Brasileira de Metalurgia e Mineração</w:t>
      </w:r>
      <w:r w:rsidR="006673A3">
        <w:rPr>
          <w:rFonts w:ascii="Times New Roman" w:hAnsi="Times New Roman"/>
          <w:lang w:val="pt-BR"/>
        </w:rPr>
        <w:t xml:space="preserve"> (CBMM</w:t>
      </w:r>
      <w:r>
        <w:rPr>
          <w:rFonts w:ascii="Times New Roman" w:hAnsi="Times New Roman"/>
          <w:lang w:val="pt-BR"/>
        </w:rPr>
        <w:t>)</w:t>
      </w:r>
      <w:r w:rsidR="006437B5">
        <w:rPr>
          <w:rFonts w:ascii="Times New Roman" w:hAnsi="Times New Roman"/>
          <w:lang w:val="pt-BR"/>
        </w:rPr>
        <w:t xml:space="preserve">, </w:t>
      </w:r>
      <w:r w:rsidR="0066407D" w:rsidRPr="006673A3">
        <w:rPr>
          <w:lang w:val="pt-BR"/>
        </w:rPr>
        <w:t>e</w:t>
      </w:r>
      <w:r w:rsidR="006437B5" w:rsidRPr="006673A3">
        <w:rPr>
          <w:lang w:val="pt-BR"/>
        </w:rPr>
        <w:t>tanol (C</w:t>
      </w:r>
      <w:r w:rsidR="006437B5" w:rsidRPr="006437B5">
        <w:rPr>
          <w:rFonts w:ascii="Times New Roman" w:hAnsi="Times New Roman"/>
          <w:vertAlign w:val="subscript"/>
          <w:lang w:val="pt-BR"/>
        </w:rPr>
        <w:t>2</w:t>
      </w:r>
      <w:r w:rsidR="006437B5" w:rsidRPr="006673A3">
        <w:rPr>
          <w:lang w:val="pt-BR"/>
        </w:rPr>
        <w:t>H</w:t>
      </w:r>
      <w:r w:rsidR="006437B5" w:rsidRPr="006437B5">
        <w:rPr>
          <w:rFonts w:ascii="Times New Roman" w:hAnsi="Times New Roman"/>
          <w:vertAlign w:val="subscript"/>
          <w:lang w:val="pt-BR"/>
        </w:rPr>
        <w:t>6</w:t>
      </w:r>
      <w:r w:rsidR="006437B5" w:rsidRPr="006673A3">
        <w:rPr>
          <w:lang w:val="pt-BR"/>
        </w:rPr>
        <w:t>O)99,</w:t>
      </w:r>
      <w:r w:rsidR="0066407D" w:rsidRPr="006673A3">
        <w:rPr>
          <w:lang w:val="pt-BR"/>
        </w:rPr>
        <w:t>5</w:t>
      </w:r>
      <w:r w:rsidR="006437B5" w:rsidRPr="006673A3">
        <w:rPr>
          <w:lang w:val="pt-BR"/>
        </w:rPr>
        <w:t xml:space="preserve">% da </w:t>
      </w:r>
      <w:r w:rsidR="006437B5" w:rsidRPr="006437B5">
        <w:rPr>
          <w:lang w:val="pt-BR"/>
        </w:rPr>
        <w:t>Merck</w:t>
      </w:r>
      <w:r w:rsidR="00A60CEF" w:rsidRPr="00A60CEF">
        <w:rPr>
          <w:vertAlign w:val="superscript"/>
          <w:lang w:val="pt-BR"/>
        </w:rPr>
        <w:t>®</w:t>
      </w:r>
      <w:r w:rsidR="00D852F6">
        <w:rPr>
          <w:lang w:val="pt-BR"/>
        </w:rPr>
        <w:t xml:space="preserve"> e </w:t>
      </w:r>
      <w:r w:rsidR="0066407D">
        <w:rPr>
          <w:lang w:val="pt-BR"/>
        </w:rPr>
        <w:t>álcool furfurílico (</w:t>
      </w:r>
      <w:r w:rsidR="0066407D" w:rsidRPr="0066407D">
        <w:rPr>
          <w:lang w:val="pt-BR"/>
        </w:rPr>
        <w:t>C</w:t>
      </w:r>
      <w:r w:rsidR="0066407D" w:rsidRPr="0066407D">
        <w:rPr>
          <w:vertAlign w:val="subscript"/>
          <w:lang w:val="pt-BR"/>
        </w:rPr>
        <w:t>5</w:t>
      </w:r>
      <w:r w:rsidR="0066407D" w:rsidRPr="0066407D">
        <w:rPr>
          <w:lang w:val="pt-BR"/>
        </w:rPr>
        <w:t>H</w:t>
      </w:r>
      <w:r w:rsidR="0066407D" w:rsidRPr="0066407D">
        <w:rPr>
          <w:vertAlign w:val="subscript"/>
          <w:lang w:val="pt-BR"/>
        </w:rPr>
        <w:t>6</w:t>
      </w:r>
      <w:r w:rsidR="0066407D" w:rsidRPr="0066407D">
        <w:rPr>
          <w:lang w:val="pt-BR"/>
        </w:rPr>
        <w:t>O</w:t>
      </w:r>
      <w:r w:rsidR="0066407D" w:rsidRPr="0066407D">
        <w:rPr>
          <w:vertAlign w:val="subscript"/>
          <w:lang w:val="pt-BR"/>
        </w:rPr>
        <w:t>2</w:t>
      </w:r>
      <w:r w:rsidR="0066407D">
        <w:rPr>
          <w:lang w:val="pt-BR"/>
        </w:rPr>
        <w:t>) 98% da Sigma Aldrich</w:t>
      </w:r>
      <w:r w:rsidR="00A60CEF" w:rsidRPr="00A60CEF">
        <w:rPr>
          <w:vertAlign w:val="superscript"/>
          <w:lang w:val="pt-BR"/>
        </w:rPr>
        <w:t>®</w:t>
      </w:r>
      <w:r w:rsidR="0066407D">
        <w:rPr>
          <w:lang w:val="pt-BR"/>
        </w:rPr>
        <w:t>.</w:t>
      </w:r>
      <w:r w:rsidR="003B1E09">
        <w:rPr>
          <w:lang w:val="pt-BR"/>
        </w:rPr>
        <w:t xml:space="preserve"> Os materiais não foram submetidos a nenhum tratamento térmico antes das reações.</w:t>
      </w:r>
      <w:r w:rsidR="00C32A16">
        <w:rPr>
          <w:lang w:val="pt-BR"/>
        </w:rPr>
        <w:t xml:space="preserve"> </w:t>
      </w:r>
      <w:r w:rsidR="00D852F6" w:rsidRPr="006673A3">
        <w:rPr>
          <w:lang w:val="pt-BR"/>
        </w:rPr>
        <w:t xml:space="preserve">Os catalisadores foram caracterizados por </w:t>
      </w:r>
      <w:r w:rsidR="006673A3">
        <w:rPr>
          <w:lang w:val="pt-BR"/>
        </w:rPr>
        <w:t>difração de raios X (</w:t>
      </w:r>
      <w:r w:rsidR="00D852F6" w:rsidRPr="006673A3">
        <w:rPr>
          <w:lang w:val="pt-BR"/>
        </w:rPr>
        <w:t>DRX</w:t>
      </w:r>
      <w:r w:rsidR="006673A3">
        <w:rPr>
          <w:lang w:val="pt-BR"/>
        </w:rPr>
        <w:t>)</w:t>
      </w:r>
      <w:r w:rsidR="00D852F6" w:rsidRPr="006673A3">
        <w:rPr>
          <w:lang w:val="pt-BR"/>
        </w:rPr>
        <w:t>, fisissorção de N</w:t>
      </w:r>
      <w:r w:rsidR="00D852F6" w:rsidRPr="006673A3">
        <w:rPr>
          <w:vertAlign w:val="subscript"/>
          <w:lang w:val="pt-BR"/>
        </w:rPr>
        <w:t>2</w:t>
      </w:r>
      <w:r w:rsidR="00D852F6" w:rsidRPr="006673A3">
        <w:rPr>
          <w:lang w:val="pt-BR"/>
        </w:rPr>
        <w:t xml:space="preserve"> e sua acidez </w:t>
      </w:r>
      <w:r w:rsidR="00C2473F" w:rsidRPr="006673A3">
        <w:rPr>
          <w:lang w:val="pt-BR"/>
        </w:rPr>
        <w:t>total</w:t>
      </w:r>
      <w:r w:rsidR="002444A1">
        <w:rPr>
          <w:lang w:val="pt-BR"/>
        </w:rPr>
        <w:t xml:space="preserve"> </w:t>
      </w:r>
      <w:r w:rsidR="00D852F6" w:rsidRPr="006673A3">
        <w:rPr>
          <w:lang w:val="pt-BR"/>
        </w:rPr>
        <w:t xml:space="preserve">foi avaliada por termodessorção programada de </w:t>
      </w:r>
      <w:r w:rsidR="00F17D9F" w:rsidRPr="006673A3">
        <w:rPr>
          <w:lang w:val="pt-BR"/>
        </w:rPr>
        <w:t>amônia</w:t>
      </w:r>
      <w:r w:rsidR="00A0574A" w:rsidRPr="006673A3">
        <w:rPr>
          <w:lang w:val="pt-BR"/>
        </w:rPr>
        <w:t xml:space="preserve"> (TPD-</w:t>
      </w:r>
      <w:r w:rsidR="00F17D9F" w:rsidRPr="006673A3">
        <w:rPr>
          <w:lang w:val="pt-BR"/>
        </w:rPr>
        <w:t>NH</w:t>
      </w:r>
      <w:r w:rsidR="00F17D9F" w:rsidRPr="006673A3">
        <w:rPr>
          <w:vertAlign w:val="subscript"/>
          <w:lang w:val="pt-BR"/>
        </w:rPr>
        <w:t>3</w:t>
      </w:r>
      <w:r w:rsidR="00D852F6" w:rsidRPr="006673A3">
        <w:rPr>
          <w:lang w:val="pt-BR"/>
        </w:rPr>
        <w:t>) utilizando uma unidade multipropósito</w:t>
      </w:r>
      <w:r w:rsidR="002444A1">
        <w:rPr>
          <w:lang w:val="pt-BR"/>
        </w:rPr>
        <w:t xml:space="preserve"> </w:t>
      </w:r>
      <w:r w:rsidR="00A60CEF" w:rsidRPr="006673A3">
        <w:rPr>
          <w:lang w:val="pt-BR"/>
        </w:rPr>
        <w:t xml:space="preserve">acoplada </w:t>
      </w:r>
      <w:r w:rsidR="00D852F6" w:rsidRPr="006673A3">
        <w:rPr>
          <w:lang w:val="pt-BR"/>
        </w:rPr>
        <w:t xml:space="preserve">com </w:t>
      </w:r>
      <w:r w:rsidR="00F17D9F" w:rsidRPr="006673A3">
        <w:rPr>
          <w:lang w:val="pt-BR"/>
        </w:rPr>
        <w:t xml:space="preserve">detector de condutividade térmica. </w:t>
      </w:r>
      <w:r w:rsidR="00D852F6" w:rsidRPr="006673A3">
        <w:rPr>
          <w:lang w:val="pt-BR"/>
        </w:rPr>
        <w:t>As amostras foram pré-tratadas</w:t>
      </w:r>
      <w:r w:rsidR="007F684B" w:rsidRPr="006673A3">
        <w:rPr>
          <w:lang w:val="pt-BR"/>
        </w:rPr>
        <w:t xml:space="preserve"> e</w:t>
      </w:r>
      <w:r w:rsidR="00D852F6" w:rsidRPr="006673A3">
        <w:rPr>
          <w:lang w:val="pt-BR"/>
        </w:rPr>
        <w:t xml:space="preserve"> expostas a </w:t>
      </w:r>
      <w:r w:rsidR="00F17D9F" w:rsidRPr="006673A3">
        <w:rPr>
          <w:lang w:val="pt-BR"/>
        </w:rPr>
        <w:t>NH</w:t>
      </w:r>
      <w:r w:rsidR="00F17D9F" w:rsidRPr="006673A3">
        <w:rPr>
          <w:vertAlign w:val="subscript"/>
          <w:lang w:val="pt-BR"/>
        </w:rPr>
        <w:t>3</w:t>
      </w:r>
      <w:r w:rsidR="00D852F6" w:rsidRPr="006673A3">
        <w:rPr>
          <w:lang w:val="pt-BR"/>
        </w:rPr>
        <w:t xml:space="preserve"> para que então a dessorção</w:t>
      </w:r>
      <w:r w:rsidR="002444A1">
        <w:rPr>
          <w:lang w:val="pt-BR"/>
        </w:rPr>
        <w:t xml:space="preserve"> </w:t>
      </w:r>
      <w:r w:rsidR="00BE4624" w:rsidRPr="006673A3">
        <w:rPr>
          <w:lang w:val="pt-BR"/>
        </w:rPr>
        <w:t>fosse conduzida de 1</w:t>
      </w:r>
      <w:r w:rsidR="00F17D9F" w:rsidRPr="006673A3">
        <w:rPr>
          <w:lang w:val="pt-BR"/>
        </w:rPr>
        <w:t>0</w:t>
      </w:r>
      <w:r w:rsidR="00BE4624" w:rsidRPr="006673A3">
        <w:rPr>
          <w:lang w:val="pt-BR"/>
        </w:rPr>
        <w:t xml:space="preserve">0 °C a </w:t>
      </w:r>
      <w:r w:rsidR="00F17D9F" w:rsidRPr="006673A3">
        <w:rPr>
          <w:lang w:val="pt-BR"/>
        </w:rPr>
        <w:t>5</w:t>
      </w:r>
      <w:r w:rsidR="00D852F6" w:rsidRPr="006673A3">
        <w:rPr>
          <w:lang w:val="pt-BR"/>
        </w:rPr>
        <w:t>00 °C (taxa de aquecimento de 20 °Cmin</w:t>
      </w:r>
      <w:r w:rsidR="00D852F6" w:rsidRPr="006673A3">
        <w:rPr>
          <w:vertAlign w:val="superscript"/>
          <w:lang w:val="pt-BR"/>
        </w:rPr>
        <w:t>-1</w:t>
      </w:r>
      <w:r w:rsidR="00BE4624" w:rsidRPr="006673A3">
        <w:rPr>
          <w:lang w:val="pt-BR"/>
        </w:rPr>
        <w:t>)</w:t>
      </w:r>
      <w:r w:rsidR="00F17D9F" w:rsidRPr="006673A3">
        <w:rPr>
          <w:lang w:val="pt-BR"/>
        </w:rPr>
        <w:t xml:space="preserve"> durante 30 min sob fluxo de 30 mLmin</w:t>
      </w:r>
      <w:r w:rsidR="00F17D9F" w:rsidRPr="006673A3">
        <w:rPr>
          <w:vertAlign w:val="superscript"/>
          <w:lang w:val="pt-BR"/>
        </w:rPr>
        <w:t>-1</w:t>
      </w:r>
      <w:r w:rsidR="00F17D9F" w:rsidRPr="006673A3">
        <w:rPr>
          <w:lang w:val="pt-BR"/>
        </w:rPr>
        <w:t xml:space="preserve"> de He</w:t>
      </w:r>
      <w:r w:rsidR="00D852F6" w:rsidRPr="006673A3">
        <w:rPr>
          <w:lang w:val="pt-BR"/>
        </w:rPr>
        <w:t>.</w:t>
      </w:r>
    </w:p>
    <w:p w:rsidR="00EA4E1B" w:rsidRDefault="0093444D" w:rsidP="00EA4E1B">
      <w:pPr>
        <w:pStyle w:val="TAMainText"/>
        <w:rPr>
          <w:rFonts w:ascii="Times New Roman" w:hAnsi="Times New Roman"/>
          <w:lang w:val="pt-BR"/>
        </w:rPr>
      </w:pPr>
      <w:r>
        <w:rPr>
          <w:rFonts w:ascii="Times New Roman" w:hAnsi="Times New Roman"/>
          <w:lang w:val="pt-BR"/>
        </w:rPr>
        <w:t>A</w:t>
      </w:r>
      <w:r w:rsidR="00A9350D">
        <w:rPr>
          <w:rFonts w:ascii="Times New Roman" w:hAnsi="Times New Roman"/>
          <w:lang w:val="pt-BR"/>
        </w:rPr>
        <w:t xml:space="preserve"> reação de</w:t>
      </w:r>
      <w:r w:rsidR="002444A1">
        <w:rPr>
          <w:rFonts w:ascii="Times New Roman" w:hAnsi="Times New Roman"/>
          <w:lang w:val="pt-BR"/>
        </w:rPr>
        <w:t xml:space="preserve"> </w:t>
      </w:r>
      <w:r w:rsidRPr="0093444D">
        <w:rPr>
          <w:rFonts w:ascii="Times New Roman" w:hAnsi="Times New Roman"/>
          <w:lang w:val="pt-BR"/>
        </w:rPr>
        <w:t>alcoólise d</w:t>
      </w:r>
      <w:r w:rsidR="00A9350D">
        <w:rPr>
          <w:rFonts w:ascii="Times New Roman" w:hAnsi="Times New Roman"/>
          <w:lang w:val="pt-BR"/>
        </w:rPr>
        <w:t>o</w:t>
      </w:r>
      <w:r w:rsidR="002444A1">
        <w:rPr>
          <w:rFonts w:ascii="Times New Roman" w:hAnsi="Times New Roman"/>
          <w:lang w:val="pt-BR"/>
        </w:rPr>
        <w:t xml:space="preserve"> </w:t>
      </w:r>
      <w:r w:rsidR="0075528A">
        <w:rPr>
          <w:rFonts w:ascii="Times New Roman" w:hAnsi="Times New Roman"/>
          <w:lang w:val="pt-BR"/>
        </w:rPr>
        <w:t>AFF</w:t>
      </w:r>
      <w:r w:rsidRPr="0093444D">
        <w:rPr>
          <w:rFonts w:ascii="Times New Roman" w:hAnsi="Times New Roman"/>
          <w:lang w:val="pt-BR"/>
        </w:rPr>
        <w:t xml:space="preserve"> foi </w:t>
      </w:r>
      <w:r w:rsidR="00A60CEF">
        <w:rPr>
          <w:rFonts w:ascii="Times New Roman" w:hAnsi="Times New Roman"/>
          <w:lang w:val="pt-BR"/>
        </w:rPr>
        <w:t>reali</w:t>
      </w:r>
      <w:r w:rsidR="003B1E09">
        <w:rPr>
          <w:rFonts w:ascii="Times New Roman" w:hAnsi="Times New Roman"/>
          <w:lang w:val="pt-BR"/>
        </w:rPr>
        <w:t>z</w:t>
      </w:r>
      <w:r w:rsidR="00A60CEF">
        <w:rPr>
          <w:rFonts w:ascii="Times New Roman" w:hAnsi="Times New Roman"/>
          <w:lang w:val="pt-BR"/>
        </w:rPr>
        <w:t>a</w:t>
      </w:r>
      <w:r w:rsidR="00A60CEF" w:rsidRPr="0093444D">
        <w:rPr>
          <w:rFonts w:ascii="Times New Roman" w:hAnsi="Times New Roman"/>
          <w:lang w:val="pt-BR"/>
        </w:rPr>
        <w:t xml:space="preserve">da </w:t>
      </w:r>
      <w:r w:rsidRPr="0093444D">
        <w:rPr>
          <w:rFonts w:ascii="Times New Roman" w:hAnsi="Times New Roman"/>
          <w:lang w:val="pt-BR"/>
        </w:rPr>
        <w:t xml:space="preserve">em um </w:t>
      </w:r>
      <w:r w:rsidR="006673A3">
        <w:rPr>
          <w:rFonts w:ascii="Times New Roman" w:hAnsi="Times New Roman"/>
          <w:lang w:val="pt-BR"/>
        </w:rPr>
        <w:t>reator do tipo</w:t>
      </w:r>
      <w:r w:rsidR="002444A1">
        <w:rPr>
          <w:rFonts w:ascii="Times New Roman" w:hAnsi="Times New Roman"/>
          <w:lang w:val="pt-BR"/>
        </w:rPr>
        <w:t xml:space="preserve"> </w:t>
      </w:r>
      <w:r w:rsidRPr="0093444D">
        <w:rPr>
          <w:rFonts w:ascii="Times New Roman" w:hAnsi="Times New Roman"/>
          <w:lang w:val="pt-BR"/>
        </w:rPr>
        <w:t>Parr</w:t>
      </w:r>
      <w:r w:rsidR="00A9350D">
        <w:rPr>
          <w:rFonts w:ascii="Times New Roman" w:hAnsi="Times New Roman"/>
          <w:lang w:val="pt-BR"/>
        </w:rPr>
        <w:t>4875</w:t>
      </w:r>
      <w:r w:rsidR="00A26D79">
        <w:rPr>
          <w:rFonts w:ascii="Times New Roman" w:hAnsi="Times New Roman"/>
          <w:lang w:val="pt-BR"/>
        </w:rPr>
        <w:t xml:space="preserve"> sob pressão de N</w:t>
      </w:r>
      <w:r w:rsidR="00A26D79" w:rsidRPr="00A26D79">
        <w:rPr>
          <w:rFonts w:ascii="Times New Roman" w:hAnsi="Times New Roman"/>
          <w:vertAlign w:val="subscript"/>
          <w:lang w:val="pt-BR"/>
        </w:rPr>
        <w:t>2</w:t>
      </w:r>
      <w:r w:rsidR="00A26D79">
        <w:rPr>
          <w:rFonts w:ascii="Times New Roman" w:hAnsi="Times New Roman"/>
          <w:lang w:val="pt-BR"/>
        </w:rPr>
        <w:t xml:space="preserve"> (</w:t>
      </w:r>
      <w:r w:rsidR="00A9350D">
        <w:rPr>
          <w:rFonts w:ascii="Times New Roman" w:hAnsi="Times New Roman"/>
          <w:lang w:val="pt-BR"/>
        </w:rPr>
        <w:t>15 bar</w:t>
      </w:r>
      <w:r w:rsidR="00A26D79">
        <w:rPr>
          <w:rFonts w:ascii="Times New Roman" w:hAnsi="Times New Roman"/>
          <w:lang w:val="pt-BR"/>
        </w:rPr>
        <w:t>).</w:t>
      </w:r>
      <w:r w:rsidR="002444A1">
        <w:rPr>
          <w:rFonts w:ascii="Times New Roman" w:hAnsi="Times New Roman"/>
          <w:lang w:val="pt-BR"/>
        </w:rPr>
        <w:t xml:space="preserve"> </w:t>
      </w:r>
      <w:r w:rsidR="00A26D79">
        <w:rPr>
          <w:rFonts w:ascii="Times New Roman" w:hAnsi="Times New Roman"/>
          <w:lang w:val="pt-BR"/>
        </w:rPr>
        <w:t>A</w:t>
      </w:r>
      <w:r w:rsidR="00723FAF">
        <w:rPr>
          <w:rFonts w:ascii="Times New Roman" w:hAnsi="Times New Roman"/>
          <w:lang w:val="pt-BR"/>
        </w:rPr>
        <w:t xml:space="preserve">s reações </w:t>
      </w:r>
      <w:r w:rsidR="00BE4624">
        <w:rPr>
          <w:rFonts w:ascii="Times New Roman" w:hAnsi="Times New Roman"/>
          <w:lang w:val="pt-BR"/>
        </w:rPr>
        <w:t xml:space="preserve">com fosfato de nióbio </w:t>
      </w:r>
      <w:r w:rsidR="00BE4624" w:rsidRPr="007028F3">
        <w:rPr>
          <w:rFonts w:ascii="Times New Roman" w:hAnsi="Times New Roman"/>
          <w:i/>
          <w:lang w:val="pt-BR"/>
        </w:rPr>
        <w:t>in natura</w:t>
      </w:r>
      <w:r w:rsidR="00BE4624">
        <w:rPr>
          <w:rFonts w:ascii="Times New Roman" w:hAnsi="Times New Roman"/>
          <w:lang w:val="pt-BR"/>
        </w:rPr>
        <w:t xml:space="preserve"> (NbP-in) foram conduzidas a 78, 120 e 150°C.</w:t>
      </w:r>
      <w:r w:rsidR="007028F3">
        <w:rPr>
          <w:rFonts w:ascii="Times New Roman" w:hAnsi="Times New Roman"/>
          <w:lang w:val="pt-BR"/>
        </w:rPr>
        <w:t>Para avaliação da atividade catalítica foram feitas reações sem catalisador e</w:t>
      </w:r>
      <w:r w:rsidR="002444A1">
        <w:rPr>
          <w:rFonts w:ascii="Times New Roman" w:hAnsi="Times New Roman"/>
          <w:lang w:val="pt-BR"/>
        </w:rPr>
        <w:t xml:space="preserve"> </w:t>
      </w:r>
      <w:r w:rsidR="007028F3">
        <w:rPr>
          <w:rFonts w:ascii="Times New Roman" w:hAnsi="Times New Roman"/>
          <w:lang w:val="pt-BR"/>
        </w:rPr>
        <w:t xml:space="preserve">com óxido </w:t>
      </w:r>
      <w:r w:rsidR="007028F3">
        <w:rPr>
          <w:rFonts w:ascii="Times New Roman" w:hAnsi="Times New Roman"/>
          <w:lang w:val="pt-BR"/>
        </w:rPr>
        <w:lastRenderedPageBreak/>
        <w:t xml:space="preserve">de nióbio </w:t>
      </w:r>
      <w:r w:rsidR="007028F3" w:rsidRPr="007028F3">
        <w:rPr>
          <w:rFonts w:ascii="Times New Roman" w:hAnsi="Times New Roman"/>
          <w:i/>
          <w:lang w:val="pt-BR"/>
        </w:rPr>
        <w:t>in natura</w:t>
      </w:r>
      <w:r w:rsidR="007028F3">
        <w:rPr>
          <w:rFonts w:ascii="Times New Roman" w:hAnsi="Times New Roman"/>
          <w:lang w:val="pt-BR"/>
        </w:rPr>
        <w:t xml:space="preserve"> (Nb</w:t>
      </w:r>
      <w:r w:rsidR="00BE4624" w:rsidRPr="000C4D47">
        <w:rPr>
          <w:rFonts w:ascii="Times New Roman" w:hAnsi="Times New Roman"/>
          <w:vertAlign w:val="subscript"/>
          <w:lang w:val="pt-BR"/>
        </w:rPr>
        <w:t>2</w:t>
      </w:r>
      <w:r w:rsidR="007028F3">
        <w:rPr>
          <w:rFonts w:ascii="Times New Roman" w:hAnsi="Times New Roman"/>
          <w:lang w:val="pt-BR"/>
        </w:rPr>
        <w:t>O</w:t>
      </w:r>
      <w:r w:rsidR="00BE4624" w:rsidRPr="000C4D47">
        <w:rPr>
          <w:rFonts w:ascii="Times New Roman" w:hAnsi="Times New Roman"/>
          <w:vertAlign w:val="subscript"/>
          <w:lang w:val="pt-BR"/>
        </w:rPr>
        <w:t>5</w:t>
      </w:r>
      <w:r w:rsidR="00BE4624">
        <w:rPr>
          <w:rFonts w:ascii="Times New Roman" w:hAnsi="Times New Roman"/>
          <w:lang w:val="pt-BR"/>
        </w:rPr>
        <w:t>-</w:t>
      </w:r>
      <w:r w:rsidR="007028F3">
        <w:rPr>
          <w:rFonts w:ascii="Times New Roman" w:hAnsi="Times New Roman"/>
          <w:lang w:val="pt-BR"/>
        </w:rPr>
        <w:t xml:space="preserve">in). </w:t>
      </w:r>
      <w:r w:rsidR="00723FAF">
        <w:rPr>
          <w:rFonts w:ascii="Times New Roman" w:hAnsi="Times New Roman"/>
          <w:lang w:val="pt-BR"/>
        </w:rPr>
        <w:t>O</w:t>
      </w:r>
      <w:r w:rsidR="00A26D79">
        <w:rPr>
          <w:rFonts w:ascii="Times New Roman" w:hAnsi="Times New Roman"/>
          <w:lang w:val="pt-BR"/>
        </w:rPr>
        <w:t xml:space="preserve"> etanol foi usado em excesso (razão molar </w:t>
      </w:r>
      <w:r w:rsidR="00A26D79" w:rsidRPr="00A26D79">
        <w:rPr>
          <w:rFonts w:ascii="Times New Roman" w:hAnsi="Times New Roman"/>
          <w:lang w:val="pt-BR"/>
        </w:rPr>
        <w:t>OH/</w:t>
      </w:r>
      <w:r w:rsidR="00A26D79">
        <w:rPr>
          <w:rFonts w:ascii="Times New Roman" w:hAnsi="Times New Roman"/>
          <w:lang w:val="pt-BR"/>
        </w:rPr>
        <w:t>A</w:t>
      </w:r>
      <w:r w:rsidR="00A26D79" w:rsidRPr="00A26D79">
        <w:rPr>
          <w:rFonts w:ascii="Times New Roman" w:hAnsi="Times New Roman"/>
          <w:lang w:val="pt-BR"/>
        </w:rPr>
        <w:t>FF</w:t>
      </w:r>
      <w:r w:rsidR="00A26D79">
        <w:rPr>
          <w:rFonts w:ascii="Times New Roman" w:hAnsi="Times New Roman"/>
          <w:lang w:val="pt-BR"/>
        </w:rPr>
        <w:t xml:space="preserve"> = 5</w:t>
      </w:r>
      <w:r w:rsidR="00A26D79" w:rsidRPr="00A26D79">
        <w:rPr>
          <w:rFonts w:ascii="Times New Roman" w:hAnsi="Times New Roman"/>
          <w:lang w:val="pt-BR"/>
        </w:rPr>
        <w:t>)</w:t>
      </w:r>
      <w:r w:rsidR="00A26D79">
        <w:rPr>
          <w:rFonts w:ascii="Times New Roman" w:hAnsi="Times New Roman"/>
          <w:lang w:val="pt-BR"/>
        </w:rPr>
        <w:t xml:space="preserve"> e a </w:t>
      </w:r>
      <w:r w:rsidR="00A26D79" w:rsidRPr="006673A3">
        <w:rPr>
          <w:lang w:val="pt-BR"/>
        </w:rPr>
        <w:t>razão mássica catalisador</w:t>
      </w:r>
      <w:r w:rsidR="00BD07BF" w:rsidRPr="006673A3">
        <w:rPr>
          <w:lang w:val="pt-BR"/>
        </w:rPr>
        <w:t>/</w:t>
      </w:r>
      <w:r w:rsidR="00A26D79" w:rsidRPr="006673A3">
        <w:rPr>
          <w:lang w:val="pt-BR"/>
        </w:rPr>
        <w:t xml:space="preserve">AFF foi </w:t>
      </w:r>
      <w:r w:rsidR="00D913D1" w:rsidRPr="006673A3">
        <w:rPr>
          <w:lang w:val="pt-BR"/>
        </w:rPr>
        <w:t>de</w:t>
      </w:r>
      <w:r w:rsidR="00A26D79" w:rsidRPr="006673A3">
        <w:rPr>
          <w:lang w:val="pt-BR"/>
        </w:rPr>
        <w:t xml:space="preserve"> 0,10.</w:t>
      </w:r>
      <w:r w:rsidRPr="0093444D">
        <w:rPr>
          <w:rFonts w:ascii="Times New Roman" w:hAnsi="Times New Roman"/>
          <w:lang w:val="pt-BR"/>
        </w:rPr>
        <w:t xml:space="preserve">O catalisador foi separado da mistura </w:t>
      </w:r>
      <w:r w:rsidR="00D913D1">
        <w:rPr>
          <w:rFonts w:ascii="Times New Roman" w:hAnsi="Times New Roman"/>
          <w:lang w:val="pt-BR"/>
        </w:rPr>
        <w:t>reacional</w:t>
      </w:r>
      <w:r w:rsidRPr="0093444D">
        <w:rPr>
          <w:rFonts w:ascii="Times New Roman" w:hAnsi="Times New Roman"/>
          <w:lang w:val="pt-BR"/>
        </w:rPr>
        <w:t xml:space="preserve"> por centrifugação e o produto líquido resultante foi analisado </w:t>
      </w:r>
      <w:r w:rsidR="00D913D1">
        <w:rPr>
          <w:rFonts w:ascii="Times New Roman" w:hAnsi="Times New Roman"/>
          <w:lang w:val="pt-BR"/>
        </w:rPr>
        <w:t>em um cromatógrafo a gás Agilent 7890A acoplado a um espectrômetro de massas 5975C InertXl MSD (GC/MS)</w:t>
      </w:r>
      <w:r w:rsidR="00EA4E1B" w:rsidRPr="001F25B2">
        <w:rPr>
          <w:rFonts w:ascii="Times New Roman" w:hAnsi="Times New Roman"/>
          <w:lang w:val="pt-BR"/>
        </w:rPr>
        <w:t xml:space="preserve">. </w:t>
      </w:r>
    </w:p>
    <w:p w:rsidR="00097C37" w:rsidRPr="001F25B2" w:rsidRDefault="00097C37" w:rsidP="00097C37">
      <w:pPr>
        <w:pStyle w:val="TAMainText"/>
        <w:ind w:firstLine="0"/>
        <w:rPr>
          <w:rFonts w:ascii="Times New Roman" w:hAnsi="Times New Roman"/>
          <w:lang w:val="pt-BR"/>
        </w:rPr>
      </w:pP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rsidR="006673A3" w:rsidRDefault="00A60CEF" w:rsidP="006B0392">
      <w:pPr>
        <w:pStyle w:val="TAMainText"/>
        <w:ind w:firstLine="187"/>
        <w:rPr>
          <w:rFonts w:ascii="Times New Roman" w:hAnsi="Times New Roman"/>
          <w:lang w:val="pt-BR"/>
        </w:rPr>
      </w:pPr>
      <w:r w:rsidRPr="00A60CEF">
        <w:rPr>
          <w:rFonts w:ascii="Times New Roman" w:hAnsi="Times New Roman"/>
          <w:lang w:val="pt-BR"/>
        </w:rPr>
        <w:t>Os resultados de DRX</w:t>
      </w:r>
      <w:r w:rsidR="00BD559D">
        <w:rPr>
          <w:rFonts w:ascii="Times New Roman" w:hAnsi="Times New Roman"/>
          <w:lang w:val="pt-BR"/>
        </w:rPr>
        <w:t xml:space="preserve"> </w:t>
      </w:r>
      <w:r w:rsidRPr="00A60CEF">
        <w:rPr>
          <w:rFonts w:ascii="Times New Roman" w:hAnsi="Times New Roman"/>
          <w:lang w:val="pt-BR"/>
        </w:rPr>
        <w:t xml:space="preserve">sugerem que os dois catalisadores avaliadossão amorfos, em concordância com a literatura, que menciona </w:t>
      </w:r>
      <w:r w:rsidR="003B1E09">
        <w:rPr>
          <w:rFonts w:ascii="Times New Roman" w:hAnsi="Times New Roman"/>
          <w:lang w:val="pt-BR"/>
        </w:rPr>
        <w:t>surgimento de</w:t>
      </w:r>
      <w:r w:rsidRPr="00A60CEF">
        <w:rPr>
          <w:rFonts w:ascii="Times New Roman" w:hAnsi="Times New Roman"/>
          <w:lang w:val="pt-BR"/>
        </w:rPr>
        <w:t xml:space="preserve"> cristalinidade </w:t>
      </w:r>
      <w:r w:rsidR="003B1E09">
        <w:rPr>
          <w:rFonts w:ascii="Times New Roman" w:hAnsi="Times New Roman"/>
          <w:lang w:val="pt-BR"/>
        </w:rPr>
        <w:t xml:space="preserve">nesses </w:t>
      </w:r>
      <w:r w:rsidRPr="00A60CEF">
        <w:rPr>
          <w:rFonts w:ascii="Times New Roman" w:hAnsi="Times New Roman"/>
          <w:lang w:val="pt-BR"/>
        </w:rPr>
        <w:t xml:space="preserve">materiais </w:t>
      </w:r>
      <w:r w:rsidR="006673A3">
        <w:rPr>
          <w:rFonts w:ascii="Times New Roman" w:hAnsi="Times New Roman"/>
          <w:lang w:val="pt-BR"/>
        </w:rPr>
        <w:t xml:space="preserve">somente </w:t>
      </w:r>
      <w:r w:rsidR="003B1E09">
        <w:rPr>
          <w:rFonts w:ascii="Times New Roman" w:hAnsi="Times New Roman"/>
          <w:lang w:val="pt-BR"/>
        </w:rPr>
        <w:t xml:space="preserve">quando </w:t>
      </w:r>
      <w:r w:rsidRPr="00A60CEF">
        <w:rPr>
          <w:rFonts w:ascii="Times New Roman" w:hAnsi="Times New Roman"/>
          <w:lang w:val="pt-BR"/>
        </w:rPr>
        <w:t>calcinados acima de 500°C</w:t>
      </w:r>
      <w:r w:rsidR="002444A1">
        <w:rPr>
          <w:rFonts w:ascii="Times New Roman" w:hAnsi="Times New Roman"/>
          <w:lang w:val="pt-BR"/>
        </w:rPr>
        <w:t xml:space="preserve"> </w:t>
      </w:r>
      <w:r w:rsidR="00621A2B" w:rsidRPr="00621A2B">
        <w:rPr>
          <w:rFonts w:ascii="Times New Roman" w:hAnsi="Times New Roman"/>
          <w:lang w:val="pt-BR"/>
        </w:rPr>
        <w:t>(</w:t>
      </w:r>
      <w:r w:rsidR="00F7454C">
        <w:rPr>
          <w:rFonts w:ascii="Times New Roman" w:hAnsi="Times New Roman"/>
          <w:lang w:val="pt-BR"/>
        </w:rPr>
        <w:t>5</w:t>
      </w:r>
      <w:r w:rsidR="00621A2B" w:rsidRPr="00621A2B">
        <w:rPr>
          <w:rFonts w:ascii="Times New Roman" w:hAnsi="Times New Roman"/>
          <w:lang w:val="pt-BR"/>
        </w:rPr>
        <w:t>)</w:t>
      </w:r>
      <w:r w:rsidR="00647EC2" w:rsidRPr="00647EC2">
        <w:rPr>
          <w:rFonts w:ascii="Times New Roman" w:hAnsi="Times New Roman"/>
          <w:lang w:val="pt-BR"/>
        </w:rPr>
        <w:t xml:space="preserve">. </w:t>
      </w:r>
      <w:r w:rsidR="00097C37" w:rsidRPr="00097C37">
        <w:rPr>
          <w:rFonts w:ascii="Times New Roman" w:hAnsi="Times New Roman"/>
          <w:lang w:val="pt-BR"/>
        </w:rPr>
        <w:t xml:space="preserve">Os resultados </w:t>
      </w:r>
      <w:r w:rsidR="006673A3">
        <w:rPr>
          <w:rFonts w:ascii="Times New Roman" w:hAnsi="Times New Roman"/>
          <w:lang w:val="pt-BR"/>
        </w:rPr>
        <w:t>de fisissorção de N</w:t>
      </w:r>
      <w:r w:rsidR="006673A3" w:rsidRPr="006673A3">
        <w:rPr>
          <w:rFonts w:ascii="Times New Roman" w:hAnsi="Times New Roman"/>
          <w:vertAlign w:val="subscript"/>
          <w:lang w:val="pt-BR"/>
        </w:rPr>
        <w:t>2</w:t>
      </w:r>
      <w:r w:rsidR="00BD559D">
        <w:rPr>
          <w:rFonts w:ascii="Times New Roman" w:hAnsi="Times New Roman"/>
          <w:vertAlign w:val="subscript"/>
          <w:lang w:val="pt-BR"/>
        </w:rPr>
        <w:t xml:space="preserve"> </w:t>
      </w:r>
      <w:r w:rsidR="00097C37" w:rsidRPr="00097C37">
        <w:rPr>
          <w:rFonts w:ascii="Times New Roman" w:hAnsi="Times New Roman"/>
          <w:lang w:val="pt-BR"/>
        </w:rPr>
        <w:t>mostraram que o</w:t>
      </w:r>
      <w:r w:rsidR="002444A1">
        <w:rPr>
          <w:rFonts w:ascii="Times New Roman" w:hAnsi="Times New Roman"/>
          <w:lang w:val="pt-BR"/>
        </w:rPr>
        <w:t xml:space="preserve"> </w:t>
      </w:r>
      <w:r w:rsidR="007028F3">
        <w:rPr>
          <w:rFonts w:ascii="Times New Roman" w:hAnsi="Times New Roman"/>
          <w:lang w:val="pt-BR"/>
        </w:rPr>
        <w:t>NbP</w:t>
      </w:r>
      <w:r w:rsidR="00D913D1">
        <w:rPr>
          <w:rFonts w:ascii="Times New Roman" w:hAnsi="Times New Roman"/>
          <w:lang w:val="pt-BR"/>
        </w:rPr>
        <w:t>-</w:t>
      </w:r>
      <w:r w:rsidR="007028F3">
        <w:rPr>
          <w:rFonts w:ascii="Times New Roman" w:hAnsi="Times New Roman"/>
          <w:lang w:val="pt-BR"/>
        </w:rPr>
        <w:t>in</w:t>
      </w:r>
      <w:r w:rsidR="00D951F0">
        <w:rPr>
          <w:rFonts w:ascii="Times New Roman" w:hAnsi="Times New Roman"/>
          <w:lang w:val="pt-BR"/>
        </w:rPr>
        <w:t xml:space="preserve"> possui </w:t>
      </w:r>
      <w:r w:rsidR="00097C37" w:rsidRPr="00097C37">
        <w:rPr>
          <w:rFonts w:ascii="Times New Roman" w:hAnsi="Times New Roman"/>
          <w:lang w:val="pt-BR"/>
        </w:rPr>
        <w:t>área específica</w:t>
      </w:r>
      <w:r w:rsidR="00D951F0">
        <w:rPr>
          <w:rFonts w:ascii="Times New Roman" w:hAnsi="Times New Roman"/>
          <w:lang w:val="pt-BR"/>
        </w:rPr>
        <w:t xml:space="preserve"> menor do que o </w:t>
      </w:r>
      <w:r w:rsidR="00D913D1">
        <w:rPr>
          <w:rFonts w:ascii="Times New Roman" w:hAnsi="Times New Roman"/>
          <w:lang w:val="pt-BR"/>
        </w:rPr>
        <w:t>Nb</w:t>
      </w:r>
      <w:r w:rsidR="00D913D1" w:rsidRPr="00D913D1">
        <w:rPr>
          <w:rFonts w:ascii="Times New Roman" w:hAnsi="Times New Roman"/>
          <w:vertAlign w:val="subscript"/>
          <w:lang w:val="pt-BR"/>
        </w:rPr>
        <w:t>2</w:t>
      </w:r>
      <w:r w:rsidR="00D913D1">
        <w:rPr>
          <w:rFonts w:ascii="Times New Roman" w:hAnsi="Times New Roman"/>
          <w:lang w:val="pt-BR"/>
        </w:rPr>
        <w:t>O</w:t>
      </w:r>
      <w:r w:rsidR="00D913D1" w:rsidRPr="00D913D1">
        <w:rPr>
          <w:rFonts w:ascii="Times New Roman" w:hAnsi="Times New Roman"/>
          <w:vertAlign w:val="subscript"/>
          <w:lang w:val="pt-BR"/>
        </w:rPr>
        <w:t>5</w:t>
      </w:r>
      <w:r w:rsidR="00D913D1">
        <w:rPr>
          <w:rFonts w:ascii="Times New Roman" w:hAnsi="Times New Roman"/>
          <w:lang w:val="pt-BR"/>
        </w:rPr>
        <w:t>-in</w:t>
      </w:r>
      <w:r w:rsidR="00D951F0">
        <w:rPr>
          <w:rFonts w:ascii="Times New Roman" w:hAnsi="Times New Roman"/>
          <w:lang w:val="pt-BR"/>
        </w:rPr>
        <w:t xml:space="preserve">, 101 e 191 </w:t>
      </w:r>
      <w:r w:rsidR="00D951F0" w:rsidRPr="00097C37">
        <w:rPr>
          <w:rFonts w:ascii="Times New Roman" w:hAnsi="Times New Roman"/>
          <w:lang w:val="pt-BR"/>
        </w:rPr>
        <w:t>m</w:t>
      </w:r>
      <w:r w:rsidR="00D951F0" w:rsidRPr="00D951F0">
        <w:rPr>
          <w:rFonts w:ascii="Times New Roman" w:hAnsi="Times New Roman"/>
          <w:vertAlign w:val="superscript"/>
          <w:lang w:val="pt-BR"/>
        </w:rPr>
        <w:t>2</w:t>
      </w:r>
      <w:r w:rsidR="00D951F0">
        <w:rPr>
          <w:rFonts w:ascii="Times New Roman" w:hAnsi="Times New Roman"/>
          <w:lang w:val="pt-BR"/>
        </w:rPr>
        <w:t>g</w:t>
      </w:r>
      <w:r w:rsidR="00D951F0" w:rsidRPr="00D951F0">
        <w:rPr>
          <w:rFonts w:ascii="Times New Roman" w:hAnsi="Times New Roman"/>
          <w:vertAlign w:val="superscript"/>
          <w:lang w:val="pt-BR"/>
        </w:rPr>
        <w:t>-1</w:t>
      </w:r>
      <w:r w:rsidR="007C374E">
        <w:rPr>
          <w:rFonts w:ascii="Times New Roman" w:hAnsi="Times New Roman"/>
          <w:lang w:val="pt-BR"/>
        </w:rPr>
        <w:t>,</w:t>
      </w:r>
      <w:r w:rsidR="00D951F0">
        <w:rPr>
          <w:rFonts w:ascii="Times New Roman" w:hAnsi="Times New Roman"/>
          <w:lang w:val="pt-BR"/>
        </w:rPr>
        <w:t xml:space="preserve"> respectivamente</w:t>
      </w:r>
      <w:r w:rsidR="000E140A">
        <w:rPr>
          <w:rFonts w:ascii="Times New Roman" w:hAnsi="Times New Roman"/>
          <w:lang w:val="pt-BR"/>
        </w:rPr>
        <w:t xml:space="preserve">. </w:t>
      </w:r>
      <w:r w:rsidR="00667C72">
        <w:rPr>
          <w:rFonts w:ascii="Times New Roman" w:hAnsi="Times New Roman"/>
          <w:lang w:val="pt-BR"/>
        </w:rPr>
        <w:t xml:space="preserve">Embora </w:t>
      </w:r>
      <w:r w:rsidR="006673A3">
        <w:rPr>
          <w:rFonts w:ascii="Times New Roman" w:hAnsi="Times New Roman"/>
          <w:lang w:val="pt-BR"/>
        </w:rPr>
        <w:t>as isotermas obtidas</w:t>
      </w:r>
      <w:r w:rsidR="00667C72">
        <w:rPr>
          <w:rFonts w:ascii="Times New Roman" w:hAnsi="Times New Roman"/>
          <w:lang w:val="pt-BR"/>
        </w:rPr>
        <w:t xml:space="preserve"> para o óxido seja distint</w:t>
      </w:r>
      <w:r w:rsidR="006673A3">
        <w:rPr>
          <w:rFonts w:ascii="Times New Roman" w:hAnsi="Times New Roman"/>
          <w:lang w:val="pt-BR"/>
        </w:rPr>
        <w:t>a</w:t>
      </w:r>
      <w:r w:rsidR="002444A1">
        <w:rPr>
          <w:rFonts w:ascii="Times New Roman" w:hAnsi="Times New Roman"/>
          <w:lang w:val="pt-BR"/>
        </w:rPr>
        <w:t xml:space="preserve"> </w:t>
      </w:r>
      <w:r w:rsidR="00667C72">
        <w:rPr>
          <w:rFonts w:ascii="Times New Roman" w:hAnsi="Times New Roman"/>
          <w:lang w:val="pt-BR"/>
        </w:rPr>
        <w:t>daquel</w:t>
      </w:r>
      <w:r w:rsidR="006673A3">
        <w:rPr>
          <w:rFonts w:ascii="Times New Roman" w:hAnsi="Times New Roman"/>
          <w:lang w:val="pt-BR"/>
        </w:rPr>
        <w:t>a</w:t>
      </w:r>
      <w:r w:rsidR="00667C72">
        <w:rPr>
          <w:rFonts w:ascii="Times New Roman" w:hAnsi="Times New Roman"/>
          <w:lang w:val="pt-BR"/>
        </w:rPr>
        <w:t xml:space="preserve"> observad</w:t>
      </w:r>
      <w:r w:rsidR="006673A3">
        <w:rPr>
          <w:rFonts w:ascii="Times New Roman" w:hAnsi="Times New Roman"/>
          <w:lang w:val="pt-BR"/>
        </w:rPr>
        <w:t>a</w:t>
      </w:r>
      <w:r w:rsidR="00667C72">
        <w:rPr>
          <w:rFonts w:ascii="Times New Roman" w:hAnsi="Times New Roman"/>
          <w:lang w:val="pt-BR"/>
        </w:rPr>
        <w:t xml:space="preserve"> para o fosfato</w:t>
      </w:r>
      <w:r w:rsidR="006673A3">
        <w:rPr>
          <w:rFonts w:ascii="Times New Roman" w:hAnsi="Times New Roman"/>
          <w:lang w:val="pt-BR"/>
        </w:rPr>
        <w:t xml:space="preserve"> (Figura 1)</w:t>
      </w:r>
      <w:r w:rsidR="00667C72">
        <w:rPr>
          <w:rFonts w:ascii="Times New Roman" w:hAnsi="Times New Roman"/>
          <w:lang w:val="pt-BR"/>
        </w:rPr>
        <w:t>,</w:t>
      </w:r>
      <w:r w:rsidR="002444A1">
        <w:rPr>
          <w:rFonts w:ascii="Times New Roman" w:hAnsi="Times New Roman"/>
          <w:lang w:val="pt-BR"/>
        </w:rPr>
        <w:t xml:space="preserve"> </w:t>
      </w:r>
      <w:r w:rsidR="006673A3">
        <w:rPr>
          <w:rFonts w:ascii="Times New Roman" w:hAnsi="Times New Roman"/>
          <w:lang w:val="pt-BR"/>
        </w:rPr>
        <w:t>ambas</w:t>
      </w:r>
      <w:r w:rsidR="002444A1">
        <w:rPr>
          <w:rFonts w:ascii="Times New Roman" w:hAnsi="Times New Roman"/>
          <w:lang w:val="pt-BR"/>
        </w:rPr>
        <w:t xml:space="preserve"> </w:t>
      </w:r>
      <w:r w:rsidR="008C5D1F" w:rsidRPr="008C5D1F">
        <w:rPr>
          <w:rFonts w:ascii="Times New Roman" w:hAnsi="Times New Roman"/>
          <w:lang w:val="pt-BR"/>
        </w:rPr>
        <w:t>pode</w:t>
      </w:r>
      <w:r w:rsidR="00667C72">
        <w:rPr>
          <w:rFonts w:ascii="Times New Roman" w:hAnsi="Times New Roman"/>
          <w:lang w:val="pt-BR"/>
        </w:rPr>
        <w:t>m</w:t>
      </w:r>
      <w:r w:rsidR="008C5D1F" w:rsidRPr="008C5D1F">
        <w:rPr>
          <w:rFonts w:ascii="Times New Roman" w:hAnsi="Times New Roman"/>
          <w:lang w:val="pt-BR"/>
        </w:rPr>
        <w:t xml:space="preserve"> ser classificadas como do tipo IV</w:t>
      </w:r>
      <w:r w:rsidR="002444A1">
        <w:rPr>
          <w:rFonts w:ascii="Times New Roman" w:hAnsi="Times New Roman"/>
          <w:lang w:val="pt-BR"/>
        </w:rPr>
        <w:t xml:space="preserve"> </w:t>
      </w:r>
      <w:r w:rsidR="006673A3">
        <w:rPr>
          <w:rFonts w:ascii="Times New Roman" w:hAnsi="Times New Roman"/>
          <w:lang w:val="pt-BR"/>
        </w:rPr>
        <w:t>a</w:t>
      </w:r>
      <w:r w:rsidR="008C5D1F" w:rsidRPr="008C5D1F">
        <w:rPr>
          <w:rFonts w:ascii="Times New Roman" w:hAnsi="Times New Roman"/>
          <w:lang w:val="pt-BR"/>
        </w:rPr>
        <w:t xml:space="preserve"> com histerese do tipo H1, típicas de materiais </w:t>
      </w:r>
      <w:r w:rsidR="006673A3">
        <w:rPr>
          <w:rFonts w:ascii="Times New Roman" w:hAnsi="Times New Roman"/>
          <w:lang w:val="pt-BR"/>
        </w:rPr>
        <w:t xml:space="preserve">contendo </w:t>
      </w:r>
      <w:r w:rsidR="008C5D1F" w:rsidRPr="008C5D1F">
        <w:rPr>
          <w:rFonts w:ascii="Times New Roman" w:hAnsi="Times New Roman"/>
          <w:lang w:val="pt-BR"/>
        </w:rPr>
        <w:t>mesoporoso, segundo a classificação da IUPAC</w:t>
      </w:r>
      <w:r w:rsidR="00667C72">
        <w:rPr>
          <w:rFonts w:ascii="Times New Roman" w:hAnsi="Times New Roman"/>
          <w:lang w:val="pt-BR"/>
        </w:rPr>
        <w:t xml:space="preserve"> e </w:t>
      </w:r>
      <w:r w:rsidR="006673A3">
        <w:rPr>
          <w:rFonts w:ascii="Times New Roman" w:hAnsi="Times New Roman"/>
          <w:lang w:val="pt-BR"/>
        </w:rPr>
        <w:t xml:space="preserve">são </w:t>
      </w:r>
      <w:r w:rsidR="00667C72">
        <w:rPr>
          <w:rFonts w:ascii="Times New Roman" w:hAnsi="Times New Roman"/>
          <w:lang w:val="pt-BR"/>
        </w:rPr>
        <w:t>compatíveis com a literatura</w:t>
      </w:r>
      <w:r w:rsidR="006673A3">
        <w:rPr>
          <w:rFonts w:ascii="Times New Roman" w:hAnsi="Times New Roman"/>
          <w:lang w:val="pt-BR"/>
        </w:rPr>
        <w:t xml:space="preserve"> para esses tipos de catalisadores</w:t>
      </w:r>
      <w:r w:rsidR="008C5D1F" w:rsidRPr="008C5D1F">
        <w:rPr>
          <w:rFonts w:ascii="Times New Roman" w:hAnsi="Times New Roman"/>
          <w:lang w:val="pt-BR"/>
        </w:rPr>
        <w:t>.</w:t>
      </w:r>
    </w:p>
    <w:p w:rsidR="007C2C80" w:rsidRDefault="007C2C80" w:rsidP="007C2C80">
      <w:pPr>
        <w:jc w:val="center"/>
      </w:pPr>
      <w:r>
        <w:object w:dxaOrig="6175" w:dyaOrig="4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64pt" o:ole="">
            <v:imagedata r:id="rId9" o:title=""/>
          </v:shape>
          <o:OLEObject Type="Embed" ProgID="Origin50.Graph" ShapeID="_x0000_i1025" DrawAspect="Content" ObjectID="_1744193721" r:id="rId10"/>
        </w:object>
      </w:r>
    </w:p>
    <w:p w:rsidR="007C2C80" w:rsidRDefault="007C2C80" w:rsidP="007C2C80">
      <w:pPr>
        <w:jc w:val="center"/>
      </w:pPr>
      <w:r w:rsidRPr="008C5D1F">
        <w:rPr>
          <w:rFonts w:ascii="Times New Roman" w:eastAsia="Times New Roman" w:hAnsi="Times New Roman" w:cs="Times New Roman"/>
          <w:b/>
          <w:sz w:val="18"/>
          <w:szCs w:val="20"/>
          <w:lang w:eastAsia="pt-BR"/>
        </w:rPr>
        <w:t xml:space="preserve">Figura </w:t>
      </w:r>
      <w:r>
        <w:rPr>
          <w:rFonts w:ascii="Times New Roman" w:eastAsia="Times New Roman" w:hAnsi="Times New Roman" w:cs="Times New Roman"/>
          <w:b/>
          <w:sz w:val="18"/>
          <w:szCs w:val="20"/>
          <w:lang w:eastAsia="pt-BR"/>
        </w:rPr>
        <w:t>1</w:t>
      </w:r>
      <w:r w:rsidRPr="008C5D1F">
        <w:rPr>
          <w:rFonts w:ascii="Times New Roman" w:eastAsia="Times New Roman" w:hAnsi="Times New Roman" w:cs="Times New Roman"/>
          <w:b/>
          <w:sz w:val="18"/>
          <w:szCs w:val="20"/>
          <w:lang w:eastAsia="pt-BR"/>
        </w:rPr>
        <w:t>.</w:t>
      </w:r>
      <w:r w:rsidRPr="008C5D1F">
        <w:rPr>
          <w:rFonts w:ascii="Times New Roman" w:eastAsia="Times New Roman" w:hAnsi="Times New Roman" w:cs="Times New Roman"/>
          <w:sz w:val="18"/>
          <w:szCs w:val="20"/>
          <w:lang w:eastAsia="pt-BR"/>
        </w:rPr>
        <w:t>Isotermas de adsorção e dessorção de N</w:t>
      </w:r>
      <w:r w:rsidRPr="008C5D1F">
        <w:rPr>
          <w:rFonts w:ascii="Times New Roman" w:eastAsia="Times New Roman" w:hAnsi="Times New Roman" w:cs="Times New Roman"/>
          <w:sz w:val="18"/>
          <w:szCs w:val="20"/>
          <w:vertAlign w:val="subscript"/>
          <w:lang w:eastAsia="pt-BR"/>
        </w:rPr>
        <w:t>2</w:t>
      </w:r>
    </w:p>
    <w:p w:rsidR="007C2C80" w:rsidRDefault="007C2C80" w:rsidP="006B0392">
      <w:pPr>
        <w:pStyle w:val="TAMainText"/>
        <w:ind w:firstLine="187"/>
        <w:rPr>
          <w:rFonts w:ascii="Times New Roman" w:hAnsi="Times New Roman"/>
          <w:lang w:val="pt-BR"/>
        </w:rPr>
      </w:pPr>
    </w:p>
    <w:p w:rsidR="007C2C80" w:rsidRDefault="007C2C80" w:rsidP="006B0392">
      <w:pPr>
        <w:pStyle w:val="TAMainText"/>
        <w:ind w:firstLine="187"/>
        <w:rPr>
          <w:rFonts w:ascii="Times New Roman" w:hAnsi="Times New Roman"/>
          <w:lang w:val="pt-BR"/>
        </w:rPr>
      </w:pPr>
      <w:r>
        <w:rPr>
          <w:rFonts w:ascii="Times New Roman" w:hAnsi="Times New Roman"/>
          <w:lang w:val="pt-BR"/>
        </w:rPr>
        <w:t>No que diz respeito à acidez, o</w:t>
      </w:r>
      <w:r w:rsidR="00D951F0" w:rsidRPr="00D951F0">
        <w:rPr>
          <w:rFonts w:ascii="Times New Roman" w:hAnsi="Times New Roman"/>
          <w:lang w:val="pt-BR"/>
        </w:rPr>
        <w:t>s resultados obtidos por TPD-NH</w:t>
      </w:r>
      <w:r w:rsidR="00D951F0" w:rsidRPr="00D951F0">
        <w:rPr>
          <w:rFonts w:ascii="Times New Roman" w:hAnsi="Times New Roman"/>
          <w:vertAlign w:val="subscript"/>
          <w:lang w:val="pt-BR"/>
        </w:rPr>
        <w:t>3</w:t>
      </w:r>
      <w:r w:rsidR="00D951F0" w:rsidRPr="00D951F0">
        <w:rPr>
          <w:rFonts w:ascii="Times New Roman" w:hAnsi="Times New Roman"/>
          <w:lang w:val="pt-BR"/>
        </w:rPr>
        <w:t xml:space="preserve"> revelaram uma </w:t>
      </w:r>
      <w:r w:rsidR="00BD07BF">
        <w:rPr>
          <w:rFonts w:ascii="Times New Roman" w:hAnsi="Times New Roman"/>
          <w:lang w:val="pt-BR"/>
        </w:rPr>
        <w:t xml:space="preserve">densidade de sítios ácidos totais </w:t>
      </w:r>
      <w:r w:rsidR="00667C72">
        <w:rPr>
          <w:rFonts w:ascii="Times New Roman" w:hAnsi="Times New Roman"/>
          <w:lang w:val="pt-BR"/>
        </w:rPr>
        <w:t xml:space="preserve">maior </w:t>
      </w:r>
      <w:r w:rsidR="00D951F0">
        <w:rPr>
          <w:rFonts w:ascii="Times New Roman" w:hAnsi="Times New Roman"/>
          <w:lang w:val="pt-BR"/>
        </w:rPr>
        <w:t>(</w:t>
      </w:r>
      <w:r w:rsidR="00BD07BF">
        <w:rPr>
          <w:rFonts w:ascii="Times New Roman" w:hAnsi="Times New Roman"/>
          <w:lang w:val="pt-BR"/>
        </w:rPr>
        <w:t xml:space="preserve">5,6 </w:t>
      </w:r>
      <w:r w:rsidR="00D951F0" w:rsidRPr="000A7FAF">
        <w:sym w:font="Symbol" w:char="F06D"/>
      </w:r>
      <w:r w:rsidR="00D951F0" w:rsidRPr="006673A3">
        <w:rPr>
          <w:lang w:val="pt-BR"/>
        </w:rPr>
        <w:t>mol</w:t>
      </w:r>
      <w:r w:rsidR="00BD07BF" w:rsidRPr="006673A3">
        <w:rPr>
          <w:lang w:val="pt-BR"/>
        </w:rPr>
        <w:t>NH</w:t>
      </w:r>
      <w:r w:rsidR="00BD07BF" w:rsidRPr="006673A3">
        <w:rPr>
          <w:vertAlign w:val="subscript"/>
          <w:lang w:val="pt-BR"/>
        </w:rPr>
        <w:t>3</w:t>
      </w:r>
      <w:r w:rsidR="00BD07BF" w:rsidRPr="006673A3">
        <w:rPr>
          <w:lang w:val="pt-BR"/>
        </w:rPr>
        <w:t>m</w:t>
      </w:r>
      <w:r w:rsidR="00D951F0" w:rsidRPr="006673A3">
        <w:rPr>
          <w:vertAlign w:val="superscript"/>
          <w:lang w:val="pt-BR"/>
        </w:rPr>
        <w:t>-</w:t>
      </w:r>
      <w:r w:rsidR="00BD07BF" w:rsidRPr="006673A3">
        <w:rPr>
          <w:vertAlign w:val="superscript"/>
          <w:lang w:val="pt-BR"/>
        </w:rPr>
        <w:t>2</w:t>
      </w:r>
      <w:r w:rsidR="00D951F0">
        <w:rPr>
          <w:rFonts w:ascii="Times New Roman" w:hAnsi="Times New Roman"/>
          <w:lang w:val="pt-BR"/>
        </w:rPr>
        <w:t xml:space="preserve">) </w:t>
      </w:r>
      <w:r w:rsidR="00BD07BF">
        <w:rPr>
          <w:rFonts w:ascii="Times New Roman" w:hAnsi="Times New Roman"/>
          <w:lang w:val="pt-BR"/>
        </w:rPr>
        <w:t xml:space="preserve">para o fosfato em comparação com o óxido </w:t>
      </w:r>
      <w:r w:rsidR="00D951F0">
        <w:rPr>
          <w:rFonts w:ascii="Times New Roman" w:hAnsi="Times New Roman"/>
          <w:lang w:val="pt-BR"/>
        </w:rPr>
        <w:t>(</w:t>
      </w:r>
      <w:r w:rsidR="00BD07BF">
        <w:rPr>
          <w:rFonts w:ascii="Times New Roman" w:hAnsi="Times New Roman"/>
          <w:lang w:val="pt-BR"/>
        </w:rPr>
        <w:t>2,3</w:t>
      </w:r>
      <w:r w:rsidR="00BD07BF" w:rsidRPr="000A7FAF">
        <w:sym w:font="Symbol" w:char="F06D"/>
      </w:r>
      <w:r w:rsidR="00BD07BF" w:rsidRPr="006673A3">
        <w:rPr>
          <w:lang w:val="pt-BR"/>
        </w:rPr>
        <w:t>molNH</w:t>
      </w:r>
      <w:r w:rsidR="00BD07BF" w:rsidRPr="006673A3">
        <w:rPr>
          <w:vertAlign w:val="subscript"/>
          <w:lang w:val="pt-BR"/>
        </w:rPr>
        <w:t>3</w:t>
      </w:r>
      <w:r w:rsidR="00BD07BF" w:rsidRPr="006673A3">
        <w:rPr>
          <w:lang w:val="pt-BR"/>
        </w:rPr>
        <w:t>m</w:t>
      </w:r>
      <w:r w:rsidR="00BD07BF" w:rsidRPr="006673A3">
        <w:rPr>
          <w:vertAlign w:val="superscript"/>
          <w:lang w:val="pt-BR"/>
        </w:rPr>
        <w:t>-2</w:t>
      </w:r>
      <w:r w:rsidR="003B35BD" w:rsidRPr="006673A3">
        <w:rPr>
          <w:lang w:val="pt-BR"/>
        </w:rPr>
        <w:t>)</w:t>
      </w:r>
      <w:r w:rsidR="00097C37" w:rsidRPr="00097C37">
        <w:rPr>
          <w:rFonts w:ascii="Times New Roman" w:hAnsi="Times New Roman"/>
          <w:lang w:val="pt-BR"/>
        </w:rPr>
        <w:t>.</w:t>
      </w:r>
    </w:p>
    <w:p w:rsidR="007C2C80" w:rsidRDefault="00723FAF" w:rsidP="006B0392">
      <w:pPr>
        <w:pStyle w:val="TAMainText"/>
        <w:ind w:firstLine="187"/>
        <w:rPr>
          <w:rFonts w:ascii="Times New Roman" w:hAnsi="Times New Roman"/>
          <w:lang w:val="pt-BR"/>
        </w:rPr>
      </w:pPr>
      <w:r>
        <w:rPr>
          <w:rFonts w:ascii="Times New Roman" w:hAnsi="Times New Roman"/>
          <w:lang w:val="pt-BR"/>
        </w:rPr>
        <w:t xml:space="preserve">A avaliação </w:t>
      </w:r>
      <w:r w:rsidR="00C32A16">
        <w:rPr>
          <w:rFonts w:ascii="Times New Roman" w:hAnsi="Times New Roman"/>
          <w:lang w:val="pt-BR"/>
        </w:rPr>
        <w:t>do impacto</w:t>
      </w:r>
      <w:r w:rsidR="007C2C80">
        <w:rPr>
          <w:rFonts w:ascii="Times New Roman" w:hAnsi="Times New Roman"/>
          <w:lang w:val="pt-BR"/>
        </w:rPr>
        <w:t xml:space="preserve"> da </w:t>
      </w:r>
      <w:r>
        <w:rPr>
          <w:rFonts w:ascii="Times New Roman" w:hAnsi="Times New Roman"/>
          <w:lang w:val="pt-BR"/>
        </w:rPr>
        <w:t xml:space="preserve">temperatura </w:t>
      </w:r>
      <w:r w:rsidR="007C2C80">
        <w:rPr>
          <w:rFonts w:ascii="Times New Roman" w:hAnsi="Times New Roman"/>
          <w:lang w:val="pt-BR"/>
        </w:rPr>
        <w:t>de reação na alc</w:t>
      </w:r>
      <w:r w:rsidR="00C32A16">
        <w:rPr>
          <w:rFonts w:ascii="Times New Roman" w:hAnsi="Times New Roman"/>
          <w:lang w:val="pt-BR"/>
        </w:rPr>
        <w:t>o</w:t>
      </w:r>
      <w:r w:rsidR="007C2C80">
        <w:rPr>
          <w:rFonts w:ascii="Times New Roman" w:hAnsi="Times New Roman"/>
          <w:lang w:val="pt-BR"/>
        </w:rPr>
        <w:t xml:space="preserve">ólise do AFF </w:t>
      </w:r>
      <w:r>
        <w:rPr>
          <w:rFonts w:ascii="Times New Roman" w:hAnsi="Times New Roman"/>
          <w:lang w:val="pt-BR"/>
        </w:rPr>
        <w:t>foi</w:t>
      </w:r>
      <w:r w:rsidR="00407768">
        <w:rPr>
          <w:rFonts w:ascii="Times New Roman" w:hAnsi="Times New Roman"/>
          <w:lang w:val="pt-BR"/>
        </w:rPr>
        <w:t xml:space="preserve"> feita com o</w:t>
      </w:r>
      <w:r w:rsidR="007C2C80">
        <w:rPr>
          <w:rFonts w:ascii="Times New Roman" w:hAnsi="Times New Roman"/>
          <w:lang w:val="pt-BR"/>
        </w:rPr>
        <w:t xml:space="preserve"> catalisador</w:t>
      </w:r>
      <w:r w:rsidR="002444A1">
        <w:rPr>
          <w:rFonts w:ascii="Times New Roman" w:hAnsi="Times New Roman"/>
          <w:lang w:val="pt-BR"/>
        </w:rPr>
        <w:t xml:space="preserve"> </w:t>
      </w:r>
      <w:r w:rsidR="00407768">
        <w:rPr>
          <w:rFonts w:ascii="Times New Roman" w:hAnsi="Times New Roman"/>
          <w:lang w:val="pt-BR"/>
        </w:rPr>
        <w:t>NbP</w:t>
      </w:r>
      <w:r w:rsidR="0075528A">
        <w:rPr>
          <w:rFonts w:ascii="Times New Roman" w:hAnsi="Times New Roman"/>
          <w:lang w:val="pt-BR"/>
        </w:rPr>
        <w:t>-in</w:t>
      </w:r>
      <w:r w:rsidR="007C2C80">
        <w:rPr>
          <w:rFonts w:ascii="Times New Roman" w:hAnsi="Times New Roman"/>
          <w:lang w:val="pt-BR"/>
        </w:rPr>
        <w:t xml:space="preserve"> e os resultados são apresentados na</w:t>
      </w:r>
      <w:r w:rsidR="00407768">
        <w:rPr>
          <w:rFonts w:ascii="Times New Roman" w:hAnsi="Times New Roman"/>
          <w:lang w:val="pt-BR"/>
        </w:rPr>
        <w:t xml:space="preserve"> Figura </w:t>
      </w:r>
      <w:r w:rsidR="006B0392">
        <w:rPr>
          <w:rFonts w:ascii="Times New Roman" w:hAnsi="Times New Roman"/>
          <w:lang w:val="pt-BR"/>
        </w:rPr>
        <w:t>2</w:t>
      </w:r>
      <w:r w:rsidR="007C2C80">
        <w:rPr>
          <w:rFonts w:ascii="Times New Roman" w:hAnsi="Times New Roman"/>
          <w:lang w:val="pt-BR"/>
        </w:rPr>
        <w:t>.</w:t>
      </w:r>
    </w:p>
    <w:p w:rsidR="00CE5D92" w:rsidRDefault="00CE5D92" w:rsidP="00CE5D92">
      <w:pPr>
        <w:pStyle w:val="TAMainText"/>
        <w:ind w:firstLine="187"/>
        <w:rPr>
          <w:rFonts w:ascii="Times New Roman" w:hAnsi="Times New Roman"/>
          <w:lang w:val="pt-BR"/>
        </w:rPr>
      </w:pPr>
      <w:r>
        <w:rPr>
          <w:rFonts w:ascii="Times New Roman" w:hAnsi="Times New Roman"/>
          <w:lang w:val="pt-BR"/>
        </w:rPr>
        <w:t>Verifica-se que o a</w:t>
      </w:r>
      <w:r w:rsidRPr="0009232B">
        <w:rPr>
          <w:rFonts w:ascii="Times New Roman" w:hAnsi="Times New Roman"/>
          <w:lang w:val="pt-BR"/>
        </w:rPr>
        <w:t>ument</w:t>
      </w:r>
      <w:r>
        <w:rPr>
          <w:rFonts w:ascii="Times New Roman" w:hAnsi="Times New Roman"/>
          <w:lang w:val="pt-BR"/>
        </w:rPr>
        <w:t>on</w:t>
      </w:r>
      <w:r w:rsidRPr="0009232B">
        <w:rPr>
          <w:rFonts w:ascii="Times New Roman" w:hAnsi="Times New Roman"/>
          <w:lang w:val="pt-BR"/>
        </w:rPr>
        <w:t>a temperatura d</w:t>
      </w:r>
      <w:r>
        <w:rPr>
          <w:rFonts w:ascii="Times New Roman" w:hAnsi="Times New Roman"/>
          <w:lang w:val="pt-BR"/>
        </w:rPr>
        <w:t>e</w:t>
      </w:r>
      <w:r w:rsidRPr="0009232B">
        <w:rPr>
          <w:rFonts w:ascii="Times New Roman" w:hAnsi="Times New Roman"/>
          <w:lang w:val="pt-BR"/>
        </w:rPr>
        <w:t xml:space="preserve"> reação </w:t>
      </w:r>
      <w:r>
        <w:rPr>
          <w:rFonts w:ascii="Times New Roman" w:hAnsi="Times New Roman"/>
          <w:lang w:val="pt-BR"/>
        </w:rPr>
        <w:t xml:space="preserve">leva ao aumento progressivo da conversão, fazendo com que a conversão aumentasse de aproximadamente 40% a 78 </w:t>
      </w:r>
      <w:r w:rsidRPr="007C2C80">
        <w:rPr>
          <w:rFonts w:ascii="Times New Roman" w:hAnsi="Times New Roman"/>
          <w:vertAlign w:val="superscript"/>
          <w:lang w:val="pt-BR"/>
        </w:rPr>
        <w:t>o</w:t>
      </w:r>
      <w:r>
        <w:rPr>
          <w:rFonts w:ascii="Times New Roman" w:hAnsi="Times New Roman"/>
          <w:lang w:val="pt-BR"/>
        </w:rPr>
        <w:t xml:space="preserve">C para 99% a 150 </w:t>
      </w:r>
      <w:r w:rsidRPr="007C2C80">
        <w:rPr>
          <w:rFonts w:ascii="Times New Roman" w:hAnsi="Times New Roman"/>
          <w:vertAlign w:val="superscript"/>
          <w:lang w:val="pt-BR"/>
        </w:rPr>
        <w:t>o</w:t>
      </w:r>
      <w:r>
        <w:rPr>
          <w:rFonts w:ascii="Times New Roman" w:hAnsi="Times New Roman"/>
          <w:lang w:val="pt-BR"/>
        </w:rPr>
        <w:t>C.</w:t>
      </w:r>
      <w:r w:rsidRPr="0009232B">
        <w:rPr>
          <w:rFonts w:ascii="Times New Roman" w:hAnsi="Times New Roman"/>
          <w:lang w:val="pt-BR"/>
        </w:rPr>
        <w:t xml:space="preserve">Um efeito de temperatura semelhante foi relatado por Zhang </w:t>
      </w:r>
      <w:r>
        <w:rPr>
          <w:rFonts w:ascii="Times New Roman" w:hAnsi="Times New Roman"/>
          <w:lang w:val="pt-BR"/>
        </w:rPr>
        <w:t xml:space="preserve">e colaboradores </w:t>
      </w:r>
      <w:r w:rsidRPr="0009232B">
        <w:rPr>
          <w:rFonts w:ascii="Times New Roman" w:hAnsi="Times New Roman"/>
          <w:lang w:val="pt-BR"/>
        </w:rPr>
        <w:t xml:space="preserve">para a reação de </w:t>
      </w:r>
      <w:r>
        <w:rPr>
          <w:rFonts w:ascii="Times New Roman" w:hAnsi="Times New Roman"/>
          <w:lang w:val="pt-BR"/>
        </w:rPr>
        <w:t>alcoólise do AF</w:t>
      </w:r>
      <w:r w:rsidRPr="0009232B">
        <w:rPr>
          <w:rFonts w:ascii="Times New Roman" w:hAnsi="Times New Roman"/>
          <w:lang w:val="pt-BR"/>
        </w:rPr>
        <w:t>F</w:t>
      </w:r>
      <w:r>
        <w:rPr>
          <w:rFonts w:ascii="Times New Roman" w:hAnsi="Times New Roman"/>
          <w:lang w:val="pt-BR"/>
        </w:rPr>
        <w:t xml:space="preserve"> (</w:t>
      </w:r>
      <w:r w:rsidR="00112190">
        <w:rPr>
          <w:rFonts w:ascii="Times New Roman" w:hAnsi="Times New Roman"/>
          <w:lang w:val="pt-BR"/>
        </w:rPr>
        <w:t>6</w:t>
      </w:r>
      <w:r>
        <w:rPr>
          <w:rFonts w:ascii="Times New Roman" w:hAnsi="Times New Roman"/>
          <w:lang w:val="pt-BR"/>
        </w:rPr>
        <w:t>)</w:t>
      </w:r>
      <w:r w:rsidRPr="0009232B">
        <w:rPr>
          <w:rFonts w:ascii="Times New Roman" w:hAnsi="Times New Roman"/>
          <w:lang w:val="pt-BR"/>
        </w:rPr>
        <w:t>.</w:t>
      </w:r>
    </w:p>
    <w:p w:rsidR="007C2C80" w:rsidRPr="00812840" w:rsidRDefault="007C2C80" w:rsidP="007C2C80">
      <w:pPr>
        <w:jc w:val="center"/>
        <w:rPr>
          <w:rFonts w:ascii="Times New Roman" w:hAnsi="Times New Roman" w:cs="Times New Roman"/>
        </w:rPr>
      </w:pPr>
      <w:r>
        <w:object w:dxaOrig="6105" w:dyaOrig="4683">
          <v:shape id="_x0000_i1026" type="#_x0000_t75" style="width:214.5pt;height:164.5pt" o:ole="">
            <v:imagedata r:id="rId11" o:title=""/>
          </v:shape>
          <o:OLEObject Type="Embed" ProgID="Origin50.Graph" ShapeID="_x0000_i1026" DrawAspect="Content" ObjectID="_1744193722" r:id="rId12"/>
        </w:object>
      </w:r>
    </w:p>
    <w:p w:rsidR="007C2C80" w:rsidRPr="00E038AF" w:rsidRDefault="007C2C80" w:rsidP="007C2C80">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Pr>
          <w:rFonts w:ascii="Times New Roman" w:hAnsi="Times New Roman"/>
          <w:lang w:val="pt-BR"/>
        </w:rPr>
        <w:t>Conversão de álcool furfurílico (curvas) e seletividade a levulinato de etila (barras) em função da temperatura de reação (78 °C, 120 °C e 150 °C) em t = 1h e t = 3h</w:t>
      </w:r>
      <w:r w:rsidRPr="00E038AF">
        <w:rPr>
          <w:rFonts w:ascii="Times New Roman" w:hAnsi="Times New Roman"/>
          <w:lang w:val="pt-BR"/>
        </w:rPr>
        <w:t>.</w:t>
      </w:r>
    </w:p>
    <w:p w:rsidR="007C2C80" w:rsidRDefault="007C2C80" w:rsidP="006B0392">
      <w:pPr>
        <w:pStyle w:val="TAMainText"/>
        <w:ind w:firstLine="187"/>
        <w:rPr>
          <w:rFonts w:ascii="Times New Roman" w:hAnsi="Times New Roman"/>
          <w:lang w:val="pt-BR"/>
        </w:rPr>
      </w:pPr>
    </w:p>
    <w:p w:rsidR="00430636" w:rsidRDefault="007C2C80" w:rsidP="006B0392">
      <w:pPr>
        <w:pStyle w:val="TAMainText"/>
        <w:ind w:firstLine="187"/>
        <w:rPr>
          <w:rFonts w:ascii="Times New Roman" w:hAnsi="Times New Roman"/>
          <w:lang w:val="pt-BR"/>
        </w:rPr>
      </w:pPr>
      <w:r>
        <w:rPr>
          <w:rFonts w:ascii="Times New Roman" w:hAnsi="Times New Roman"/>
          <w:lang w:val="pt-BR"/>
        </w:rPr>
        <w:t>Os catalisadores NbP-in e Nb</w:t>
      </w:r>
      <w:r w:rsidRPr="007C2C80">
        <w:rPr>
          <w:rFonts w:ascii="Times New Roman" w:hAnsi="Times New Roman"/>
          <w:vertAlign w:val="subscript"/>
          <w:lang w:val="pt-BR"/>
        </w:rPr>
        <w:t>2</w:t>
      </w:r>
      <w:r>
        <w:rPr>
          <w:rFonts w:ascii="Times New Roman" w:hAnsi="Times New Roman"/>
          <w:lang w:val="pt-BR"/>
        </w:rPr>
        <w:t>O</w:t>
      </w:r>
      <w:r w:rsidRPr="007C2C80">
        <w:rPr>
          <w:rFonts w:ascii="Times New Roman" w:hAnsi="Times New Roman"/>
          <w:vertAlign w:val="subscript"/>
          <w:lang w:val="pt-BR"/>
        </w:rPr>
        <w:t>5</w:t>
      </w:r>
      <w:r>
        <w:rPr>
          <w:rFonts w:ascii="Times New Roman" w:hAnsi="Times New Roman"/>
          <w:lang w:val="pt-BR"/>
        </w:rPr>
        <w:t xml:space="preserve">-in foram então comparados a 150 </w:t>
      </w:r>
      <w:r w:rsidRPr="00430636">
        <w:rPr>
          <w:rFonts w:ascii="Times New Roman" w:hAnsi="Times New Roman"/>
          <w:vertAlign w:val="superscript"/>
          <w:lang w:val="pt-BR"/>
        </w:rPr>
        <w:t>o</w:t>
      </w:r>
      <w:r>
        <w:rPr>
          <w:rFonts w:ascii="Times New Roman" w:hAnsi="Times New Roman"/>
          <w:lang w:val="pt-BR"/>
        </w:rPr>
        <w:t xml:space="preserve">C e </w:t>
      </w:r>
      <w:r w:rsidR="00BD559D">
        <w:rPr>
          <w:rFonts w:ascii="Times New Roman" w:hAnsi="Times New Roman"/>
          <w:lang w:val="pt-BR"/>
        </w:rPr>
        <w:t>o</w:t>
      </w:r>
      <w:r w:rsidR="00305CB3" w:rsidRPr="00305CB3">
        <w:rPr>
          <w:rFonts w:ascii="Times New Roman" w:hAnsi="Times New Roman"/>
          <w:lang w:val="pt-BR"/>
        </w:rPr>
        <w:t xml:space="preserve">s resultados </w:t>
      </w:r>
      <w:r w:rsidR="00305CB3">
        <w:rPr>
          <w:rFonts w:ascii="Times New Roman" w:hAnsi="Times New Roman"/>
          <w:lang w:val="pt-BR"/>
        </w:rPr>
        <w:t>e</w:t>
      </w:r>
      <w:r>
        <w:rPr>
          <w:rFonts w:ascii="Times New Roman" w:hAnsi="Times New Roman"/>
          <w:lang w:val="pt-BR"/>
        </w:rPr>
        <w:t>m</w:t>
      </w:r>
      <w:r w:rsidR="00305CB3">
        <w:rPr>
          <w:rFonts w:ascii="Times New Roman" w:hAnsi="Times New Roman"/>
          <w:lang w:val="pt-BR"/>
        </w:rPr>
        <w:t xml:space="preserve"> 3 h</w:t>
      </w:r>
      <w:r w:rsidR="00BD559D">
        <w:rPr>
          <w:rFonts w:ascii="Times New Roman" w:hAnsi="Times New Roman"/>
          <w:lang w:val="pt-BR"/>
        </w:rPr>
        <w:t xml:space="preserve"> </w:t>
      </w:r>
      <w:r>
        <w:rPr>
          <w:rFonts w:ascii="Times New Roman" w:hAnsi="Times New Roman"/>
          <w:lang w:val="pt-BR"/>
        </w:rPr>
        <w:t xml:space="preserve">de reação </w:t>
      </w:r>
      <w:r w:rsidR="00305CB3" w:rsidRPr="00305CB3">
        <w:rPr>
          <w:rFonts w:ascii="Times New Roman" w:hAnsi="Times New Roman"/>
          <w:lang w:val="pt-BR"/>
        </w:rPr>
        <w:t>(</w:t>
      </w:r>
      <w:bookmarkStart w:id="2" w:name="btbl0010"/>
      <w:r w:rsidR="004B708C" w:rsidRPr="004B708C">
        <w:rPr>
          <w:rFonts w:ascii="Times New Roman" w:hAnsi="Times New Roman"/>
          <w:lang w:val="pt-BR"/>
        </w:rPr>
        <w:t>Tabela 1</w:t>
      </w:r>
      <w:r w:rsidR="00305CB3" w:rsidRPr="00305CB3">
        <w:rPr>
          <w:rFonts w:ascii="Times New Roman" w:hAnsi="Times New Roman"/>
          <w:lang w:val="pt-BR"/>
        </w:rPr>
        <w:t xml:space="preserve">) </w:t>
      </w:r>
      <w:r>
        <w:rPr>
          <w:rFonts w:ascii="Times New Roman" w:hAnsi="Times New Roman"/>
          <w:lang w:val="pt-BR"/>
        </w:rPr>
        <w:t>mostram que ambos os sistemas são ativos par</w:t>
      </w:r>
      <w:r w:rsidR="00430636">
        <w:rPr>
          <w:rFonts w:ascii="Times New Roman" w:hAnsi="Times New Roman"/>
          <w:lang w:val="pt-BR"/>
        </w:rPr>
        <w:t>a alc</w:t>
      </w:r>
      <w:r w:rsidR="00BD559D">
        <w:rPr>
          <w:rFonts w:ascii="Times New Roman" w:hAnsi="Times New Roman"/>
          <w:lang w:val="pt-BR"/>
        </w:rPr>
        <w:t>o</w:t>
      </w:r>
      <w:r w:rsidR="00430636">
        <w:rPr>
          <w:rFonts w:ascii="Times New Roman" w:hAnsi="Times New Roman"/>
          <w:lang w:val="pt-BR"/>
        </w:rPr>
        <w:t>ólise, considerando que uma conversão de apenas 14% foi alcançada na ausência de catalisador. Destaca-se ainda a maior atividade do NbP-in, que pode ser</w:t>
      </w:r>
      <w:r w:rsidR="00BD559D">
        <w:rPr>
          <w:rFonts w:ascii="Times New Roman" w:hAnsi="Times New Roman"/>
          <w:lang w:val="pt-BR"/>
        </w:rPr>
        <w:t xml:space="preserve"> </w:t>
      </w:r>
      <w:r w:rsidR="00305CB3" w:rsidRPr="00305CB3">
        <w:rPr>
          <w:rFonts w:ascii="Times New Roman" w:hAnsi="Times New Roman"/>
          <w:lang w:val="pt-BR"/>
        </w:rPr>
        <w:t>relacionad</w:t>
      </w:r>
      <w:r w:rsidR="00430636">
        <w:rPr>
          <w:rFonts w:ascii="Times New Roman" w:hAnsi="Times New Roman"/>
          <w:lang w:val="pt-BR"/>
        </w:rPr>
        <w:t>a</w:t>
      </w:r>
      <w:r w:rsidR="00BD559D">
        <w:rPr>
          <w:rFonts w:ascii="Times New Roman" w:hAnsi="Times New Roman"/>
          <w:lang w:val="pt-BR"/>
        </w:rPr>
        <w:t xml:space="preserve"> </w:t>
      </w:r>
      <w:r w:rsidR="00430636">
        <w:rPr>
          <w:rFonts w:ascii="Times New Roman" w:hAnsi="Times New Roman"/>
          <w:lang w:val="pt-BR"/>
        </w:rPr>
        <w:t>à maior densidade de sítios ácidos neste</w:t>
      </w:r>
      <w:r w:rsidR="00305CB3" w:rsidRPr="00305CB3">
        <w:rPr>
          <w:rFonts w:ascii="Times New Roman" w:hAnsi="Times New Roman"/>
          <w:lang w:val="pt-BR"/>
        </w:rPr>
        <w:t xml:space="preserve"> catalisador</w:t>
      </w:r>
      <w:r w:rsidR="0079682D">
        <w:rPr>
          <w:rFonts w:ascii="Times New Roman" w:hAnsi="Times New Roman"/>
          <w:lang w:val="pt-BR"/>
        </w:rPr>
        <w:t xml:space="preserve">. </w:t>
      </w:r>
      <w:bookmarkEnd w:id="2"/>
    </w:p>
    <w:p w:rsidR="00EA4E1B" w:rsidRDefault="00EA4E1B" w:rsidP="00EA4E1B">
      <w:pPr>
        <w:pStyle w:val="TAMainText"/>
        <w:rPr>
          <w:lang w:val="pt-BR"/>
        </w:rPr>
      </w:pPr>
    </w:p>
    <w:p w:rsidR="00EA4E1B" w:rsidRPr="00E038AF"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Tabela 1.</w:t>
      </w:r>
      <w:r w:rsidR="009652C0">
        <w:rPr>
          <w:rFonts w:ascii="Times New Roman" w:hAnsi="Times New Roman"/>
          <w:lang w:val="pt-BR"/>
        </w:rPr>
        <w:t xml:space="preserve">Conversão </w:t>
      </w:r>
      <w:r w:rsidR="00BD07BF">
        <w:rPr>
          <w:rFonts w:ascii="Times New Roman" w:hAnsi="Times New Roman"/>
          <w:lang w:val="pt-BR"/>
        </w:rPr>
        <w:t>de ácido levulínico</w:t>
      </w:r>
      <w:r w:rsidR="00BD559D">
        <w:rPr>
          <w:rFonts w:ascii="Times New Roman" w:hAnsi="Times New Roman"/>
          <w:lang w:val="pt-BR"/>
        </w:rPr>
        <w:t xml:space="preserve"> </w:t>
      </w:r>
      <w:r w:rsidR="009652C0">
        <w:rPr>
          <w:rFonts w:ascii="Times New Roman" w:hAnsi="Times New Roman"/>
          <w:lang w:val="pt-BR"/>
        </w:rPr>
        <w:t>e seletividade</w:t>
      </w:r>
      <w:r w:rsidR="00BD07BF">
        <w:rPr>
          <w:rFonts w:ascii="Times New Roman" w:hAnsi="Times New Roman"/>
          <w:lang w:val="pt-BR"/>
        </w:rPr>
        <w:t xml:space="preserve"> a levulinato de etila</w:t>
      </w:r>
      <w:r w:rsidR="00BD559D">
        <w:rPr>
          <w:rFonts w:ascii="Times New Roman" w:hAnsi="Times New Roman"/>
          <w:lang w:val="pt-BR"/>
        </w:rPr>
        <w:t xml:space="preserve"> </w:t>
      </w:r>
      <w:r w:rsidR="00BD07BF">
        <w:rPr>
          <w:rFonts w:ascii="Times New Roman" w:hAnsi="Times New Roman"/>
          <w:lang w:val="pt-BR"/>
        </w:rPr>
        <w:t xml:space="preserve">na </w:t>
      </w:r>
      <w:r w:rsidR="009652C0">
        <w:rPr>
          <w:rFonts w:ascii="Times New Roman" w:hAnsi="Times New Roman"/>
          <w:lang w:val="pt-BR"/>
        </w:rPr>
        <w:t>alc</w:t>
      </w:r>
      <w:r w:rsidR="00BD559D">
        <w:rPr>
          <w:rFonts w:ascii="Times New Roman" w:hAnsi="Times New Roman"/>
          <w:lang w:val="pt-BR"/>
        </w:rPr>
        <w:t>o</w:t>
      </w:r>
      <w:r w:rsidR="00916CA8">
        <w:rPr>
          <w:rFonts w:ascii="Times New Roman" w:hAnsi="Times New Roman"/>
          <w:lang w:val="pt-BR"/>
        </w:rPr>
        <w:t>ó</w:t>
      </w:r>
      <w:r w:rsidR="009652C0">
        <w:rPr>
          <w:rFonts w:ascii="Times New Roman" w:hAnsi="Times New Roman"/>
          <w:lang w:val="pt-BR"/>
        </w:rPr>
        <w:t xml:space="preserve">lise do </w:t>
      </w:r>
      <w:r w:rsidR="0075528A">
        <w:rPr>
          <w:rFonts w:ascii="Times New Roman" w:hAnsi="Times New Roman"/>
          <w:lang w:val="pt-BR"/>
        </w:rPr>
        <w:t>AFF</w:t>
      </w:r>
      <w:r w:rsidR="009652C0">
        <w:rPr>
          <w:rFonts w:ascii="Times New Roman" w:hAnsi="Times New Roman"/>
          <w:lang w:val="pt-BR"/>
        </w:rPr>
        <w:t xml:space="preserve">, </w:t>
      </w:r>
      <w:r w:rsidR="00BD07BF">
        <w:rPr>
          <w:rFonts w:ascii="Times New Roman" w:hAnsi="Times New Roman"/>
          <w:lang w:val="pt-BR"/>
        </w:rPr>
        <w:t>com 10% de catalisador, razão álcool/</w:t>
      </w:r>
      <w:r w:rsidR="0075528A">
        <w:rPr>
          <w:rFonts w:ascii="Times New Roman" w:hAnsi="Times New Roman"/>
          <w:lang w:val="pt-BR"/>
        </w:rPr>
        <w:t>AFF</w:t>
      </w:r>
      <w:r w:rsidR="00BD07BF">
        <w:rPr>
          <w:rFonts w:ascii="Times New Roman" w:hAnsi="Times New Roman"/>
          <w:lang w:val="pt-BR"/>
        </w:rPr>
        <w:t xml:space="preserve"> = 5, pressão de N</w:t>
      </w:r>
      <w:r w:rsidR="00BD07BF" w:rsidRPr="00BD07BF">
        <w:rPr>
          <w:rFonts w:ascii="Times New Roman" w:hAnsi="Times New Roman"/>
          <w:vertAlign w:val="subscript"/>
          <w:lang w:val="pt-BR"/>
        </w:rPr>
        <w:t>2</w:t>
      </w:r>
      <w:r w:rsidR="00BD07BF">
        <w:rPr>
          <w:rFonts w:ascii="Times New Roman" w:hAnsi="Times New Roman"/>
          <w:lang w:val="pt-BR"/>
        </w:rPr>
        <w:t xml:space="preserve"> = 15 bar, </w:t>
      </w:r>
      <w:r w:rsidR="009652C0">
        <w:rPr>
          <w:rFonts w:ascii="Times New Roman" w:hAnsi="Times New Roman"/>
          <w:lang w:val="pt-BR"/>
        </w:rPr>
        <w:t xml:space="preserve">150°C.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545"/>
        <w:gridCol w:w="1447"/>
        <w:gridCol w:w="1701"/>
      </w:tblGrid>
      <w:tr w:rsidR="001E352C" w:rsidRPr="00072C7A" w:rsidTr="00916CA8">
        <w:trPr>
          <w:jc w:val="center"/>
        </w:trPr>
        <w:tc>
          <w:tcPr>
            <w:tcW w:w="1545" w:type="dxa"/>
            <w:vAlign w:val="center"/>
          </w:tcPr>
          <w:p w:rsidR="001E352C" w:rsidRDefault="001E352C" w:rsidP="009652C0">
            <w:pPr>
              <w:pStyle w:val="TCTableBody"/>
              <w:jc w:val="center"/>
              <w:rPr>
                <w:lang w:val="pt-BR"/>
              </w:rPr>
            </w:pPr>
            <w:r>
              <w:rPr>
                <w:lang w:val="pt-BR"/>
              </w:rPr>
              <w:t>Catalisador</w:t>
            </w:r>
          </w:p>
        </w:tc>
        <w:tc>
          <w:tcPr>
            <w:tcW w:w="1447" w:type="dxa"/>
            <w:vAlign w:val="center"/>
          </w:tcPr>
          <w:p w:rsidR="001E352C" w:rsidRDefault="001E352C" w:rsidP="009652C0">
            <w:pPr>
              <w:pStyle w:val="TCTableBody"/>
              <w:jc w:val="center"/>
              <w:rPr>
                <w:lang w:val="pt-BR"/>
              </w:rPr>
            </w:pPr>
            <w:r>
              <w:rPr>
                <w:lang w:val="pt-BR"/>
              </w:rPr>
              <w:t>Conversão (%)</w:t>
            </w:r>
          </w:p>
        </w:tc>
        <w:tc>
          <w:tcPr>
            <w:tcW w:w="1701" w:type="dxa"/>
            <w:vAlign w:val="center"/>
          </w:tcPr>
          <w:p w:rsidR="001E352C" w:rsidRDefault="001E352C" w:rsidP="009652C0">
            <w:pPr>
              <w:pStyle w:val="TCTableBody"/>
              <w:jc w:val="center"/>
              <w:rPr>
                <w:lang w:val="pt-BR"/>
              </w:rPr>
            </w:pPr>
            <w:r>
              <w:rPr>
                <w:lang w:val="pt-BR"/>
              </w:rPr>
              <w:t>Seletividade (%)</w:t>
            </w:r>
          </w:p>
        </w:tc>
      </w:tr>
      <w:tr w:rsidR="001E352C" w:rsidRPr="00072C7A" w:rsidTr="00916CA8">
        <w:trPr>
          <w:jc w:val="center"/>
        </w:trPr>
        <w:tc>
          <w:tcPr>
            <w:tcW w:w="1545" w:type="dxa"/>
            <w:vAlign w:val="center"/>
          </w:tcPr>
          <w:p w:rsidR="001E352C" w:rsidRDefault="001E352C" w:rsidP="009652C0">
            <w:pPr>
              <w:pStyle w:val="TCTableBody"/>
              <w:jc w:val="center"/>
              <w:rPr>
                <w:lang w:val="pt-BR"/>
              </w:rPr>
            </w:pPr>
            <w:r>
              <w:rPr>
                <w:lang w:val="pt-BR"/>
              </w:rPr>
              <w:t>Controle</w:t>
            </w:r>
          </w:p>
        </w:tc>
        <w:tc>
          <w:tcPr>
            <w:tcW w:w="1447" w:type="dxa"/>
            <w:vAlign w:val="center"/>
          </w:tcPr>
          <w:p w:rsidR="001E352C" w:rsidRDefault="001E352C" w:rsidP="009652C0">
            <w:pPr>
              <w:pStyle w:val="TCTableBody"/>
              <w:jc w:val="center"/>
              <w:rPr>
                <w:lang w:val="pt-BR"/>
              </w:rPr>
            </w:pPr>
            <w:r>
              <w:rPr>
                <w:lang w:val="pt-BR"/>
              </w:rPr>
              <w:t>14</w:t>
            </w:r>
          </w:p>
        </w:tc>
        <w:tc>
          <w:tcPr>
            <w:tcW w:w="1701" w:type="dxa"/>
            <w:vAlign w:val="center"/>
          </w:tcPr>
          <w:p w:rsidR="001E352C" w:rsidRDefault="001E352C" w:rsidP="009652C0">
            <w:pPr>
              <w:pStyle w:val="TCTableBody"/>
              <w:jc w:val="center"/>
              <w:rPr>
                <w:lang w:val="pt-BR"/>
              </w:rPr>
            </w:pPr>
            <w:r>
              <w:rPr>
                <w:lang w:val="pt-BR"/>
              </w:rPr>
              <w:t>6</w:t>
            </w:r>
          </w:p>
        </w:tc>
      </w:tr>
      <w:tr w:rsidR="001E352C" w:rsidRPr="00072C7A" w:rsidTr="00916CA8">
        <w:trPr>
          <w:jc w:val="center"/>
        </w:trPr>
        <w:tc>
          <w:tcPr>
            <w:tcW w:w="1545" w:type="dxa"/>
            <w:vAlign w:val="center"/>
          </w:tcPr>
          <w:p w:rsidR="001E352C" w:rsidRDefault="001E352C" w:rsidP="009652C0">
            <w:pPr>
              <w:pStyle w:val="TCTableBody"/>
              <w:jc w:val="center"/>
              <w:rPr>
                <w:lang w:val="pt-BR"/>
              </w:rPr>
            </w:pPr>
            <w:r>
              <w:rPr>
                <w:lang w:val="pt-BR"/>
              </w:rPr>
              <w:t>NbP</w:t>
            </w:r>
            <w:r w:rsidR="00C5262C">
              <w:rPr>
                <w:lang w:val="pt-BR"/>
              </w:rPr>
              <w:t>-in</w:t>
            </w:r>
          </w:p>
        </w:tc>
        <w:tc>
          <w:tcPr>
            <w:tcW w:w="1447" w:type="dxa"/>
            <w:vAlign w:val="center"/>
          </w:tcPr>
          <w:p w:rsidR="001E352C" w:rsidRDefault="001E352C" w:rsidP="009652C0">
            <w:pPr>
              <w:pStyle w:val="TCTableBody"/>
              <w:jc w:val="center"/>
              <w:rPr>
                <w:lang w:val="pt-BR"/>
              </w:rPr>
            </w:pPr>
            <w:r>
              <w:rPr>
                <w:lang w:val="pt-BR"/>
              </w:rPr>
              <w:t>99</w:t>
            </w:r>
          </w:p>
        </w:tc>
        <w:tc>
          <w:tcPr>
            <w:tcW w:w="1701" w:type="dxa"/>
            <w:vAlign w:val="center"/>
          </w:tcPr>
          <w:p w:rsidR="001E352C" w:rsidRDefault="001E352C" w:rsidP="009652C0">
            <w:pPr>
              <w:pStyle w:val="TCTableBody"/>
              <w:jc w:val="center"/>
              <w:rPr>
                <w:lang w:val="pt-BR"/>
              </w:rPr>
            </w:pPr>
            <w:r>
              <w:rPr>
                <w:lang w:val="pt-BR"/>
              </w:rPr>
              <w:t>32</w:t>
            </w:r>
          </w:p>
        </w:tc>
      </w:tr>
      <w:tr w:rsidR="001E352C" w:rsidRPr="00072C7A" w:rsidTr="00916CA8">
        <w:trPr>
          <w:trHeight w:val="454"/>
          <w:jc w:val="center"/>
        </w:trPr>
        <w:tc>
          <w:tcPr>
            <w:tcW w:w="1545" w:type="dxa"/>
            <w:tcBorders>
              <w:bottom w:val="single" w:sz="6" w:space="0" w:color="auto"/>
            </w:tcBorders>
            <w:vAlign w:val="center"/>
          </w:tcPr>
          <w:p w:rsidR="001E352C" w:rsidRDefault="001E352C" w:rsidP="009652C0">
            <w:pPr>
              <w:pStyle w:val="TCTableBody"/>
              <w:jc w:val="center"/>
              <w:rPr>
                <w:lang w:val="pt-BR"/>
              </w:rPr>
            </w:pPr>
            <w:r>
              <w:rPr>
                <w:lang w:val="pt-BR"/>
              </w:rPr>
              <w:t>Nb</w:t>
            </w:r>
            <w:r w:rsidR="00D248B8" w:rsidRPr="00D248B8">
              <w:rPr>
                <w:vertAlign w:val="subscript"/>
                <w:lang w:val="pt-BR"/>
              </w:rPr>
              <w:t>2</w:t>
            </w:r>
            <w:r>
              <w:rPr>
                <w:lang w:val="pt-BR"/>
              </w:rPr>
              <w:t>O</w:t>
            </w:r>
            <w:r w:rsidR="00D248B8" w:rsidRPr="00D248B8">
              <w:rPr>
                <w:vertAlign w:val="subscript"/>
                <w:lang w:val="pt-BR"/>
              </w:rPr>
              <w:t>5</w:t>
            </w:r>
            <w:r w:rsidR="00C5262C">
              <w:rPr>
                <w:lang w:val="pt-BR"/>
              </w:rPr>
              <w:t>-in</w:t>
            </w:r>
          </w:p>
        </w:tc>
        <w:tc>
          <w:tcPr>
            <w:tcW w:w="1447" w:type="dxa"/>
            <w:tcBorders>
              <w:bottom w:val="single" w:sz="6" w:space="0" w:color="auto"/>
            </w:tcBorders>
            <w:vAlign w:val="center"/>
          </w:tcPr>
          <w:p w:rsidR="001E352C" w:rsidRDefault="001E352C" w:rsidP="009652C0">
            <w:pPr>
              <w:pStyle w:val="TCTableBody"/>
              <w:jc w:val="center"/>
              <w:rPr>
                <w:lang w:val="pt-BR"/>
              </w:rPr>
            </w:pPr>
            <w:r>
              <w:rPr>
                <w:lang w:val="pt-BR"/>
              </w:rPr>
              <w:t>77</w:t>
            </w:r>
          </w:p>
        </w:tc>
        <w:tc>
          <w:tcPr>
            <w:tcW w:w="1701" w:type="dxa"/>
            <w:tcBorders>
              <w:bottom w:val="single" w:sz="6" w:space="0" w:color="auto"/>
            </w:tcBorders>
            <w:vAlign w:val="center"/>
          </w:tcPr>
          <w:p w:rsidR="001E352C" w:rsidRDefault="001E352C" w:rsidP="009652C0">
            <w:pPr>
              <w:pStyle w:val="TCTableBody"/>
              <w:jc w:val="center"/>
              <w:rPr>
                <w:lang w:val="pt-BR"/>
              </w:rPr>
            </w:pPr>
            <w:r>
              <w:rPr>
                <w:lang w:val="pt-BR"/>
              </w:rPr>
              <w:t>18</w:t>
            </w:r>
          </w:p>
        </w:tc>
      </w:tr>
    </w:tbl>
    <w:p w:rsidR="00CE5D92" w:rsidRDefault="00CE5D92" w:rsidP="00CE5D92">
      <w:pPr>
        <w:pStyle w:val="TAMainText"/>
        <w:rPr>
          <w:lang w:val="pt-BR"/>
        </w:rPr>
      </w:pPr>
    </w:p>
    <w:p w:rsidR="00CE5D92" w:rsidRDefault="00CE5D92" w:rsidP="00CE5D92">
      <w:pPr>
        <w:pStyle w:val="TAMainText"/>
        <w:ind w:firstLine="187"/>
        <w:rPr>
          <w:lang w:val="pt-BR"/>
        </w:rPr>
      </w:pPr>
      <w:r w:rsidRPr="004B708C">
        <w:rPr>
          <w:rFonts w:ascii="Times New Roman" w:hAnsi="Times New Roman"/>
          <w:lang w:val="pt-BR"/>
        </w:rPr>
        <w:t>O</w:t>
      </w:r>
      <w:r>
        <w:rPr>
          <w:rFonts w:ascii="Times New Roman" w:hAnsi="Times New Roman"/>
          <w:lang w:val="pt-BR"/>
        </w:rPr>
        <w:t>s baixos valores de seletividade</w:t>
      </w:r>
      <w:r w:rsidR="00C32A16">
        <w:rPr>
          <w:rFonts w:ascii="Times New Roman" w:hAnsi="Times New Roman"/>
          <w:lang w:val="pt-BR"/>
        </w:rPr>
        <w:t xml:space="preserve"> </w:t>
      </w:r>
      <w:r>
        <w:rPr>
          <w:rFonts w:ascii="Times New Roman" w:hAnsi="Times New Roman"/>
          <w:lang w:val="pt-BR"/>
        </w:rPr>
        <w:t>a</w:t>
      </w:r>
      <w:r w:rsidR="00C32A16">
        <w:rPr>
          <w:rFonts w:ascii="Times New Roman" w:hAnsi="Times New Roman"/>
          <w:lang w:val="pt-BR"/>
        </w:rPr>
        <w:t xml:space="preserve"> </w:t>
      </w:r>
      <w:r>
        <w:rPr>
          <w:rFonts w:ascii="Times New Roman" w:hAnsi="Times New Roman"/>
          <w:lang w:val="pt-BR"/>
        </w:rPr>
        <w:t xml:space="preserve">LE podem ser explicados com base no complexo </w:t>
      </w:r>
      <w:r w:rsidRPr="004B708C">
        <w:rPr>
          <w:rFonts w:ascii="Times New Roman" w:hAnsi="Times New Roman"/>
          <w:lang w:val="pt-BR"/>
        </w:rPr>
        <w:t xml:space="preserve">mecanismo </w:t>
      </w:r>
      <w:r>
        <w:rPr>
          <w:rFonts w:ascii="Times New Roman" w:hAnsi="Times New Roman"/>
          <w:lang w:val="pt-BR"/>
        </w:rPr>
        <w:t>de reação</w:t>
      </w:r>
      <w:r w:rsidRPr="004B708C">
        <w:rPr>
          <w:rFonts w:ascii="Times New Roman" w:hAnsi="Times New Roman"/>
          <w:lang w:val="pt-BR"/>
        </w:rPr>
        <w:t xml:space="preserve">, uma vez que </w:t>
      </w:r>
      <w:r>
        <w:rPr>
          <w:rFonts w:ascii="Times New Roman" w:hAnsi="Times New Roman"/>
          <w:lang w:val="pt-BR"/>
        </w:rPr>
        <w:t>o AF</w:t>
      </w:r>
      <w:r w:rsidRPr="004B708C">
        <w:rPr>
          <w:rFonts w:ascii="Times New Roman" w:hAnsi="Times New Roman"/>
          <w:lang w:val="pt-BR"/>
        </w:rPr>
        <w:t>F pode ser convertido em L</w:t>
      </w:r>
      <w:r>
        <w:rPr>
          <w:rFonts w:ascii="Times New Roman" w:hAnsi="Times New Roman"/>
          <w:lang w:val="pt-BR"/>
        </w:rPr>
        <w:t>E</w:t>
      </w:r>
      <w:r w:rsidR="00C32A16">
        <w:rPr>
          <w:rFonts w:ascii="Times New Roman" w:hAnsi="Times New Roman"/>
          <w:lang w:val="pt-BR"/>
        </w:rPr>
        <w:t xml:space="preserve"> </w:t>
      </w:r>
      <w:r>
        <w:rPr>
          <w:rFonts w:ascii="Times New Roman" w:hAnsi="Times New Roman"/>
          <w:lang w:val="pt-BR"/>
        </w:rPr>
        <w:t>por meio</w:t>
      </w:r>
      <w:r w:rsidRPr="004B708C">
        <w:rPr>
          <w:rFonts w:ascii="Times New Roman" w:hAnsi="Times New Roman"/>
          <w:lang w:val="pt-BR"/>
        </w:rPr>
        <w:t xml:space="preserve"> de diferentes vias </w:t>
      </w:r>
      <w:r>
        <w:rPr>
          <w:rFonts w:ascii="Times New Roman" w:hAnsi="Times New Roman"/>
          <w:lang w:val="pt-BR"/>
        </w:rPr>
        <w:t>e,</w:t>
      </w:r>
      <w:r w:rsidRPr="004B708C">
        <w:rPr>
          <w:rFonts w:ascii="Times New Roman" w:hAnsi="Times New Roman"/>
          <w:lang w:val="pt-BR"/>
        </w:rPr>
        <w:t xml:space="preserve"> em paralelo</w:t>
      </w:r>
      <w:r>
        <w:rPr>
          <w:rFonts w:ascii="Times New Roman" w:hAnsi="Times New Roman"/>
          <w:lang w:val="pt-BR"/>
        </w:rPr>
        <w:t>,</w:t>
      </w:r>
      <w:r w:rsidRPr="004B708C">
        <w:rPr>
          <w:rFonts w:ascii="Times New Roman" w:hAnsi="Times New Roman"/>
          <w:lang w:val="pt-BR"/>
        </w:rPr>
        <w:t xml:space="preserve"> diferentes</w:t>
      </w:r>
      <w:r w:rsidR="00C32A16">
        <w:rPr>
          <w:rFonts w:ascii="Times New Roman" w:hAnsi="Times New Roman"/>
          <w:lang w:val="pt-BR"/>
        </w:rPr>
        <w:t xml:space="preserve"> </w:t>
      </w:r>
      <w:r w:rsidRPr="004B708C">
        <w:rPr>
          <w:rFonts w:ascii="Times New Roman" w:hAnsi="Times New Roman"/>
          <w:lang w:val="pt-BR"/>
        </w:rPr>
        <w:t>reações</w:t>
      </w:r>
      <w:r w:rsidR="00C32A16">
        <w:rPr>
          <w:rFonts w:ascii="Times New Roman" w:hAnsi="Times New Roman"/>
          <w:lang w:val="pt-BR"/>
        </w:rPr>
        <w:t xml:space="preserve"> </w:t>
      </w:r>
      <w:r w:rsidRPr="004B708C">
        <w:rPr>
          <w:rFonts w:ascii="Times New Roman" w:hAnsi="Times New Roman"/>
          <w:lang w:val="pt-BR"/>
        </w:rPr>
        <w:t>secundárias</w:t>
      </w:r>
      <w:r w:rsidR="00C32A16">
        <w:rPr>
          <w:rFonts w:ascii="Times New Roman" w:hAnsi="Times New Roman"/>
          <w:lang w:val="pt-BR"/>
        </w:rPr>
        <w:t xml:space="preserve"> </w:t>
      </w:r>
      <w:r w:rsidRPr="004B708C">
        <w:rPr>
          <w:rFonts w:ascii="Times New Roman" w:hAnsi="Times New Roman"/>
          <w:lang w:val="pt-BR"/>
        </w:rPr>
        <w:t>ocorre</w:t>
      </w:r>
      <w:r>
        <w:rPr>
          <w:rFonts w:ascii="Times New Roman" w:hAnsi="Times New Roman"/>
          <w:lang w:val="pt-BR"/>
        </w:rPr>
        <w:t>m</w:t>
      </w:r>
      <w:r w:rsidRPr="001F25B2">
        <w:rPr>
          <w:rFonts w:ascii="Times New Roman" w:hAnsi="Times New Roman"/>
          <w:lang w:val="pt-BR"/>
        </w:rPr>
        <w:t>.</w:t>
      </w:r>
      <w:r>
        <w:rPr>
          <w:rFonts w:ascii="Times New Roman" w:hAnsi="Times New Roman"/>
          <w:lang w:val="pt-BR"/>
        </w:rPr>
        <w:t xml:space="preserve"> De fato, outros produtos como 2-e</w:t>
      </w:r>
      <w:r w:rsidRPr="00486111">
        <w:rPr>
          <w:rFonts w:ascii="Times New Roman" w:hAnsi="Times New Roman"/>
          <w:lang w:val="pt-BR"/>
        </w:rPr>
        <w:t>toximetilfurano</w:t>
      </w:r>
      <w:r>
        <w:rPr>
          <w:rFonts w:ascii="Times New Roman" w:hAnsi="Times New Roman"/>
          <w:lang w:val="pt-BR"/>
        </w:rPr>
        <w:t>, 5,5-d</w:t>
      </w:r>
      <w:r w:rsidRPr="00486111">
        <w:rPr>
          <w:rFonts w:ascii="Times New Roman" w:hAnsi="Times New Roman"/>
          <w:lang w:val="pt-BR"/>
        </w:rPr>
        <w:t>ietoxi-2-pentanona</w:t>
      </w:r>
      <w:r>
        <w:rPr>
          <w:rFonts w:ascii="Times New Roman" w:hAnsi="Times New Roman"/>
          <w:lang w:val="pt-BR"/>
        </w:rPr>
        <w:t>, α- e β-a</w:t>
      </w:r>
      <w:r w:rsidRPr="00486111">
        <w:rPr>
          <w:rFonts w:ascii="Times New Roman" w:hAnsi="Times New Roman"/>
          <w:lang w:val="pt-BR"/>
        </w:rPr>
        <w:t>ngélica lactona</w:t>
      </w:r>
      <w:r>
        <w:rPr>
          <w:rFonts w:ascii="Times New Roman" w:hAnsi="Times New Roman"/>
          <w:lang w:val="pt-BR"/>
        </w:rPr>
        <w:t xml:space="preserve">s foram obtidos, além de uma série de outros compostos ainda não identificados. </w:t>
      </w:r>
      <w:r w:rsidRPr="003B35BD">
        <w:rPr>
          <w:rFonts w:ascii="Times New Roman" w:hAnsi="Times New Roman"/>
          <w:lang w:val="pt-BR"/>
        </w:rPr>
        <w:t>Lange</w:t>
      </w:r>
      <w:r>
        <w:rPr>
          <w:rFonts w:ascii="Times New Roman" w:hAnsi="Times New Roman"/>
          <w:lang w:val="pt-BR"/>
        </w:rPr>
        <w:t xml:space="preserve"> e colaboradores (</w:t>
      </w:r>
      <w:r w:rsidR="00112190">
        <w:rPr>
          <w:rFonts w:ascii="Times New Roman" w:hAnsi="Times New Roman"/>
          <w:lang w:val="pt-BR"/>
        </w:rPr>
        <w:t>7</w:t>
      </w:r>
      <w:r>
        <w:rPr>
          <w:rFonts w:ascii="Times New Roman" w:hAnsi="Times New Roman"/>
          <w:lang w:val="pt-BR"/>
        </w:rPr>
        <w:t>), por sua vez, reporta</w:t>
      </w:r>
      <w:r w:rsidR="00112190">
        <w:rPr>
          <w:rFonts w:ascii="Times New Roman" w:hAnsi="Times New Roman"/>
          <w:lang w:val="pt-BR"/>
        </w:rPr>
        <w:t>ra</w:t>
      </w:r>
      <w:r>
        <w:rPr>
          <w:rFonts w:ascii="Times New Roman" w:hAnsi="Times New Roman"/>
          <w:lang w:val="pt-BR"/>
        </w:rPr>
        <w:t xml:space="preserve">m a formação preferencial </w:t>
      </w:r>
      <w:r w:rsidRPr="003B35BD">
        <w:rPr>
          <w:rFonts w:ascii="Times New Roman" w:hAnsi="Times New Roman"/>
          <w:lang w:val="pt-BR"/>
        </w:rPr>
        <w:t>de éter</w:t>
      </w:r>
      <w:r>
        <w:rPr>
          <w:rFonts w:ascii="Times New Roman" w:hAnsi="Times New Roman"/>
          <w:lang w:val="pt-BR"/>
        </w:rPr>
        <w:t>es</w:t>
      </w:r>
      <w:r w:rsidRPr="003B35BD">
        <w:rPr>
          <w:rFonts w:ascii="Times New Roman" w:hAnsi="Times New Roman"/>
          <w:lang w:val="pt-BR"/>
        </w:rPr>
        <w:t xml:space="preserve"> etílico</w:t>
      </w:r>
      <w:r>
        <w:rPr>
          <w:rFonts w:ascii="Times New Roman" w:hAnsi="Times New Roman"/>
          <w:lang w:val="pt-BR"/>
        </w:rPr>
        <w:t>s</w:t>
      </w:r>
      <w:r w:rsidR="00C32A16">
        <w:rPr>
          <w:rFonts w:ascii="Times New Roman" w:hAnsi="Times New Roman"/>
          <w:lang w:val="pt-BR"/>
        </w:rPr>
        <w:t xml:space="preserve"> </w:t>
      </w:r>
      <w:r>
        <w:rPr>
          <w:rFonts w:ascii="Times New Roman" w:hAnsi="Times New Roman"/>
          <w:lang w:val="pt-BR"/>
        </w:rPr>
        <w:t>nesse processo, especialmente sobre materiais tipicamente</w:t>
      </w:r>
      <w:r w:rsidR="00C32A16">
        <w:rPr>
          <w:rFonts w:ascii="Times New Roman" w:hAnsi="Times New Roman"/>
          <w:lang w:val="pt-BR"/>
        </w:rPr>
        <w:t xml:space="preserve"> </w:t>
      </w:r>
      <w:r w:rsidRPr="003B35BD">
        <w:rPr>
          <w:rFonts w:ascii="Times New Roman" w:hAnsi="Times New Roman"/>
          <w:lang w:val="pt-BR"/>
        </w:rPr>
        <w:t>microporos</w:t>
      </w:r>
      <w:r>
        <w:rPr>
          <w:rFonts w:ascii="Times New Roman" w:hAnsi="Times New Roman"/>
          <w:lang w:val="pt-BR"/>
        </w:rPr>
        <w:t xml:space="preserve">os, uma vez que os sítios ácidos nesses catalisadores seriam mais facilmente acessados pelo </w:t>
      </w:r>
      <w:r w:rsidRPr="003B35BD">
        <w:rPr>
          <w:rFonts w:ascii="Times New Roman" w:hAnsi="Times New Roman"/>
          <w:lang w:val="pt-BR"/>
        </w:rPr>
        <w:t xml:space="preserve">etanol do que </w:t>
      </w:r>
      <w:r>
        <w:rPr>
          <w:rFonts w:ascii="Times New Roman" w:hAnsi="Times New Roman"/>
          <w:lang w:val="pt-BR"/>
        </w:rPr>
        <w:t>pel</w:t>
      </w:r>
      <w:r w:rsidRPr="003B35BD">
        <w:rPr>
          <w:rFonts w:ascii="Times New Roman" w:hAnsi="Times New Roman"/>
          <w:lang w:val="pt-BR"/>
        </w:rPr>
        <w:t xml:space="preserve">o </w:t>
      </w:r>
      <w:r>
        <w:rPr>
          <w:rFonts w:ascii="Times New Roman" w:hAnsi="Times New Roman"/>
          <w:lang w:val="pt-BR"/>
        </w:rPr>
        <w:t>AF</w:t>
      </w:r>
      <w:r w:rsidRPr="003B35BD">
        <w:rPr>
          <w:rFonts w:ascii="Times New Roman" w:hAnsi="Times New Roman"/>
          <w:lang w:val="pt-BR"/>
        </w:rPr>
        <w:t>F.</w:t>
      </w:r>
      <w:r>
        <w:rPr>
          <w:rFonts w:ascii="Times New Roman" w:hAnsi="Times New Roman"/>
          <w:lang w:val="pt-BR"/>
        </w:rPr>
        <w:t xml:space="preserve"> Essa limitação impacta negativamente a formação do LE via alc</w:t>
      </w:r>
      <w:r w:rsidR="00C32A16">
        <w:rPr>
          <w:rFonts w:ascii="Times New Roman" w:hAnsi="Times New Roman"/>
          <w:lang w:val="pt-BR"/>
        </w:rPr>
        <w:t>o</w:t>
      </w:r>
      <w:r>
        <w:rPr>
          <w:rFonts w:ascii="Times New Roman" w:hAnsi="Times New Roman"/>
          <w:lang w:val="pt-BR"/>
        </w:rPr>
        <w:t>ólise. Neste presente trabalho, no entanto, apenas uma pequena produção de éter etílico foi observada. Dessa forma</w:t>
      </w:r>
      <w:r w:rsidRPr="003B35BD">
        <w:rPr>
          <w:rFonts w:ascii="Times New Roman" w:hAnsi="Times New Roman"/>
          <w:lang w:val="pt-BR"/>
        </w:rPr>
        <w:t>, pode-</w:t>
      </w:r>
      <w:r w:rsidRPr="003B35BD">
        <w:rPr>
          <w:rFonts w:ascii="Times New Roman" w:hAnsi="Times New Roman"/>
          <w:lang w:val="pt-BR"/>
        </w:rPr>
        <w:lastRenderedPageBreak/>
        <w:t xml:space="preserve">se especular que </w:t>
      </w:r>
      <w:r>
        <w:rPr>
          <w:rFonts w:ascii="Times New Roman" w:hAnsi="Times New Roman"/>
          <w:lang w:val="pt-BR"/>
        </w:rPr>
        <w:t xml:space="preserve">a maior seletividade ao LE do NbP-in </w:t>
      </w:r>
      <w:r w:rsidRPr="003B35BD">
        <w:rPr>
          <w:rFonts w:ascii="Times New Roman" w:hAnsi="Times New Roman"/>
          <w:lang w:val="pt-BR"/>
        </w:rPr>
        <w:t xml:space="preserve">está parcialmente relacionada à </w:t>
      </w:r>
      <w:r>
        <w:rPr>
          <w:rFonts w:ascii="Times New Roman" w:hAnsi="Times New Roman"/>
          <w:lang w:val="pt-BR"/>
        </w:rPr>
        <w:t xml:space="preserve">presença mais significativa de </w:t>
      </w:r>
      <w:r w:rsidRPr="003B35BD">
        <w:rPr>
          <w:rFonts w:ascii="Times New Roman" w:hAnsi="Times New Roman"/>
          <w:lang w:val="pt-BR"/>
        </w:rPr>
        <w:t>mesoporos</w:t>
      </w:r>
      <w:r w:rsidR="00C32A16">
        <w:rPr>
          <w:rFonts w:ascii="Times New Roman" w:hAnsi="Times New Roman"/>
          <w:lang w:val="pt-BR"/>
        </w:rPr>
        <w:t xml:space="preserve"> </w:t>
      </w:r>
      <w:r>
        <w:rPr>
          <w:rFonts w:ascii="Times New Roman" w:hAnsi="Times New Roman"/>
          <w:lang w:val="pt-BR"/>
        </w:rPr>
        <w:t>neste</w:t>
      </w:r>
      <w:r w:rsidRPr="003B35BD">
        <w:rPr>
          <w:rFonts w:ascii="Times New Roman" w:hAnsi="Times New Roman"/>
          <w:lang w:val="pt-BR"/>
        </w:rPr>
        <w:t xml:space="preserve"> catalisador. </w:t>
      </w:r>
    </w:p>
    <w:p w:rsidR="00CE5D92" w:rsidRDefault="00CE5D92" w:rsidP="00EA4E1B"/>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rsidR="00EA4E1B" w:rsidRPr="001F25B2" w:rsidRDefault="00E24BC8" w:rsidP="00EA4E1B">
      <w:pPr>
        <w:pStyle w:val="TAMainText"/>
        <w:ind w:firstLine="187"/>
        <w:rPr>
          <w:rFonts w:ascii="Times New Roman" w:hAnsi="Times New Roman"/>
          <w:lang w:val="pt-BR"/>
        </w:rPr>
      </w:pPr>
      <w:r>
        <w:rPr>
          <w:rFonts w:ascii="Times New Roman" w:hAnsi="Times New Roman"/>
          <w:lang w:val="pt-BR"/>
        </w:rPr>
        <w:t xml:space="preserve">Os catalisadores avaliados nesse trabalho são ativos </w:t>
      </w:r>
      <w:r w:rsidRPr="00E24BC8">
        <w:rPr>
          <w:rFonts w:ascii="Times New Roman" w:hAnsi="Times New Roman"/>
          <w:lang w:val="pt-BR"/>
        </w:rPr>
        <w:t>na reação do álcool furfurílico (</w:t>
      </w:r>
      <w:r>
        <w:rPr>
          <w:rFonts w:ascii="Times New Roman" w:hAnsi="Times New Roman"/>
          <w:lang w:val="pt-BR"/>
        </w:rPr>
        <w:t>AF</w:t>
      </w:r>
      <w:r w:rsidRPr="00E24BC8">
        <w:rPr>
          <w:rFonts w:ascii="Times New Roman" w:hAnsi="Times New Roman"/>
          <w:lang w:val="pt-BR"/>
        </w:rPr>
        <w:t xml:space="preserve">F) com etanol para </w:t>
      </w:r>
      <w:r>
        <w:rPr>
          <w:rFonts w:ascii="Times New Roman" w:hAnsi="Times New Roman"/>
          <w:lang w:val="pt-BR"/>
        </w:rPr>
        <w:t xml:space="preserve">obtenção </w:t>
      </w:r>
      <w:r w:rsidRPr="00E24BC8">
        <w:rPr>
          <w:rFonts w:ascii="Times New Roman" w:hAnsi="Times New Roman"/>
          <w:lang w:val="pt-BR"/>
        </w:rPr>
        <w:t>d</w:t>
      </w:r>
      <w:r>
        <w:rPr>
          <w:rFonts w:ascii="Times New Roman" w:hAnsi="Times New Roman"/>
          <w:lang w:val="pt-BR"/>
        </w:rPr>
        <w:t>e</w:t>
      </w:r>
      <w:r w:rsidR="00BD559D">
        <w:rPr>
          <w:rFonts w:ascii="Times New Roman" w:hAnsi="Times New Roman"/>
          <w:lang w:val="pt-BR"/>
        </w:rPr>
        <w:t xml:space="preserve"> </w:t>
      </w:r>
      <w:r w:rsidRPr="00E24BC8">
        <w:rPr>
          <w:rFonts w:ascii="Times New Roman" w:hAnsi="Times New Roman"/>
          <w:lang w:val="pt-BR"/>
        </w:rPr>
        <w:t>levulinato de etila (L</w:t>
      </w:r>
      <w:r>
        <w:rPr>
          <w:rFonts w:ascii="Times New Roman" w:hAnsi="Times New Roman"/>
          <w:lang w:val="pt-BR"/>
        </w:rPr>
        <w:t>E</w:t>
      </w:r>
      <w:r w:rsidRPr="00E24BC8">
        <w:rPr>
          <w:rFonts w:ascii="Times New Roman" w:hAnsi="Times New Roman"/>
          <w:lang w:val="pt-BR"/>
        </w:rPr>
        <w:t>)</w:t>
      </w:r>
      <w:r w:rsidR="0079682D">
        <w:rPr>
          <w:rFonts w:ascii="Times New Roman" w:hAnsi="Times New Roman"/>
          <w:lang w:val="pt-BR"/>
        </w:rPr>
        <w:t xml:space="preserve">, de modo que o fosfato de nióbio desponta como um catalisador potencial para a reação. Valores elevados de conversão foram alcançados, com seletividade </w:t>
      </w:r>
      <w:r w:rsidR="00916CA8">
        <w:rPr>
          <w:rFonts w:ascii="Times New Roman" w:hAnsi="Times New Roman"/>
          <w:lang w:val="pt-BR"/>
        </w:rPr>
        <w:t>a</w:t>
      </w:r>
      <w:r w:rsidR="00BD559D">
        <w:rPr>
          <w:rFonts w:ascii="Times New Roman" w:hAnsi="Times New Roman"/>
          <w:lang w:val="pt-BR"/>
        </w:rPr>
        <w:t xml:space="preserve"> </w:t>
      </w:r>
      <w:r w:rsidR="0079682D">
        <w:rPr>
          <w:rFonts w:ascii="Times New Roman" w:hAnsi="Times New Roman"/>
          <w:lang w:val="pt-BR"/>
        </w:rPr>
        <w:t>levulinato de etila em torno de 32%.</w:t>
      </w:r>
      <w:r w:rsidR="00BD559D">
        <w:rPr>
          <w:rFonts w:ascii="Times New Roman" w:hAnsi="Times New Roman"/>
          <w:lang w:val="pt-BR"/>
        </w:rPr>
        <w:t xml:space="preserve"> </w:t>
      </w:r>
      <w:r w:rsidR="0079682D">
        <w:rPr>
          <w:rFonts w:ascii="Times New Roman" w:hAnsi="Times New Roman"/>
          <w:lang w:val="pt-BR"/>
        </w:rPr>
        <w:t xml:space="preserve">A atividade do NbP-in possivelmente está relacionada com a maior densidade de sítios ácidos desse material, quando comparado com o óxido de nióbio. </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rsidR="0029742B" w:rsidRPr="006673A3" w:rsidRDefault="0029742B" w:rsidP="0029742B">
      <w:pPr>
        <w:pStyle w:val="TAMainText"/>
        <w:rPr>
          <w:rFonts w:ascii="Times New Roman" w:hAnsi="Times New Roman"/>
          <w:lang w:val="pt-BR"/>
        </w:rPr>
      </w:pPr>
      <w:r w:rsidRPr="006673A3">
        <w:rPr>
          <w:rFonts w:ascii="Times New Roman" w:hAnsi="Times New Roman"/>
          <w:lang w:val="pt-BR"/>
        </w:rPr>
        <w:t xml:space="preserve">Os autores agradecem o apoio financeiro do CNPq. ASM agradece ao PCI/INT/CNPq (Proc. </w:t>
      </w:r>
      <w:r w:rsidR="0058455E" w:rsidRPr="0058455E">
        <w:rPr>
          <w:rFonts w:ascii="Times New Roman" w:hAnsi="Times New Roman"/>
          <w:lang w:val="pt-BR"/>
        </w:rPr>
        <w:t>301059/2023-3</w:t>
      </w:r>
      <w:r w:rsidRPr="006673A3">
        <w:rPr>
          <w:rFonts w:ascii="Times New Roman" w:hAnsi="Times New Roman"/>
          <w:lang w:val="pt-BR"/>
        </w:rPr>
        <w:t>) pela bolsa concedida.</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rsidR="00EA4E1B" w:rsidRDefault="00EA4E1B" w:rsidP="00EA4E1B">
      <w:pPr>
        <w:pStyle w:val="TAMainText"/>
        <w:ind w:firstLine="0"/>
        <w:rPr>
          <w:lang w:val="pt-BR"/>
        </w:rPr>
      </w:pPr>
    </w:p>
    <w:p w:rsidR="00EA4E1B" w:rsidRDefault="007761CA" w:rsidP="00EA4E1B">
      <w:pPr>
        <w:pStyle w:val="TAMainText"/>
        <w:numPr>
          <w:ilvl w:val="0"/>
          <w:numId w:val="1"/>
        </w:numPr>
        <w:rPr>
          <w:lang w:val="pt-BR"/>
        </w:rPr>
      </w:pPr>
      <w:r>
        <w:rPr>
          <w:lang w:val="pt-BR"/>
        </w:rPr>
        <w:t xml:space="preserve">G. Zhao; M. Liu; X. Xia; L. Li; B. Xu, </w:t>
      </w:r>
      <w:r w:rsidRPr="007761CA">
        <w:rPr>
          <w:lang w:val="pt-BR"/>
        </w:rPr>
        <w:t>Molecules</w:t>
      </w:r>
      <w:r w:rsidRPr="007761CA">
        <w:rPr>
          <w:b/>
          <w:lang w:val="pt-BR"/>
        </w:rPr>
        <w:t>2019</w:t>
      </w:r>
      <w:r w:rsidRPr="007761CA">
        <w:rPr>
          <w:lang w:val="pt-BR"/>
        </w:rPr>
        <w:t>, 24, 1881</w:t>
      </w:r>
      <w:r>
        <w:rPr>
          <w:lang w:val="pt-BR"/>
        </w:rPr>
        <w:t>-1890</w:t>
      </w:r>
      <w:r w:rsidR="00EA4E1B">
        <w:rPr>
          <w:lang w:val="pt-BR"/>
        </w:rPr>
        <w:t>.</w:t>
      </w:r>
    </w:p>
    <w:p w:rsidR="00805927" w:rsidRDefault="00805927" w:rsidP="00EA4E1B">
      <w:pPr>
        <w:pStyle w:val="TAMainText"/>
        <w:numPr>
          <w:ilvl w:val="0"/>
          <w:numId w:val="1"/>
        </w:numPr>
        <w:rPr>
          <w:lang w:val="pt-BR"/>
        </w:rPr>
      </w:pPr>
      <w:r w:rsidRPr="006673A3">
        <w:t xml:space="preserve">M. Zainol; W. Nazreen; P. Ylang; T. Hoe; M. Yussuf; N. Amin, Chem. Eng. </w:t>
      </w:r>
      <w:r w:rsidRPr="00805927">
        <w:rPr>
          <w:lang w:val="pt-BR"/>
        </w:rPr>
        <w:t>Trans</w:t>
      </w:r>
      <w:r>
        <w:rPr>
          <w:lang w:val="pt-BR"/>
        </w:rPr>
        <w:t xml:space="preserve">., </w:t>
      </w:r>
      <w:r w:rsidRPr="00805927">
        <w:rPr>
          <w:b/>
          <w:lang w:val="pt-BR"/>
        </w:rPr>
        <w:t>2020</w:t>
      </w:r>
      <w:r>
        <w:rPr>
          <w:lang w:val="pt-BR"/>
        </w:rPr>
        <w:t xml:space="preserve">, </w:t>
      </w:r>
      <w:r w:rsidRPr="00805927">
        <w:rPr>
          <w:lang w:val="pt-BR"/>
        </w:rPr>
        <w:t>78, 547-552</w:t>
      </w:r>
      <w:r>
        <w:rPr>
          <w:lang w:val="pt-BR"/>
        </w:rPr>
        <w:t>.</w:t>
      </w:r>
    </w:p>
    <w:p w:rsidR="00805927" w:rsidRPr="00805927" w:rsidRDefault="00805927" w:rsidP="00805927">
      <w:pPr>
        <w:pStyle w:val="TAMainText"/>
        <w:numPr>
          <w:ilvl w:val="0"/>
          <w:numId w:val="1"/>
        </w:numPr>
        <w:rPr>
          <w:b/>
          <w:bCs/>
        </w:rPr>
      </w:pPr>
      <w:r w:rsidRPr="00805927">
        <w:rPr>
          <w:lang w:val="pt-BR"/>
        </w:rPr>
        <w:t>P</w:t>
      </w:r>
      <w:r>
        <w:rPr>
          <w:lang w:val="pt-BR"/>
        </w:rPr>
        <w:t>.</w:t>
      </w:r>
      <w:r w:rsidRPr="00805927">
        <w:rPr>
          <w:lang w:val="pt-BR"/>
        </w:rPr>
        <w:t> Neves; S</w:t>
      </w:r>
      <w:r>
        <w:rPr>
          <w:lang w:val="pt-BR"/>
        </w:rPr>
        <w:t>.</w:t>
      </w:r>
      <w:r w:rsidRPr="00805927">
        <w:rPr>
          <w:lang w:val="pt-BR"/>
        </w:rPr>
        <w:t> Lima</w:t>
      </w:r>
      <w:r>
        <w:rPr>
          <w:lang w:val="pt-BR"/>
        </w:rPr>
        <w:t>;</w:t>
      </w:r>
      <w:r w:rsidRPr="00805927">
        <w:rPr>
          <w:lang w:val="pt-BR"/>
        </w:rPr>
        <w:t> M</w:t>
      </w:r>
      <w:r>
        <w:rPr>
          <w:lang w:val="pt-BR"/>
        </w:rPr>
        <w:t>.</w:t>
      </w:r>
      <w:r w:rsidRPr="00805927">
        <w:rPr>
          <w:lang w:val="pt-BR"/>
        </w:rPr>
        <w:t> Pillinger</w:t>
      </w:r>
      <w:r>
        <w:rPr>
          <w:lang w:val="pt-BR"/>
        </w:rPr>
        <w:t>;</w:t>
      </w:r>
      <w:r w:rsidRPr="00805927">
        <w:rPr>
          <w:lang w:val="pt-BR"/>
        </w:rPr>
        <w:t>S</w:t>
      </w:r>
      <w:r>
        <w:rPr>
          <w:lang w:val="pt-BR"/>
        </w:rPr>
        <w:t>.</w:t>
      </w:r>
      <w:r w:rsidRPr="00805927">
        <w:rPr>
          <w:lang w:val="pt-BR"/>
        </w:rPr>
        <w:t> Rocha</w:t>
      </w:r>
      <w:r>
        <w:rPr>
          <w:lang w:val="pt-BR"/>
        </w:rPr>
        <w:t>;</w:t>
      </w:r>
      <w:r w:rsidRPr="00805927">
        <w:rPr>
          <w:lang w:val="pt-BR"/>
        </w:rPr>
        <w:t> J</w:t>
      </w:r>
      <w:r>
        <w:rPr>
          <w:lang w:val="pt-BR"/>
        </w:rPr>
        <w:t>.</w:t>
      </w:r>
      <w:r w:rsidRPr="00805927">
        <w:rPr>
          <w:lang w:val="pt-BR"/>
        </w:rPr>
        <w:t> Rocha</w:t>
      </w:r>
      <w:r>
        <w:rPr>
          <w:lang w:val="pt-BR"/>
        </w:rPr>
        <w:t>;</w:t>
      </w:r>
      <w:r w:rsidRPr="00805927">
        <w:rPr>
          <w:lang w:val="pt-BR"/>
        </w:rPr>
        <w:t xml:space="preserve"> A. Valente</w:t>
      </w:r>
      <w:r w:rsidRPr="005759D8">
        <w:rPr>
          <w:lang w:val="pt-BR"/>
        </w:rPr>
        <w:t xml:space="preserve">, </w:t>
      </w:r>
      <w:r w:rsidRPr="006673A3">
        <w:rPr>
          <w:bCs/>
          <w:lang w:val="pt-BR"/>
        </w:rPr>
        <w:t xml:space="preserve">Cat. </w:t>
      </w:r>
      <w:r w:rsidRPr="005759D8">
        <w:rPr>
          <w:bCs/>
        </w:rPr>
        <w:t>Today</w:t>
      </w:r>
      <w:r>
        <w:t xml:space="preserve">, </w:t>
      </w:r>
      <w:r w:rsidRPr="005759D8">
        <w:rPr>
          <w:b/>
        </w:rPr>
        <w:t>2013</w:t>
      </w:r>
      <w:r>
        <w:t>, 218-219, 76-84.</w:t>
      </w:r>
    </w:p>
    <w:p w:rsidR="005759D8" w:rsidRPr="00805927" w:rsidRDefault="00805927" w:rsidP="005759D8">
      <w:pPr>
        <w:pStyle w:val="TAMainText"/>
        <w:numPr>
          <w:ilvl w:val="0"/>
          <w:numId w:val="1"/>
        </w:numPr>
        <w:rPr>
          <w:b/>
          <w:bCs/>
        </w:rPr>
      </w:pPr>
      <w:r w:rsidRPr="006673A3">
        <w:t>S. Kang</w:t>
      </w:r>
      <w:r w:rsidR="005759D8" w:rsidRPr="006673A3">
        <w:t>;</w:t>
      </w:r>
      <w:r w:rsidRPr="006673A3">
        <w:t> R</w:t>
      </w:r>
      <w:r w:rsidR="005759D8" w:rsidRPr="006673A3">
        <w:t>.</w:t>
      </w:r>
      <w:r w:rsidRPr="006673A3">
        <w:t> Miao</w:t>
      </w:r>
      <w:r w:rsidR="005759D8" w:rsidRPr="006673A3">
        <w:t>;</w:t>
      </w:r>
      <w:r w:rsidRPr="006673A3">
        <w:t> J</w:t>
      </w:r>
      <w:r w:rsidR="005759D8" w:rsidRPr="006673A3">
        <w:t>.</w:t>
      </w:r>
      <w:r w:rsidRPr="006673A3">
        <w:t> Guo</w:t>
      </w:r>
      <w:r w:rsidR="005759D8" w:rsidRPr="006673A3">
        <w:t>;</w:t>
      </w:r>
      <w:r w:rsidRPr="006673A3">
        <w:t> J</w:t>
      </w:r>
      <w:r w:rsidR="005759D8" w:rsidRPr="006673A3">
        <w:t>.</w:t>
      </w:r>
      <w:r w:rsidRPr="006673A3">
        <w:t> Fu</w:t>
      </w:r>
      <w:r w:rsidR="005759D8" w:rsidRPr="006673A3">
        <w:t xml:space="preserve">, </w:t>
      </w:r>
      <w:r w:rsidR="005759D8" w:rsidRPr="005759D8">
        <w:rPr>
          <w:bCs/>
        </w:rPr>
        <w:t>Cat. Today</w:t>
      </w:r>
      <w:r w:rsidR="005759D8">
        <w:t xml:space="preserve">, </w:t>
      </w:r>
      <w:r w:rsidR="005759D8" w:rsidRPr="005759D8">
        <w:rPr>
          <w:b/>
        </w:rPr>
        <w:t>20</w:t>
      </w:r>
      <w:r w:rsidR="005759D8">
        <w:rPr>
          <w:b/>
        </w:rPr>
        <w:t>21</w:t>
      </w:r>
      <w:r w:rsidR="005759D8">
        <w:t>, 374, 61-76.</w:t>
      </w:r>
    </w:p>
    <w:p w:rsidR="00EA4E1B" w:rsidRPr="00E038AF" w:rsidRDefault="0029742B" w:rsidP="00EA4E1B">
      <w:pPr>
        <w:pStyle w:val="TAMainText"/>
        <w:numPr>
          <w:ilvl w:val="0"/>
          <w:numId w:val="1"/>
        </w:numPr>
        <w:rPr>
          <w:rFonts w:ascii="Times New Roman" w:hAnsi="Times New Roman"/>
          <w:lang w:val="pt-BR"/>
        </w:rPr>
      </w:pPr>
      <w:r>
        <w:rPr>
          <w:rFonts w:ascii="Times New Roman" w:hAnsi="Times New Roman"/>
          <w:lang w:val="pt-BR"/>
        </w:rPr>
        <w:t>A.</w:t>
      </w:r>
      <w:r w:rsidR="00F7454C" w:rsidRPr="00F7454C">
        <w:rPr>
          <w:rFonts w:ascii="Times New Roman" w:hAnsi="Times New Roman"/>
          <w:lang w:val="pt-BR"/>
        </w:rPr>
        <w:t xml:space="preserve"> S</w:t>
      </w:r>
      <w:r>
        <w:rPr>
          <w:rFonts w:ascii="Times New Roman" w:hAnsi="Times New Roman"/>
          <w:lang w:val="pt-BR"/>
        </w:rPr>
        <w:t>ilva</w:t>
      </w:r>
      <w:r w:rsidR="00EA4E1B" w:rsidRPr="00E038AF">
        <w:rPr>
          <w:rFonts w:ascii="Times New Roman" w:hAnsi="Times New Roman"/>
          <w:lang w:val="pt-BR"/>
        </w:rPr>
        <w:t xml:space="preserve">, Tese de Doutorado, </w:t>
      </w:r>
      <w:r w:rsidR="00F7454C" w:rsidRPr="00F7454C">
        <w:rPr>
          <w:rFonts w:ascii="Times New Roman" w:hAnsi="Times New Roman"/>
          <w:lang w:val="pt-BR"/>
        </w:rPr>
        <w:t>Universidade Federal d</w:t>
      </w:r>
      <w:r>
        <w:rPr>
          <w:rFonts w:ascii="Times New Roman" w:hAnsi="Times New Roman"/>
          <w:lang w:val="pt-BR"/>
        </w:rPr>
        <w:t>oParaná</w:t>
      </w:r>
      <w:r w:rsidR="00EA4E1B" w:rsidRPr="00E038AF">
        <w:rPr>
          <w:rFonts w:ascii="Times New Roman" w:hAnsi="Times New Roman"/>
          <w:lang w:val="pt-BR"/>
        </w:rPr>
        <w:t xml:space="preserve">, </w:t>
      </w:r>
      <w:r w:rsidR="00F7454C">
        <w:rPr>
          <w:rFonts w:ascii="Times New Roman" w:hAnsi="Times New Roman"/>
          <w:lang w:val="pt-BR"/>
        </w:rPr>
        <w:t>2016</w:t>
      </w:r>
      <w:r w:rsidR="00EA4E1B" w:rsidRPr="00E038AF">
        <w:rPr>
          <w:rFonts w:ascii="Times New Roman" w:hAnsi="Times New Roman"/>
          <w:lang w:val="pt-BR"/>
        </w:rPr>
        <w:t>.</w:t>
      </w:r>
    </w:p>
    <w:p w:rsidR="00846F19" w:rsidRPr="006673A3" w:rsidRDefault="00846F19" w:rsidP="00846F19">
      <w:pPr>
        <w:pStyle w:val="TAMainText"/>
        <w:numPr>
          <w:ilvl w:val="0"/>
          <w:numId w:val="1"/>
        </w:numPr>
        <w:rPr>
          <w:rFonts w:ascii="Times New Roman" w:hAnsi="Times New Roman"/>
        </w:rPr>
      </w:pPr>
      <w:bookmarkStart w:id="3" w:name="_GoBack"/>
      <w:bookmarkEnd w:id="3"/>
      <w:r w:rsidRPr="006673A3">
        <w:rPr>
          <w:rFonts w:ascii="Times New Roman" w:hAnsi="Times New Roman"/>
        </w:rPr>
        <w:t xml:space="preserve">Z. Zhang, K. Dong, Z. Zhao </w:t>
      </w:r>
      <w:r w:rsidR="00996F0A" w:rsidRPr="006673A3">
        <w:rPr>
          <w:rFonts w:ascii="Times New Roman" w:hAnsi="Times New Roman"/>
        </w:rPr>
        <w:t>ChemSusChem, </w:t>
      </w:r>
      <w:r w:rsidR="00996F0A" w:rsidRPr="006673A3">
        <w:rPr>
          <w:rFonts w:ascii="Times New Roman" w:hAnsi="Times New Roman"/>
          <w:b/>
        </w:rPr>
        <w:t>2011</w:t>
      </w:r>
      <w:r w:rsidRPr="006673A3">
        <w:rPr>
          <w:rFonts w:ascii="Times New Roman" w:hAnsi="Times New Roman"/>
        </w:rPr>
        <w:t>,</w:t>
      </w:r>
      <w:r w:rsidR="00996F0A" w:rsidRPr="006673A3">
        <w:rPr>
          <w:rFonts w:ascii="Times New Roman" w:hAnsi="Times New Roman"/>
        </w:rPr>
        <w:t xml:space="preserve"> 4</w:t>
      </w:r>
      <w:r w:rsidRPr="006673A3">
        <w:rPr>
          <w:rFonts w:ascii="Times New Roman" w:hAnsi="Times New Roman"/>
        </w:rPr>
        <w:t xml:space="preserve"> 112-118</w:t>
      </w:r>
    </w:p>
    <w:p w:rsidR="00CA62E4" w:rsidRPr="006673A3" w:rsidRDefault="00CA62E4" w:rsidP="00CA62E4">
      <w:pPr>
        <w:pStyle w:val="TAMainText"/>
        <w:numPr>
          <w:ilvl w:val="0"/>
          <w:numId w:val="1"/>
        </w:numPr>
        <w:rPr>
          <w:rFonts w:ascii="Times New Roman" w:hAnsi="Times New Roman"/>
        </w:rPr>
      </w:pPr>
      <w:r w:rsidRPr="006673A3">
        <w:rPr>
          <w:rFonts w:ascii="Times New Roman" w:hAnsi="Times New Roman"/>
        </w:rPr>
        <w:t>J.Lange; W. Graaf; R. Haan, ChemSusChem, </w:t>
      </w:r>
      <w:r w:rsidRPr="006673A3">
        <w:rPr>
          <w:rFonts w:ascii="Times New Roman" w:hAnsi="Times New Roman"/>
          <w:b/>
        </w:rPr>
        <w:t>2009</w:t>
      </w:r>
      <w:r w:rsidRPr="006673A3">
        <w:rPr>
          <w:rFonts w:ascii="Times New Roman" w:hAnsi="Times New Roman"/>
        </w:rPr>
        <w:t>,</w:t>
      </w:r>
      <w:r w:rsidR="00996F0A" w:rsidRPr="006673A3">
        <w:rPr>
          <w:rFonts w:ascii="Times New Roman" w:hAnsi="Times New Roman"/>
        </w:rPr>
        <w:t xml:space="preserve"> 2</w:t>
      </w:r>
      <w:r w:rsidRPr="006673A3">
        <w:rPr>
          <w:rFonts w:ascii="Times New Roman" w:hAnsi="Times New Roman"/>
        </w:rPr>
        <w:t xml:space="preserve"> 437-441.</w:t>
      </w:r>
    </w:p>
    <w:p w:rsidR="007B4B2B" w:rsidRPr="006673A3" w:rsidRDefault="007B4B2B" w:rsidP="00EA4E1B">
      <w:pPr>
        <w:rPr>
          <w:lang w:val="en-US"/>
        </w:rPr>
      </w:pPr>
    </w:p>
    <w:sectPr w:rsidR="007B4B2B" w:rsidRPr="006673A3"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5B2" w:rsidRDefault="00BF45B2" w:rsidP="00EA4E1B">
      <w:pPr>
        <w:spacing w:after="0" w:line="240" w:lineRule="auto"/>
      </w:pPr>
      <w:r>
        <w:separator/>
      </w:r>
    </w:p>
  </w:endnote>
  <w:endnote w:type="continuationSeparator" w:id="1">
    <w:p w:rsidR="00BF45B2" w:rsidRDefault="00BF45B2" w:rsidP="00EA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5B2" w:rsidRDefault="00BF45B2" w:rsidP="00EA4E1B">
      <w:pPr>
        <w:spacing w:after="0" w:line="240" w:lineRule="auto"/>
      </w:pPr>
      <w:r>
        <w:separator/>
      </w:r>
    </w:p>
  </w:footnote>
  <w:footnote w:type="continuationSeparator" w:id="1">
    <w:p w:rsidR="00BF45B2" w:rsidRDefault="00BF45B2" w:rsidP="00EA4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8A" w:rsidRDefault="0075528A" w:rsidP="00EA4E1B">
    <w:pPr>
      <w:pStyle w:val="Cabealho"/>
      <w:jc w:val="center"/>
    </w:pPr>
    <w:r>
      <w:rPr>
        <w:noProof/>
        <w:lang w:eastAsia="pt-BR"/>
      </w:rPr>
      <w:drawing>
        <wp:inline distT="0" distB="0" distL="0" distR="0">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r>
      <w:rPr>
        <w:noProof/>
        <w:lang w:eastAsia="pt-BR"/>
      </w:rPr>
      <w:drawing>
        <wp:inline distT="0" distB="0" distL="0" distR="0">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1197"/>
    <w:multiLevelType w:val="singleLevel"/>
    <w:tmpl w:val="090EB2CE"/>
    <w:lvl w:ilvl="0">
      <w:start w:val="1"/>
      <w:numFmt w:val="decimal"/>
      <w:lvlText w:val="%1."/>
      <w:lvlJc w:val="left"/>
      <w:pPr>
        <w:tabs>
          <w:tab w:val="num" w:pos="360"/>
        </w:tabs>
        <w:ind w:left="360" w:hanging="360"/>
      </w:pPr>
      <w:rPr>
        <w:b w:val="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o André Fraga">
    <w15:presenceInfo w15:providerId="AD" w15:userId="S-1-5-21-3042510885-2309477028-1761851697-214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08"/>
  <w:hyphenationZone w:val="425"/>
  <w:characterSpacingControl w:val="doNotCompress"/>
  <w:hdrShapeDefaults>
    <o:shapedefaults v:ext="edit" spidmax="5122"/>
  </w:hdrShapeDefaults>
  <w:footnotePr>
    <w:footnote w:id="0"/>
    <w:footnote w:id="1"/>
  </w:footnotePr>
  <w:endnotePr>
    <w:numFmt w:val="decimal"/>
    <w:endnote w:id="0"/>
    <w:endnote w:id="1"/>
  </w:endnotePr>
  <w:compat>
    <w:useFELayout/>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38C"/>
    <w:rsid w:val="0001264A"/>
    <w:rsid w:val="00022B54"/>
    <w:rsid w:val="000349DF"/>
    <w:rsid w:val="0005016B"/>
    <w:rsid w:val="00061A72"/>
    <w:rsid w:val="00077A49"/>
    <w:rsid w:val="00086696"/>
    <w:rsid w:val="0009232B"/>
    <w:rsid w:val="00097C37"/>
    <w:rsid w:val="000A7FAF"/>
    <w:rsid w:val="000C4D47"/>
    <w:rsid w:val="000D0DC8"/>
    <w:rsid w:val="000D31ED"/>
    <w:rsid w:val="000E140A"/>
    <w:rsid w:val="000F1D24"/>
    <w:rsid w:val="00103889"/>
    <w:rsid w:val="00112190"/>
    <w:rsid w:val="00113460"/>
    <w:rsid w:val="001235FD"/>
    <w:rsid w:val="001E352C"/>
    <w:rsid w:val="001E58A9"/>
    <w:rsid w:val="001F25B2"/>
    <w:rsid w:val="001F6C20"/>
    <w:rsid w:val="00203A67"/>
    <w:rsid w:val="00222230"/>
    <w:rsid w:val="002222CF"/>
    <w:rsid w:val="002325FD"/>
    <w:rsid w:val="002444A1"/>
    <w:rsid w:val="002542D5"/>
    <w:rsid w:val="0029742B"/>
    <w:rsid w:val="00305CB3"/>
    <w:rsid w:val="00311BD6"/>
    <w:rsid w:val="003212C9"/>
    <w:rsid w:val="00340043"/>
    <w:rsid w:val="00340B1E"/>
    <w:rsid w:val="00343BCC"/>
    <w:rsid w:val="003446A4"/>
    <w:rsid w:val="003B1E09"/>
    <w:rsid w:val="003B35BD"/>
    <w:rsid w:val="003D1C21"/>
    <w:rsid w:val="003E6637"/>
    <w:rsid w:val="003F3A93"/>
    <w:rsid w:val="00402F3E"/>
    <w:rsid w:val="00407768"/>
    <w:rsid w:val="00430636"/>
    <w:rsid w:val="00486111"/>
    <w:rsid w:val="004B708C"/>
    <w:rsid w:val="004C0D0B"/>
    <w:rsid w:val="004D2B9A"/>
    <w:rsid w:val="004D5CB1"/>
    <w:rsid w:val="004F357A"/>
    <w:rsid w:val="004F3F42"/>
    <w:rsid w:val="00506E99"/>
    <w:rsid w:val="00517BC9"/>
    <w:rsid w:val="0052112E"/>
    <w:rsid w:val="00526CA6"/>
    <w:rsid w:val="005759D8"/>
    <w:rsid w:val="0058455E"/>
    <w:rsid w:val="005C2775"/>
    <w:rsid w:val="005C47BE"/>
    <w:rsid w:val="005D24B8"/>
    <w:rsid w:val="005D65EB"/>
    <w:rsid w:val="005E6FDA"/>
    <w:rsid w:val="00604718"/>
    <w:rsid w:val="00621A2B"/>
    <w:rsid w:val="00624551"/>
    <w:rsid w:val="006437B5"/>
    <w:rsid w:val="00647EC2"/>
    <w:rsid w:val="00652815"/>
    <w:rsid w:val="00652E8A"/>
    <w:rsid w:val="0066407D"/>
    <w:rsid w:val="00666E5E"/>
    <w:rsid w:val="006673A3"/>
    <w:rsid w:val="00667C72"/>
    <w:rsid w:val="006B0392"/>
    <w:rsid w:val="006B429C"/>
    <w:rsid w:val="006E6565"/>
    <w:rsid w:val="006F599B"/>
    <w:rsid w:val="007028F3"/>
    <w:rsid w:val="007038C9"/>
    <w:rsid w:val="00723FAF"/>
    <w:rsid w:val="00751310"/>
    <w:rsid w:val="0075528A"/>
    <w:rsid w:val="007670A0"/>
    <w:rsid w:val="0076798A"/>
    <w:rsid w:val="007761CA"/>
    <w:rsid w:val="00781685"/>
    <w:rsid w:val="0079682D"/>
    <w:rsid w:val="007B4B2B"/>
    <w:rsid w:val="007C2C80"/>
    <w:rsid w:val="007C374E"/>
    <w:rsid w:val="007D13E5"/>
    <w:rsid w:val="007F684B"/>
    <w:rsid w:val="00805927"/>
    <w:rsid w:val="00812840"/>
    <w:rsid w:val="00846F19"/>
    <w:rsid w:val="00866822"/>
    <w:rsid w:val="00876578"/>
    <w:rsid w:val="008A371A"/>
    <w:rsid w:val="008A52C1"/>
    <w:rsid w:val="008B1683"/>
    <w:rsid w:val="008C1B30"/>
    <w:rsid w:val="008C5D1F"/>
    <w:rsid w:val="008D519F"/>
    <w:rsid w:val="008E54AF"/>
    <w:rsid w:val="008F0C93"/>
    <w:rsid w:val="008F2258"/>
    <w:rsid w:val="00904FA8"/>
    <w:rsid w:val="00916CA8"/>
    <w:rsid w:val="00933186"/>
    <w:rsid w:val="0093444D"/>
    <w:rsid w:val="00957BA0"/>
    <w:rsid w:val="009652C0"/>
    <w:rsid w:val="009656D9"/>
    <w:rsid w:val="00996F0A"/>
    <w:rsid w:val="009B6DBE"/>
    <w:rsid w:val="009C7CB0"/>
    <w:rsid w:val="009D3459"/>
    <w:rsid w:val="009D673C"/>
    <w:rsid w:val="00A0574A"/>
    <w:rsid w:val="00A17D85"/>
    <w:rsid w:val="00A26D79"/>
    <w:rsid w:val="00A27BED"/>
    <w:rsid w:val="00A529F5"/>
    <w:rsid w:val="00A5590E"/>
    <w:rsid w:val="00A60CEF"/>
    <w:rsid w:val="00A87CE8"/>
    <w:rsid w:val="00A9350D"/>
    <w:rsid w:val="00AA0BED"/>
    <w:rsid w:val="00AA182E"/>
    <w:rsid w:val="00AE56F7"/>
    <w:rsid w:val="00AF0400"/>
    <w:rsid w:val="00B30AEB"/>
    <w:rsid w:val="00B832AB"/>
    <w:rsid w:val="00B946FF"/>
    <w:rsid w:val="00BA6A6E"/>
    <w:rsid w:val="00BD07BF"/>
    <w:rsid w:val="00BD559D"/>
    <w:rsid w:val="00BE4624"/>
    <w:rsid w:val="00BF45B2"/>
    <w:rsid w:val="00C02493"/>
    <w:rsid w:val="00C1230B"/>
    <w:rsid w:val="00C2473F"/>
    <w:rsid w:val="00C32A16"/>
    <w:rsid w:val="00C5262C"/>
    <w:rsid w:val="00C72602"/>
    <w:rsid w:val="00C76E54"/>
    <w:rsid w:val="00C96212"/>
    <w:rsid w:val="00CA2D89"/>
    <w:rsid w:val="00CA62E4"/>
    <w:rsid w:val="00CD19AB"/>
    <w:rsid w:val="00CE5D92"/>
    <w:rsid w:val="00CF7014"/>
    <w:rsid w:val="00D248B8"/>
    <w:rsid w:val="00D5319B"/>
    <w:rsid w:val="00D723CC"/>
    <w:rsid w:val="00D74A8B"/>
    <w:rsid w:val="00D852F6"/>
    <w:rsid w:val="00D913D1"/>
    <w:rsid w:val="00D951F0"/>
    <w:rsid w:val="00D96135"/>
    <w:rsid w:val="00DB78CE"/>
    <w:rsid w:val="00DD02C5"/>
    <w:rsid w:val="00E02A21"/>
    <w:rsid w:val="00E038AF"/>
    <w:rsid w:val="00E24BC8"/>
    <w:rsid w:val="00E552C1"/>
    <w:rsid w:val="00EA4E1B"/>
    <w:rsid w:val="00EE6243"/>
    <w:rsid w:val="00EF3342"/>
    <w:rsid w:val="00F12655"/>
    <w:rsid w:val="00F17D9F"/>
    <w:rsid w:val="00F30661"/>
    <w:rsid w:val="00F33D31"/>
    <w:rsid w:val="00F53E90"/>
    <w:rsid w:val="00F64291"/>
    <w:rsid w:val="00F73D97"/>
    <w:rsid w:val="00F7454C"/>
    <w:rsid w:val="00F917DA"/>
    <w:rsid w:val="00FB0F3B"/>
    <w:rsid w:val="00FF1E47"/>
    <w:rsid w:val="00FF5A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4D2B9A"/>
    <w:rPr>
      <w:color w:val="0563C1" w:themeColor="hyperlink"/>
      <w:u w:val="single"/>
    </w:rPr>
  </w:style>
  <w:style w:type="character" w:styleId="Refdecomentrio">
    <w:name w:val="annotation reference"/>
    <w:basedOn w:val="Fontepargpadro"/>
    <w:uiPriority w:val="99"/>
    <w:semiHidden/>
    <w:unhideWhenUsed/>
    <w:rsid w:val="00BD07BF"/>
    <w:rPr>
      <w:sz w:val="16"/>
      <w:szCs w:val="16"/>
    </w:rPr>
  </w:style>
  <w:style w:type="paragraph" w:styleId="Textodecomentrio">
    <w:name w:val="annotation text"/>
    <w:basedOn w:val="Normal"/>
    <w:link w:val="TextodecomentrioChar"/>
    <w:uiPriority w:val="99"/>
    <w:semiHidden/>
    <w:unhideWhenUsed/>
    <w:rsid w:val="00BD07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07BF"/>
    <w:rPr>
      <w:sz w:val="20"/>
      <w:szCs w:val="20"/>
    </w:rPr>
  </w:style>
  <w:style w:type="paragraph" w:styleId="Assuntodocomentrio">
    <w:name w:val="annotation subject"/>
    <w:basedOn w:val="Textodecomentrio"/>
    <w:next w:val="Textodecomentrio"/>
    <w:link w:val="AssuntodocomentrioChar"/>
    <w:uiPriority w:val="99"/>
    <w:semiHidden/>
    <w:unhideWhenUsed/>
    <w:rsid w:val="00BD07BF"/>
    <w:rPr>
      <w:b/>
      <w:bCs/>
    </w:rPr>
  </w:style>
  <w:style w:type="character" w:customStyle="1" w:styleId="AssuntodocomentrioChar">
    <w:name w:val="Assunto do comentário Char"/>
    <w:basedOn w:val="TextodecomentrioChar"/>
    <w:link w:val="Assuntodocomentrio"/>
    <w:uiPriority w:val="99"/>
    <w:semiHidden/>
    <w:rsid w:val="00BD07BF"/>
    <w:rPr>
      <w:b/>
      <w:bCs/>
      <w:sz w:val="20"/>
      <w:szCs w:val="20"/>
    </w:rPr>
  </w:style>
  <w:style w:type="paragraph" w:styleId="NormalWeb">
    <w:name w:val="Normal (Web)"/>
    <w:basedOn w:val="Normal"/>
    <w:uiPriority w:val="99"/>
    <w:semiHidden/>
    <w:unhideWhenUsed/>
    <w:rsid w:val="008F0C93"/>
    <w:rPr>
      <w:rFonts w:ascii="Times New Roman" w:hAnsi="Times New Roman" w:cs="Times New Roman"/>
      <w:sz w:val="24"/>
      <w:szCs w:val="24"/>
    </w:rPr>
  </w:style>
  <w:style w:type="paragraph" w:styleId="PargrafodaLista">
    <w:name w:val="List Paragraph"/>
    <w:basedOn w:val="Normal"/>
    <w:uiPriority w:val="34"/>
    <w:qFormat/>
    <w:rsid w:val="008F0C93"/>
    <w:pPr>
      <w:ind w:left="720"/>
      <w:contextualSpacing/>
    </w:pPr>
  </w:style>
</w:styles>
</file>

<file path=word/webSettings.xml><?xml version="1.0" encoding="utf-8"?>
<w:webSettings xmlns:r="http://schemas.openxmlformats.org/officeDocument/2006/relationships" xmlns:w="http://schemas.openxmlformats.org/wordprocessingml/2006/main">
  <w:divs>
    <w:div w:id="57435759">
      <w:bodyDiv w:val="1"/>
      <w:marLeft w:val="0"/>
      <w:marRight w:val="0"/>
      <w:marTop w:val="0"/>
      <w:marBottom w:val="0"/>
      <w:divBdr>
        <w:top w:val="none" w:sz="0" w:space="0" w:color="auto"/>
        <w:left w:val="none" w:sz="0" w:space="0" w:color="auto"/>
        <w:bottom w:val="none" w:sz="0" w:space="0" w:color="auto"/>
        <w:right w:val="none" w:sz="0" w:space="0" w:color="auto"/>
      </w:divBdr>
    </w:div>
    <w:div w:id="84233977">
      <w:bodyDiv w:val="1"/>
      <w:marLeft w:val="0"/>
      <w:marRight w:val="0"/>
      <w:marTop w:val="0"/>
      <w:marBottom w:val="0"/>
      <w:divBdr>
        <w:top w:val="none" w:sz="0" w:space="0" w:color="auto"/>
        <w:left w:val="none" w:sz="0" w:space="0" w:color="auto"/>
        <w:bottom w:val="none" w:sz="0" w:space="0" w:color="auto"/>
        <w:right w:val="none" w:sz="0" w:space="0" w:color="auto"/>
      </w:divBdr>
    </w:div>
    <w:div w:id="139075975">
      <w:bodyDiv w:val="1"/>
      <w:marLeft w:val="0"/>
      <w:marRight w:val="0"/>
      <w:marTop w:val="0"/>
      <w:marBottom w:val="0"/>
      <w:divBdr>
        <w:top w:val="none" w:sz="0" w:space="0" w:color="auto"/>
        <w:left w:val="none" w:sz="0" w:space="0" w:color="auto"/>
        <w:bottom w:val="none" w:sz="0" w:space="0" w:color="auto"/>
        <w:right w:val="none" w:sz="0" w:space="0" w:color="auto"/>
      </w:divBdr>
    </w:div>
    <w:div w:id="156239030">
      <w:bodyDiv w:val="1"/>
      <w:marLeft w:val="0"/>
      <w:marRight w:val="0"/>
      <w:marTop w:val="0"/>
      <w:marBottom w:val="0"/>
      <w:divBdr>
        <w:top w:val="none" w:sz="0" w:space="0" w:color="auto"/>
        <w:left w:val="none" w:sz="0" w:space="0" w:color="auto"/>
        <w:bottom w:val="none" w:sz="0" w:space="0" w:color="auto"/>
        <w:right w:val="none" w:sz="0" w:space="0" w:color="auto"/>
      </w:divBdr>
    </w:div>
    <w:div w:id="408037352">
      <w:bodyDiv w:val="1"/>
      <w:marLeft w:val="0"/>
      <w:marRight w:val="0"/>
      <w:marTop w:val="0"/>
      <w:marBottom w:val="0"/>
      <w:divBdr>
        <w:top w:val="none" w:sz="0" w:space="0" w:color="auto"/>
        <w:left w:val="none" w:sz="0" w:space="0" w:color="auto"/>
        <w:bottom w:val="none" w:sz="0" w:space="0" w:color="auto"/>
        <w:right w:val="none" w:sz="0" w:space="0" w:color="auto"/>
      </w:divBdr>
      <w:divsChild>
        <w:div w:id="1647854631">
          <w:marLeft w:val="0"/>
          <w:marRight w:val="0"/>
          <w:marTop w:val="0"/>
          <w:marBottom w:val="0"/>
          <w:divBdr>
            <w:top w:val="none" w:sz="0" w:space="0" w:color="auto"/>
            <w:left w:val="none" w:sz="0" w:space="0" w:color="auto"/>
            <w:bottom w:val="none" w:sz="0" w:space="0" w:color="auto"/>
            <w:right w:val="none" w:sz="0" w:space="0" w:color="auto"/>
          </w:divBdr>
        </w:div>
      </w:divsChild>
    </w:div>
    <w:div w:id="435487845">
      <w:bodyDiv w:val="1"/>
      <w:marLeft w:val="0"/>
      <w:marRight w:val="0"/>
      <w:marTop w:val="0"/>
      <w:marBottom w:val="0"/>
      <w:divBdr>
        <w:top w:val="none" w:sz="0" w:space="0" w:color="auto"/>
        <w:left w:val="none" w:sz="0" w:space="0" w:color="auto"/>
        <w:bottom w:val="none" w:sz="0" w:space="0" w:color="auto"/>
        <w:right w:val="none" w:sz="0" w:space="0" w:color="auto"/>
      </w:divBdr>
    </w:div>
    <w:div w:id="563488113">
      <w:bodyDiv w:val="1"/>
      <w:marLeft w:val="0"/>
      <w:marRight w:val="0"/>
      <w:marTop w:val="0"/>
      <w:marBottom w:val="0"/>
      <w:divBdr>
        <w:top w:val="none" w:sz="0" w:space="0" w:color="auto"/>
        <w:left w:val="none" w:sz="0" w:space="0" w:color="auto"/>
        <w:bottom w:val="none" w:sz="0" w:space="0" w:color="auto"/>
        <w:right w:val="none" w:sz="0" w:space="0" w:color="auto"/>
      </w:divBdr>
      <w:divsChild>
        <w:div w:id="527958831">
          <w:marLeft w:val="0"/>
          <w:marRight w:val="0"/>
          <w:marTop w:val="0"/>
          <w:marBottom w:val="0"/>
          <w:divBdr>
            <w:top w:val="none" w:sz="0" w:space="0" w:color="auto"/>
            <w:left w:val="none" w:sz="0" w:space="0" w:color="auto"/>
            <w:bottom w:val="none" w:sz="0" w:space="0" w:color="auto"/>
            <w:right w:val="none" w:sz="0" w:space="0" w:color="auto"/>
          </w:divBdr>
        </w:div>
      </w:divsChild>
    </w:div>
    <w:div w:id="684208253">
      <w:bodyDiv w:val="1"/>
      <w:marLeft w:val="0"/>
      <w:marRight w:val="0"/>
      <w:marTop w:val="0"/>
      <w:marBottom w:val="0"/>
      <w:divBdr>
        <w:top w:val="none" w:sz="0" w:space="0" w:color="auto"/>
        <w:left w:val="none" w:sz="0" w:space="0" w:color="auto"/>
        <w:bottom w:val="none" w:sz="0" w:space="0" w:color="auto"/>
        <w:right w:val="none" w:sz="0" w:space="0" w:color="auto"/>
      </w:divBdr>
    </w:div>
    <w:div w:id="687410082">
      <w:bodyDiv w:val="1"/>
      <w:marLeft w:val="0"/>
      <w:marRight w:val="0"/>
      <w:marTop w:val="0"/>
      <w:marBottom w:val="0"/>
      <w:divBdr>
        <w:top w:val="none" w:sz="0" w:space="0" w:color="auto"/>
        <w:left w:val="none" w:sz="0" w:space="0" w:color="auto"/>
        <w:bottom w:val="none" w:sz="0" w:space="0" w:color="auto"/>
        <w:right w:val="none" w:sz="0" w:space="0" w:color="auto"/>
      </w:divBdr>
    </w:div>
    <w:div w:id="767383560">
      <w:bodyDiv w:val="1"/>
      <w:marLeft w:val="0"/>
      <w:marRight w:val="0"/>
      <w:marTop w:val="0"/>
      <w:marBottom w:val="0"/>
      <w:divBdr>
        <w:top w:val="none" w:sz="0" w:space="0" w:color="auto"/>
        <w:left w:val="none" w:sz="0" w:space="0" w:color="auto"/>
        <w:bottom w:val="none" w:sz="0" w:space="0" w:color="auto"/>
        <w:right w:val="none" w:sz="0" w:space="0" w:color="auto"/>
      </w:divBdr>
    </w:div>
    <w:div w:id="890118255">
      <w:bodyDiv w:val="1"/>
      <w:marLeft w:val="0"/>
      <w:marRight w:val="0"/>
      <w:marTop w:val="0"/>
      <w:marBottom w:val="0"/>
      <w:divBdr>
        <w:top w:val="none" w:sz="0" w:space="0" w:color="auto"/>
        <w:left w:val="none" w:sz="0" w:space="0" w:color="auto"/>
        <w:bottom w:val="none" w:sz="0" w:space="0" w:color="auto"/>
        <w:right w:val="none" w:sz="0" w:space="0" w:color="auto"/>
      </w:divBdr>
      <w:divsChild>
        <w:div w:id="688723107">
          <w:marLeft w:val="0"/>
          <w:marRight w:val="0"/>
          <w:marTop w:val="0"/>
          <w:marBottom w:val="0"/>
          <w:divBdr>
            <w:top w:val="none" w:sz="0" w:space="0" w:color="auto"/>
            <w:left w:val="none" w:sz="0" w:space="0" w:color="auto"/>
            <w:bottom w:val="none" w:sz="0" w:space="0" w:color="auto"/>
            <w:right w:val="none" w:sz="0" w:space="0" w:color="auto"/>
          </w:divBdr>
        </w:div>
      </w:divsChild>
    </w:div>
    <w:div w:id="1001079550">
      <w:bodyDiv w:val="1"/>
      <w:marLeft w:val="0"/>
      <w:marRight w:val="0"/>
      <w:marTop w:val="0"/>
      <w:marBottom w:val="0"/>
      <w:divBdr>
        <w:top w:val="none" w:sz="0" w:space="0" w:color="auto"/>
        <w:left w:val="none" w:sz="0" w:space="0" w:color="auto"/>
        <w:bottom w:val="none" w:sz="0" w:space="0" w:color="auto"/>
        <w:right w:val="none" w:sz="0" w:space="0" w:color="auto"/>
      </w:divBdr>
      <w:divsChild>
        <w:div w:id="1325889833">
          <w:marLeft w:val="0"/>
          <w:marRight w:val="0"/>
          <w:marTop w:val="0"/>
          <w:marBottom w:val="0"/>
          <w:divBdr>
            <w:top w:val="none" w:sz="0" w:space="0" w:color="auto"/>
            <w:left w:val="none" w:sz="0" w:space="0" w:color="auto"/>
            <w:bottom w:val="none" w:sz="0" w:space="0" w:color="auto"/>
            <w:right w:val="none" w:sz="0" w:space="0" w:color="auto"/>
          </w:divBdr>
        </w:div>
      </w:divsChild>
    </w:div>
    <w:div w:id="1148014431">
      <w:bodyDiv w:val="1"/>
      <w:marLeft w:val="0"/>
      <w:marRight w:val="0"/>
      <w:marTop w:val="0"/>
      <w:marBottom w:val="0"/>
      <w:divBdr>
        <w:top w:val="none" w:sz="0" w:space="0" w:color="auto"/>
        <w:left w:val="none" w:sz="0" w:space="0" w:color="auto"/>
        <w:bottom w:val="none" w:sz="0" w:space="0" w:color="auto"/>
        <w:right w:val="none" w:sz="0" w:space="0" w:color="auto"/>
      </w:divBdr>
    </w:div>
    <w:div w:id="1193570000">
      <w:bodyDiv w:val="1"/>
      <w:marLeft w:val="0"/>
      <w:marRight w:val="0"/>
      <w:marTop w:val="0"/>
      <w:marBottom w:val="0"/>
      <w:divBdr>
        <w:top w:val="none" w:sz="0" w:space="0" w:color="auto"/>
        <w:left w:val="none" w:sz="0" w:space="0" w:color="auto"/>
        <w:bottom w:val="none" w:sz="0" w:space="0" w:color="auto"/>
        <w:right w:val="none" w:sz="0" w:space="0" w:color="auto"/>
      </w:divBdr>
    </w:div>
    <w:div w:id="1350260269">
      <w:bodyDiv w:val="1"/>
      <w:marLeft w:val="0"/>
      <w:marRight w:val="0"/>
      <w:marTop w:val="0"/>
      <w:marBottom w:val="0"/>
      <w:divBdr>
        <w:top w:val="none" w:sz="0" w:space="0" w:color="auto"/>
        <w:left w:val="none" w:sz="0" w:space="0" w:color="auto"/>
        <w:bottom w:val="none" w:sz="0" w:space="0" w:color="auto"/>
        <w:right w:val="none" w:sz="0" w:space="0" w:color="auto"/>
      </w:divBdr>
    </w:div>
    <w:div w:id="1355379106">
      <w:bodyDiv w:val="1"/>
      <w:marLeft w:val="0"/>
      <w:marRight w:val="0"/>
      <w:marTop w:val="0"/>
      <w:marBottom w:val="0"/>
      <w:divBdr>
        <w:top w:val="none" w:sz="0" w:space="0" w:color="auto"/>
        <w:left w:val="none" w:sz="0" w:space="0" w:color="auto"/>
        <w:bottom w:val="none" w:sz="0" w:space="0" w:color="auto"/>
        <w:right w:val="none" w:sz="0" w:space="0" w:color="auto"/>
      </w:divBdr>
    </w:div>
    <w:div w:id="1596088568">
      <w:bodyDiv w:val="1"/>
      <w:marLeft w:val="0"/>
      <w:marRight w:val="0"/>
      <w:marTop w:val="0"/>
      <w:marBottom w:val="0"/>
      <w:divBdr>
        <w:top w:val="none" w:sz="0" w:space="0" w:color="auto"/>
        <w:left w:val="none" w:sz="0" w:space="0" w:color="auto"/>
        <w:bottom w:val="none" w:sz="0" w:space="0" w:color="auto"/>
        <w:right w:val="none" w:sz="0" w:space="0" w:color="auto"/>
      </w:divBdr>
    </w:div>
    <w:div w:id="1699961834">
      <w:bodyDiv w:val="1"/>
      <w:marLeft w:val="0"/>
      <w:marRight w:val="0"/>
      <w:marTop w:val="0"/>
      <w:marBottom w:val="0"/>
      <w:divBdr>
        <w:top w:val="none" w:sz="0" w:space="0" w:color="auto"/>
        <w:left w:val="none" w:sz="0" w:space="0" w:color="auto"/>
        <w:bottom w:val="none" w:sz="0" w:space="0" w:color="auto"/>
        <w:right w:val="none" w:sz="0" w:space="0" w:color="auto"/>
      </w:divBdr>
      <w:divsChild>
        <w:div w:id="897862747">
          <w:marLeft w:val="0"/>
          <w:marRight w:val="0"/>
          <w:marTop w:val="0"/>
          <w:marBottom w:val="0"/>
          <w:divBdr>
            <w:top w:val="none" w:sz="0" w:space="0" w:color="auto"/>
            <w:left w:val="none" w:sz="0" w:space="0" w:color="auto"/>
            <w:bottom w:val="none" w:sz="0" w:space="0" w:color="auto"/>
            <w:right w:val="none" w:sz="0" w:space="0" w:color="auto"/>
          </w:divBdr>
        </w:div>
      </w:divsChild>
    </w:div>
    <w:div w:id="17365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1AFE2-F536-4460-8E42-E2DD0474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1463</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Alanna.moraes</cp:lastModifiedBy>
  <cp:revision>7</cp:revision>
  <dcterms:created xsi:type="dcterms:W3CDTF">2023-04-27T15:52:00Z</dcterms:created>
  <dcterms:modified xsi:type="dcterms:W3CDTF">2023-04-28T16:29:00Z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