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2F7A4B66" w:rsidR="00AF0400" w:rsidRPr="008D26CE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 w:rsidRPr="008D26CE"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D189D" w:rsidRPr="008D26CE">
        <w:rPr>
          <w:sz w:val="32"/>
          <w:lang w:val="pt-BR"/>
        </w:rPr>
        <w:t>+</w:t>
      </w:r>
    </w:p>
    <w:p w14:paraId="5B9E8399" w14:textId="124B0A35" w:rsidR="00FD74ED" w:rsidRPr="008D26CE" w:rsidRDefault="006152EB" w:rsidP="00580C3F">
      <w:pPr>
        <w:pStyle w:val="BATitle"/>
        <w:spacing w:before="240" w:line="240" w:lineRule="auto"/>
        <w:ind w:right="-11"/>
        <w:jc w:val="both"/>
        <w:rPr>
          <w:sz w:val="32"/>
          <w:lang w:val="pt-BR"/>
        </w:rPr>
      </w:pPr>
      <w:r w:rsidRPr="008D26CE">
        <w:rPr>
          <w:sz w:val="32"/>
          <w:lang w:val="pt-BR"/>
        </w:rPr>
        <w:t>Avaliação do sistema Pt/H-ZSM5 para o</w:t>
      </w:r>
      <w:r w:rsidR="00580C3F" w:rsidRPr="008D26CE">
        <w:rPr>
          <w:sz w:val="32"/>
          <w:lang w:val="pt-BR"/>
        </w:rPr>
        <w:t xml:space="preserve">xidação </w:t>
      </w:r>
      <w:r w:rsidR="00FD74ED" w:rsidRPr="008D26CE">
        <w:rPr>
          <w:sz w:val="32"/>
          <w:lang w:val="pt-BR"/>
        </w:rPr>
        <w:t>de glicerol em sistema livre de base</w:t>
      </w:r>
      <w:r w:rsidR="00580C3F" w:rsidRPr="008D26CE">
        <w:rPr>
          <w:sz w:val="32"/>
          <w:lang w:val="pt-BR"/>
        </w:rPr>
        <w:t xml:space="preserve"> </w:t>
      </w:r>
    </w:p>
    <w:p w14:paraId="1B804493" w14:textId="679DEE54" w:rsidR="00EA4E1B" w:rsidRPr="008D26CE" w:rsidRDefault="000B3777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8D26CE">
        <w:rPr>
          <w:rFonts w:ascii="Times New Roman" w:hAnsi="Times New Roman"/>
          <w:sz w:val="20"/>
          <w:lang w:val="pt-BR"/>
        </w:rPr>
        <w:t>Julia Proença Reis</w:t>
      </w:r>
      <w:r w:rsidRPr="008D26CE">
        <w:rPr>
          <w:rFonts w:ascii="Times New Roman" w:hAnsi="Times New Roman"/>
          <w:sz w:val="20"/>
          <w:vertAlign w:val="superscript"/>
          <w:lang w:val="pt-BR"/>
        </w:rPr>
        <w:t>1</w:t>
      </w:r>
      <w:r w:rsidRPr="008D26CE">
        <w:rPr>
          <w:rFonts w:ascii="Times New Roman" w:hAnsi="Times New Roman"/>
          <w:sz w:val="20"/>
          <w:lang w:val="pt-BR"/>
        </w:rPr>
        <w:t>, Cesar Diaz Mendoza</w:t>
      </w:r>
      <w:r w:rsidRPr="008D26CE">
        <w:rPr>
          <w:rFonts w:ascii="Times New Roman" w:hAnsi="Times New Roman"/>
          <w:sz w:val="20"/>
          <w:vertAlign w:val="superscript"/>
          <w:lang w:val="pt-BR"/>
        </w:rPr>
        <w:t>2</w:t>
      </w:r>
      <w:r w:rsidRPr="008D26CE">
        <w:rPr>
          <w:rFonts w:ascii="Times New Roman" w:hAnsi="Times New Roman"/>
          <w:sz w:val="20"/>
          <w:lang w:val="pt-BR"/>
        </w:rPr>
        <w:t>, Carla M. Ramos</w:t>
      </w:r>
      <w:r w:rsidRPr="008D26CE">
        <w:rPr>
          <w:rFonts w:ascii="Times New Roman" w:hAnsi="Times New Roman"/>
          <w:sz w:val="20"/>
          <w:vertAlign w:val="superscript"/>
          <w:lang w:val="pt-BR"/>
        </w:rPr>
        <w:t>3</w:t>
      </w:r>
      <w:r w:rsidRPr="008D26CE">
        <w:rPr>
          <w:rFonts w:ascii="Times New Roman" w:hAnsi="Times New Roman"/>
          <w:sz w:val="20"/>
          <w:lang w:val="pt-BR"/>
        </w:rPr>
        <w:t xml:space="preserve">, </w:t>
      </w:r>
      <w:r w:rsidR="00C2475F" w:rsidRPr="008D26CE">
        <w:rPr>
          <w:rFonts w:ascii="Times New Roman" w:hAnsi="Times New Roman"/>
          <w:sz w:val="20"/>
          <w:lang w:val="pt-BR"/>
        </w:rPr>
        <w:t>Mariana M.V.M. Souza</w:t>
      </w:r>
      <w:r w:rsidR="00C2475F" w:rsidRPr="008D26CE">
        <w:rPr>
          <w:rFonts w:ascii="Times New Roman" w:hAnsi="Times New Roman"/>
          <w:sz w:val="20"/>
          <w:vertAlign w:val="superscript"/>
          <w:lang w:val="pt-BR"/>
        </w:rPr>
        <w:t>1</w:t>
      </w:r>
      <w:r w:rsidR="00C2475F" w:rsidRPr="008D26CE">
        <w:rPr>
          <w:rFonts w:ascii="Times New Roman" w:hAnsi="Times New Roman"/>
          <w:sz w:val="20"/>
          <w:lang w:val="pt-BR"/>
        </w:rPr>
        <w:t xml:space="preserve">, </w:t>
      </w:r>
      <w:r w:rsidR="00AE40E5" w:rsidRPr="008D26CE">
        <w:rPr>
          <w:rFonts w:ascii="Times New Roman" w:hAnsi="Times New Roman"/>
          <w:sz w:val="20"/>
          <w:lang w:val="pt-BR"/>
        </w:rPr>
        <w:t>Chaline Detoni</w:t>
      </w:r>
      <w:r w:rsidR="00AE40E5" w:rsidRPr="008D26CE">
        <w:rPr>
          <w:rFonts w:ascii="Times New Roman" w:hAnsi="Times New Roman"/>
          <w:sz w:val="20"/>
          <w:vertAlign w:val="superscript"/>
          <w:lang w:val="pt-BR"/>
        </w:rPr>
        <w:t>1*</w:t>
      </w:r>
    </w:p>
    <w:bookmarkEnd w:id="0"/>
    <w:p w14:paraId="4AEC6286" w14:textId="634CFA66" w:rsidR="000B3777" w:rsidRPr="008D26CE" w:rsidRDefault="000B3777" w:rsidP="00EA4E1B">
      <w:pPr>
        <w:pStyle w:val="BDAbstract"/>
        <w:spacing w:before="0" w:after="0" w:line="240" w:lineRule="auto"/>
        <w:rPr>
          <w:rFonts w:ascii="Times" w:hAnsi="Times"/>
          <w:b w:val="0"/>
          <w:i/>
          <w:color w:val="0070C0"/>
          <w:sz w:val="20"/>
          <w:lang w:val="pt-BR"/>
        </w:rPr>
      </w:pPr>
      <w:r w:rsidRPr="008D26CE">
        <w:rPr>
          <w:rFonts w:ascii="Times" w:hAnsi="Times"/>
          <w:b w:val="0"/>
          <w:i/>
          <w:sz w:val="20"/>
          <w:vertAlign w:val="superscript"/>
          <w:lang w:val="pt-BR"/>
        </w:rPr>
        <w:t xml:space="preserve">1 </w:t>
      </w:r>
      <w:r w:rsidRPr="008D26CE">
        <w:rPr>
          <w:rFonts w:ascii="Times" w:hAnsi="Times"/>
          <w:b w:val="0"/>
          <w:i/>
          <w:sz w:val="20"/>
          <w:lang w:val="pt-BR"/>
        </w:rPr>
        <w:t>Escola de Química, Universidade Federal do Rio de Janeiro, CT Bloco E, Cidade Universitária</w:t>
      </w:r>
      <w:r w:rsidR="00B35D27" w:rsidRPr="008D26CE">
        <w:rPr>
          <w:rFonts w:ascii="Times" w:hAnsi="Times"/>
          <w:b w:val="0"/>
          <w:i/>
          <w:sz w:val="20"/>
          <w:lang w:val="pt-BR"/>
        </w:rPr>
        <w:t>,</w:t>
      </w:r>
      <w:r w:rsidRPr="008D26CE">
        <w:rPr>
          <w:rFonts w:ascii="Times" w:hAnsi="Times"/>
          <w:b w:val="0"/>
          <w:i/>
          <w:sz w:val="20"/>
          <w:lang w:val="pt-BR"/>
        </w:rPr>
        <w:t xml:space="preserve"> Rio de Janeiro 21945-970, RJ, Brasil</w:t>
      </w:r>
      <w:r w:rsidRPr="008D26CE">
        <w:rPr>
          <w:rFonts w:ascii="Times" w:hAnsi="Times"/>
          <w:b w:val="0"/>
          <w:i/>
          <w:color w:val="0070C0"/>
          <w:sz w:val="20"/>
          <w:lang w:val="pt-BR"/>
        </w:rPr>
        <w:t xml:space="preserve">.   </w:t>
      </w:r>
      <w:hyperlink r:id="rId8" w:history="1">
        <w:r w:rsidRPr="008D26CE">
          <w:rPr>
            <w:rStyle w:val="Hyperlink"/>
            <w:rFonts w:ascii="Times" w:hAnsi="Times"/>
            <w:b w:val="0"/>
            <w:i/>
            <w:sz w:val="20"/>
            <w:lang w:val="pt-BR"/>
          </w:rPr>
          <w:t>*chalinedetoni@eq.ufrj.br</w:t>
        </w:r>
      </w:hyperlink>
    </w:p>
    <w:p w14:paraId="74198844" w14:textId="5A74000B" w:rsidR="000B3777" w:rsidRPr="008D26CE" w:rsidRDefault="000B3777" w:rsidP="00EA4E1B">
      <w:pPr>
        <w:pStyle w:val="BDAbstract"/>
        <w:spacing w:before="0" w:after="0" w:line="240" w:lineRule="auto"/>
        <w:rPr>
          <w:rFonts w:ascii="Times" w:hAnsi="Times"/>
          <w:b w:val="0"/>
          <w:i/>
          <w:sz w:val="20"/>
          <w:lang w:val="pt-BR"/>
        </w:rPr>
      </w:pPr>
      <w:r w:rsidRPr="008D26CE">
        <w:rPr>
          <w:rFonts w:ascii="Times" w:hAnsi="Times"/>
          <w:b w:val="0"/>
          <w:i/>
          <w:sz w:val="20"/>
          <w:vertAlign w:val="superscript"/>
          <w:lang w:val="pt-BR"/>
        </w:rPr>
        <w:t xml:space="preserve">2 </w:t>
      </w:r>
      <w:r w:rsidRPr="008D26CE">
        <w:rPr>
          <w:rFonts w:ascii="Times" w:hAnsi="Times"/>
          <w:b w:val="0"/>
          <w:i/>
          <w:sz w:val="20"/>
          <w:lang w:val="pt-BR"/>
        </w:rPr>
        <w:t>Departamento de Física, Pontifícia Universidade Católica do Rio de Janeiro, 22451-900 Rio de Janeiro, RJ, Brazil.</w:t>
      </w:r>
    </w:p>
    <w:p w14:paraId="46BC97E0" w14:textId="0730D71F" w:rsidR="000B3777" w:rsidRPr="008D26CE" w:rsidRDefault="000B3777" w:rsidP="00EA4E1B">
      <w:pPr>
        <w:pStyle w:val="BDAbstract"/>
        <w:spacing w:before="0" w:after="0" w:line="240" w:lineRule="auto"/>
        <w:rPr>
          <w:rFonts w:ascii="Times" w:hAnsi="Times"/>
          <w:b w:val="0"/>
          <w:i/>
          <w:color w:val="0070C0"/>
          <w:sz w:val="20"/>
          <w:lang w:val="pt-BR"/>
        </w:rPr>
      </w:pPr>
      <w:r w:rsidRPr="008D26CE">
        <w:rPr>
          <w:rFonts w:ascii="Times" w:hAnsi="Times"/>
          <w:b w:val="0"/>
          <w:i/>
          <w:sz w:val="20"/>
          <w:vertAlign w:val="superscript"/>
          <w:lang w:val="pt-BR"/>
        </w:rPr>
        <w:t xml:space="preserve">3 </w:t>
      </w:r>
      <w:r w:rsidR="00B35D27" w:rsidRPr="008D26CE">
        <w:rPr>
          <w:rFonts w:ascii="Times" w:hAnsi="Times"/>
          <w:b w:val="0"/>
          <w:i/>
          <w:sz w:val="20"/>
          <w:lang w:val="pt-BR"/>
        </w:rPr>
        <w:t>Instituto Nacional de Tecnologia – Av. Venezuela, 82, Praça Mauá, Rio de Janeiro 20081-312, RJ.</w:t>
      </w:r>
    </w:p>
    <w:p w14:paraId="238E7EC1" w14:textId="7CB94DAF" w:rsidR="00AF0400" w:rsidRPr="008D26CE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D26CE"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697AD218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697AD218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Pr="008D26CE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24DA9651" w14:textId="048B3E35" w:rsidR="002A0CE5" w:rsidRPr="008D26CE" w:rsidRDefault="00EA4E1B" w:rsidP="00EA4E1B">
      <w:pPr>
        <w:pStyle w:val="BDAbstract"/>
        <w:spacing w:before="0" w:after="0" w:line="240" w:lineRule="auto"/>
        <w:rPr>
          <w:rFonts w:ascii="Times" w:hAnsi="Times" w:cs="Times"/>
          <w:bCs/>
          <w:sz w:val="20"/>
          <w:lang w:val="pt-BR"/>
        </w:rPr>
      </w:pPr>
      <w:r w:rsidRPr="008D26CE"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8D7946" w:rsidRPr="008D26CE">
        <w:rPr>
          <w:rFonts w:ascii="Times New Roman" w:hAnsi="Times New Roman"/>
          <w:b w:val="0"/>
          <w:sz w:val="20"/>
          <w:lang w:val="pt-BR"/>
        </w:rPr>
        <w:t>–</w:t>
      </w:r>
      <w:r w:rsidRPr="008D26CE">
        <w:rPr>
          <w:rFonts w:ascii="Times New Roman" w:hAnsi="Times New Roman"/>
          <w:b w:val="0"/>
          <w:sz w:val="20"/>
          <w:lang w:val="pt-BR"/>
        </w:rPr>
        <w:t xml:space="preserve"> </w:t>
      </w:r>
      <w:r w:rsidR="008D7946" w:rsidRPr="008D26CE">
        <w:rPr>
          <w:rFonts w:ascii="Times New Roman" w:hAnsi="Times New Roman"/>
          <w:b w:val="0"/>
          <w:sz w:val="20"/>
          <w:lang w:val="pt-BR"/>
        </w:rPr>
        <w:t xml:space="preserve">Catalisadores de </w:t>
      </w:r>
      <w:r w:rsidR="00636EE5" w:rsidRPr="008D26CE">
        <w:rPr>
          <w:rFonts w:ascii="Times New Roman" w:hAnsi="Times New Roman"/>
          <w:b w:val="0"/>
          <w:sz w:val="20"/>
          <w:lang w:val="pt-BR"/>
        </w:rPr>
        <w:t xml:space="preserve">Pt suportada em </w:t>
      </w:r>
      <w:r w:rsidR="008D7946" w:rsidRPr="008D26CE">
        <w:rPr>
          <w:rFonts w:ascii="Times New Roman" w:hAnsi="Times New Roman"/>
          <w:b w:val="0"/>
          <w:sz w:val="20"/>
          <w:lang w:val="pt-BR"/>
        </w:rPr>
        <w:t xml:space="preserve">uma zeólita </w:t>
      </w:r>
      <w:r w:rsidR="00636EE5" w:rsidRPr="008D26CE">
        <w:rPr>
          <w:rFonts w:ascii="Times New Roman" w:hAnsi="Times New Roman"/>
          <w:b w:val="0"/>
          <w:sz w:val="20"/>
          <w:lang w:val="pt-BR"/>
        </w:rPr>
        <w:t>HZSM-5 comercial (CBV-8014 – Zeolyst - SiO</w:t>
      </w:r>
      <w:r w:rsidR="00636EE5" w:rsidRPr="008D26CE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636EE5" w:rsidRPr="008D26CE">
        <w:rPr>
          <w:rFonts w:ascii="Times New Roman" w:hAnsi="Times New Roman"/>
          <w:b w:val="0"/>
          <w:sz w:val="20"/>
          <w:lang w:val="pt-BR"/>
        </w:rPr>
        <w:t>/Al</w:t>
      </w:r>
      <w:r w:rsidR="00636EE5" w:rsidRPr="008D26CE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636EE5" w:rsidRPr="008D26CE">
        <w:rPr>
          <w:rFonts w:ascii="Times New Roman" w:hAnsi="Times New Roman"/>
          <w:b w:val="0"/>
          <w:sz w:val="20"/>
          <w:lang w:val="pt-BR"/>
        </w:rPr>
        <w:t>O</w:t>
      </w:r>
      <w:r w:rsidR="00636EE5" w:rsidRPr="008D26CE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636EE5" w:rsidRPr="008D26CE">
        <w:rPr>
          <w:rFonts w:ascii="Times New Roman" w:hAnsi="Times New Roman"/>
          <w:b w:val="0"/>
          <w:sz w:val="20"/>
          <w:lang w:val="pt-BR"/>
        </w:rPr>
        <w:t>=80) fo</w:t>
      </w:r>
      <w:r w:rsidR="008D7946" w:rsidRPr="008D26CE">
        <w:rPr>
          <w:rFonts w:ascii="Times New Roman" w:hAnsi="Times New Roman"/>
          <w:b w:val="0"/>
          <w:sz w:val="20"/>
          <w:lang w:val="pt-BR"/>
        </w:rPr>
        <w:t>ram</w:t>
      </w:r>
      <w:r w:rsidR="00636EE5" w:rsidRPr="008D26CE">
        <w:rPr>
          <w:rFonts w:ascii="Times New Roman" w:hAnsi="Times New Roman"/>
          <w:b w:val="0"/>
          <w:sz w:val="20"/>
          <w:lang w:val="pt-BR"/>
        </w:rPr>
        <w:t xml:space="preserve"> preparad</w:t>
      </w:r>
      <w:r w:rsidR="008D7946" w:rsidRPr="008D26CE">
        <w:rPr>
          <w:rFonts w:ascii="Times New Roman" w:hAnsi="Times New Roman"/>
          <w:b w:val="0"/>
          <w:sz w:val="20"/>
          <w:lang w:val="pt-BR"/>
        </w:rPr>
        <w:t>os</w:t>
      </w:r>
      <w:r w:rsidR="00636EE5" w:rsidRPr="008D26CE">
        <w:rPr>
          <w:rFonts w:ascii="Times New Roman" w:hAnsi="Times New Roman"/>
          <w:b w:val="0"/>
          <w:sz w:val="20"/>
          <w:lang w:val="pt-BR"/>
        </w:rPr>
        <w:t xml:space="preserve"> por impregnação a seco e a decomposição do precursor d</w:t>
      </w:r>
      <w:r w:rsidR="002A0CE5" w:rsidRPr="008D26CE">
        <w:rPr>
          <w:rFonts w:ascii="Times New Roman" w:hAnsi="Times New Roman"/>
          <w:b w:val="0"/>
          <w:sz w:val="20"/>
          <w:lang w:val="pt-BR"/>
        </w:rPr>
        <w:t>e</w:t>
      </w:r>
      <w:r w:rsidR="00636EE5" w:rsidRPr="008D26CE">
        <w:rPr>
          <w:rFonts w:ascii="Times New Roman" w:hAnsi="Times New Roman"/>
          <w:b w:val="0"/>
          <w:sz w:val="20"/>
          <w:lang w:val="pt-BR"/>
        </w:rPr>
        <w:t xml:space="preserve"> Pt foi realizada em atmosfera de H</w:t>
      </w:r>
      <w:r w:rsidR="00636EE5" w:rsidRPr="008D26CE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636EE5" w:rsidRPr="008D26CE">
        <w:rPr>
          <w:rFonts w:ascii="Times New Roman" w:hAnsi="Times New Roman"/>
          <w:b w:val="0"/>
          <w:sz w:val="20"/>
          <w:lang w:val="pt-BR"/>
        </w:rPr>
        <w:t>/N</w:t>
      </w:r>
      <w:r w:rsidR="00636EE5" w:rsidRPr="008D26CE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636EE5" w:rsidRPr="008D26CE">
        <w:rPr>
          <w:rFonts w:ascii="Times New Roman" w:hAnsi="Times New Roman"/>
          <w:b w:val="0"/>
          <w:sz w:val="20"/>
          <w:lang w:val="pt-BR"/>
        </w:rPr>
        <w:t xml:space="preserve">. </w:t>
      </w:r>
      <w:r w:rsidR="008D7946" w:rsidRPr="008D26CE">
        <w:rPr>
          <w:rFonts w:ascii="Times New Roman" w:hAnsi="Times New Roman"/>
          <w:b w:val="0"/>
          <w:sz w:val="20"/>
          <w:lang w:val="pt-BR"/>
        </w:rPr>
        <w:t>Catalisadores ativos</w:t>
      </w:r>
      <w:r w:rsidR="00636EE5" w:rsidRPr="008D26CE">
        <w:rPr>
          <w:rFonts w:ascii="Times New Roman" w:hAnsi="Times New Roman"/>
          <w:b w:val="0"/>
          <w:sz w:val="20"/>
          <w:lang w:val="pt-BR"/>
        </w:rPr>
        <w:t xml:space="preserve"> foram obtid</w:t>
      </w:r>
      <w:r w:rsidR="002A0CE5" w:rsidRPr="008D26CE">
        <w:rPr>
          <w:rFonts w:ascii="Times New Roman" w:hAnsi="Times New Roman"/>
          <w:b w:val="0"/>
          <w:sz w:val="20"/>
          <w:lang w:val="pt-BR"/>
        </w:rPr>
        <w:t>o</w:t>
      </w:r>
      <w:r w:rsidR="00636EE5" w:rsidRPr="008D26CE">
        <w:rPr>
          <w:rFonts w:ascii="Times New Roman" w:hAnsi="Times New Roman"/>
          <w:b w:val="0"/>
          <w:sz w:val="20"/>
          <w:lang w:val="pt-BR"/>
        </w:rPr>
        <w:t>s usando uma metodologia de síntese barata e pouco sofisticada. Os catalisadores foram testados na oxidação do glicerol e após o primeiro ciclo de reação, os catalisadores tornaram-se mais ativos devido à redispersão da Pt presa nos microporos</w:t>
      </w:r>
      <w:r w:rsidR="002A0CE5" w:rsidRPr="008D26CE">
        <w:rPr>
          <w:rFonts w:ascii="Times New Roman" w:hAnsi="Times New Roman"/>
          <w:b w:val="0"/>
          <w:sz w:val="20"/>
          <w:lang w:val="pt-BR"/>
        </w:rPr>
        <w:t xml:space="preserve">, além disso, </w:t>
      </w:r>
      <w:r w:rsidR="00C2475F" w:rsidRPr="008D26CE">
        <w:rPr>
          <w:rFonts w:ascii="Times New Roman" w:hAnsi="Times New Roman"/>
          <w:b w:val="0"/>
          <w:sz w:val="20"/>
          <w:lang w:val="pt-BR"/>
        </w:rPr>
        <w:t>a</w:t>
      </w:r>
      <w:r w:rsidR="00636EE5" w:rsidRPr="008D26CE">
        <w:rPr>
          <w:rFonts w:ascii="Times New Roman" w:hAnsi="Times New Roman"/>
          <w:b w:val="0"/>
          <w:sz w:val="20"/>
          <w:lang w:val="pt-BR"/>
        </w:rPr>
        <w:t xml:space="preserve"> menor acidez </w:t>
      </w:r>
      <w:r w:rsidR="002A0CE5" w:rsidRPr="008D26CE">
        <w:rPr>
          <w:rFonts w:ascii="Times New Roman" w:hAnsi="Times New Roman"/>
          <w:b w:val="0"/>
          <w:sz w:val="20"/>
          <w:lang w:val="pt-BR"/>
        </w:rPr>
        <w:t xml:space="preserve">total </w:t>
      </w:r>
      <w:r w:rsidR="00636EE5" w:rsidRPr="008D26CE">
        <w:rPr>
          <w:rFonts w:ascii="Times New Roman" w:hAnsi="Times New Roman"/>
          <w:b w:val="0"/>
          <w:sz w:val="20"/>
          <w:lang w:val="pt-BR"/>
        </w:rPr>
        <w:t>do catalisador u</w:t>
      </w:r>
      <w:r w:rsidR="002A0CE5" w:rsidRPr="008D26CE">
        <w:rPr>
          <w:rFonts w:ascii="Times New Roman" w:hAnsi="Times New Roman"/>
          <w:b w:val="0"/>
          <w:sz w:val="20"/>
          <w:lang w:val="pt-BR"/>
        </w:rPr>
        <w:t>sado</w:t>
      </w:r>
      <w:r w:rsidR="00636EE5" w:rsidRPr="008D26CE">
        <w:rPr>
          <w:rFonts w:ascii="Times New Roman" w:hAnsi="Times New Roman"/>
          <w:b w:val="0"/>
          <w:sz w:val="20"/>
          <w:lang w:val="pt-BR"/>
        </w:rPr>
        <w:t xml:space="preserve"> favoreceu o balanço de carbono. Conversão de glicerol &gt;84% com seletividade de </w:t>
      </w:r>
      <w:r w:rsidR="00C2475F" w:rsidRPr="008D26CE">
        <w:rPr>
          <w:rFonts w:ascii="Times New Roman" w:hAnsi="Times New Roman"/>
          <w:b w:val="0"/>
          <w:sz w:val="20"/>
          <w:lang w:val="pt-BR"/>
        </w:rPr>
        <w:t>d</w:t>
      </w:r>
      <w:r w:rsidR="00636EE5" w:rsidRPr="008D26CE">
        <w:rPr>
          <w:rFonts w:ascii="Times New Roman" w:hAnsi="Times New Roman"/>
          <w:b w:val="0"/>
          <w:sz w:val="20"/>
          <w:lang w:val="pt-BR"/>
        </w:rPr>
        <w:t>iidroxiacetona (DHA) de 3</w:t>
      </w:r>
      <w:r w:rsidR="002A0CE5" w:rsidRPr="008D26CE">
        <w:rPr>
          <w:rFonts w:ascii="Times New Roman" w:hAnsi="Times New Roman"/>
          <w:b w:val="0"/>
          <w:sz w:val="20"/>
          <w:lang w:val="pt-BR"/>
        </w:rPr>
        <w:t>4</w:t>
      </w:r>
      <w:r w:rsidR="00636EE5" w:rsidRPr="008D26CE">
        <w:rPr>
          <w:rFonts w:ascii="Times New Roman" w:hAnsi="Times New Roman"/>
          <w:b w:val="0"/>
          <w:sz w:val="20"/>
          <w:lang w:val="pt-BR"/>
        </w:rPr>
        <w:t>% a 60°C foi alcançada após 4 horas, com catalisador</w:t>
      </w:r>
      <w:r w:rsidR="003E3012" w:rsidRPr="008D26CE">
        <w:rPr>
          <w:rFonts w:ascii="Times New Roman" w:hAnsi="Times New Roman"/>
          <w:b w:val="0"/>
          <w:sz w:val="20"/>
          <w:lang w:val="pt-BR"/>
        </w:rPr>
        <w:t xml:space="preserve"> calcinado a 150°C e usado em um ciclo de reação (</w:t>
      </w:r>
      <w:r w:rsidR="002A0CE5" w:rsidRPr="008D26CE">
        <w:rPr>
          <w:rFonts w:ascii="Times New Roman" w:hAnsi="Times New Roman"/>
          <w:b w:val="0"/>
          <w:sz w:val="20"/>
          <w:lang w:val="pt-BR"/>
        </w:rPr>
        <w:t xml:space="preserve"> 3Pt/HZSM-5_150_u</w:t>
      </w:r>
      <w:r w:rsidR="003E3012" w:rsidRPr="008D26CE">
        <w:rPr>
          <w:rFonts w:ascii="Times New Roman" w:hAnsi="Times New Roman"/>
          <w:b w:val="0"/>
          <w:sz w:val="20"/>
          <w:lang w:val="pt-BR"/>
        </w:rPr>
        <w:t>)</w:t>
      </w:r>
      <w:r w:rsidR="002A0CE5" w:rsidRPr="008D26CE">
        <w:rPr>
          <w:rFonts w:ascii="Times New Roman" w:hAnsi="Times New Roman"/>
          <w:b w:val="0"/>
          <w:sz w:val="20"/>
          <w:lang w:val="pt-BR"/>
        </w:rPr>
        <w:t>.</w:t>
      </w:r>
    </w:p>
    <w:p w14:paraId="445EBFD0" w14:textId="1F4E95EE" w:rsidR="00B71DAA" w:rsidRPr="008D26CE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8D26CE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B71DAA" w:rsidRPr="008D26CE">
        <w:rPr>
          <w:rFonts w:ascii="Times New Roman" w:hAnsi="Times New Roman"/>
          <w:b w:val="0"/>
          <w:i/>
          <w:sz w:val="20"/>
          <w:lang w:val="pt-BR"/>
        </w:rPr>
        <w:t>Glicerol, oxidação, acidez, microporos, platina</w:t>
      </w:r>
    </w:p>
    <w:p w14:paraId="5D8D4445" w14:textId="11D77547" w:rsidR="00EA4E1B" w:rsidRPr="008D26CE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2CBB3ADE" w14:textId="77AEF5B7" w:rsidR="002A0CE5" w:rsidRPr="008D26CE" w:rsidRDefault="00EA4E1B" w:rsidP="002A0CE5">
      <w:pPr>
        <w:pStyle w:val="BDAbstract"/>
        <w:spacing w:before="0" w:after="0" w:line="240" w:lineRule="auto"/>
        <w:rPr>
          <w:rFonts w:ascii="Times" w:hAnsi="Times" w:cs="Times"/>
          <w:bCs/>
          <w:sz w:val="20"/>
        </w:rPr>
      </w:pPr>
      <w:r w:rsidRPr="008D26CE">
        <w:rPr>
          <w:rFonts w:ascii="Times New Roman" w:hAnsi="Times New Roman"/>
          <w:b w:val="0"/>
          <w:sz w:val="20"/>
        </w:rPr>
        <w:t>ABSTRACT</w:t>
      </w:r>
      <w:r w:rsidR="00321B37" w:rsidRPr="008D26CE">
        <w:rPr>
          <w:rFonts w:ascii="Times New Roman" w:hAnsi="Times New Roman"/>
          <w:b w:val="0"/>
          <w:sz w:val="20"/>
        </w:rPr>
        <w:t xml:space="preserve"> -</w:t>
      </w:r>
      <w:r w:rsidRPr="008D26CE">
        <w:rPr>
          <w:rFonts w:ascii="Times New Roman" w:hAnsi="Times New Roman"/>
          <w:b w:val="0"/>
          <w:sz w:val="20"/>
        </w:rPr>
        <w:t xml:space="preserve"> </w:t>
      </w:r>
      <w:r w:rsidR="00321B37" w:rsidRPr="008D26CE">
        <w:rPr>
          <w:rFonts w:ascii="Times New Roman" w:hAnsi="Times New Roman"/>
          <w:b w:val="0"/>
          <w:sz w:val="20"/>
        </w:rPr>
        <w:t>Pt supported on commercial HZSM-5 (CBV-8014 – Zeolyst - SiO2/Al2O3=80) was prepared by dry impregnation and the Pt precursor decomposition was performed in H</w:t>
      </w:r>
      <w:r w:rsidR="00321B37" w:rsidRPr="008D26CE">
        <w:rPr>
          <w:rFonts w:ascii="Times New Roman" w:hAnsi="Times New Roman"/>
          <w:b w:val="0"/>
          <w:sz w:val="20"/>
          <w:vertAlign w:val="subscript"/>
        </w:rPr>
        <w:t>2</w:t>
      </w:r>
      <w:r w:rsidR="00321B37" w:rsidRPr="008D26CE">
        <w:rPr>
          <w:rFonts w:ascii="Times New Roman" w:hAnsi="Times New Roman"/>
          <w:b w:val="0"/>
          <w:sz w:val="20"/>
        </w:rPr>
        <w:t>/N</w:t>
      </w:r>
      <w:r w:rsidR="00321B37" w:rsidRPr="008D26CE">
        <w:rPr>
          <w:rFonts w:ascii="Times New Roman" w:hAnsi="Times New Roman"/>
          <w:b w:val="0"/>
          <w:sz w:val="20"/>
          <w:vertAlign w:val="subscript"/>
        </w:rPr>
        <w:t>2</w:t>
      </w:r>
      <w:r w:rsidR="00321B37" w:rsidRPr="008D26CE">
        <w:rPr>
          <w:rFonts w:ascii="Times New Roman" w:hAnsi="Times New Roman"/>
          <w:b w:val="0"/>
          <w:sz w:val="20"/>
        </w:rPr>
        <w:t xml:space="preserve"> atmosphere. </w:t>
      </w:r>
      <w:r w:rsidR="008D7946" w:rsidRPr="008D26CE">
        <w:rPr>
          <w:rFonts w:ascii="Times New Roman" w:hAnsi="Times New Roman"/>
          <w:b w:val="0"/>
          <w:sz w:val="20"/>
        </w:rPr>
        <w:t>Active catalysts</w:t>
      </w:r>
      <w:r w:rsidR="00321B37" w:rsidRPr="008D26CE">
        <w:rPr>
          <w:rFonts w:ascii="Times New Roman" w:hAnsi="Times New Roman"/>
          <w:b w:val="0"/>
          <w:sz w:val="20"/>
        </w:rPr>
        <w:t xml:space="preserve"> were obtained using a non-expensive and unsophisticated synthesis methodology. Catalysts were testes in glycerol oxidation and after the first reaction cycle, catalysts </w:t>
      </w:r>
      <w:r w:rsidR="006E36B5" w:rsidRPr="008D26CE">
        <w:rPr>
          <w:rFonts w:ascii="Times New Roman" w:hAnsi="Times New Roman"/>
          <w:b w:val="0"/>
          <w:sz w:val="20"/>
        </w:rPr>
        <w:t xml:space="preserve">have become </w:t>
      </w:r>
      <w:r w:rsidR="00321B37" w:rsidRPr="008D26CE">
        <w:rPr>
          <w:rFonts w:ascii="Times New Roman" w:hAnsi="Times New Roman"/>
          <w:b w:val="0"/>
          <w:sz w:val="20"/>
        </w:rPr>
        <w:t>more active</w:t>
      </w:r>
      <w:r w:rsidR="00B71DAA" w:rsidRPr="008D26CE">
        <w:rPr>
          <w:rFonts w:ascii="Times New Roman" w:hAnsi="Times New Roman"/>
          <w:b w:val="0"/>
          <w:sz w:val="20"/>
        </w:rPr>
        <w:t xml:space="preserve"> due to the redispersion of Pt trapped into the micropores</w:t>
      </w:r>
      <w:r w:rsidR="00321B37" w:rsidRPr="008D26CE">
        <w:rPr>
          <w:rFonts w:ascii="Times New Roman" w:hAnsi="Times New Roman"/>
          <w:b w:val="0"/>
          <w:sz w:val="20"/>
        </w:rPr>
        <w:t>.</w:t>
      </w:r>
      <w:r w:rsidR="00B71DAA" w:rsidRPr="008D26CE">
        <w:rPr>
          <w:rFonts w:ascii="Times New Roman" w:hAnsi="Times New Roman"/>
          <w:b w:val="0"/>
          <w:sz w:val="20"/>
        </w:rPr>
        <w:t xml:space="preserve"> Lower acidity of the used catalyst favored carbon balance. Gl</w:t>
      </w:r>
      <w:r w:rsidR="00321B37" w:rsidRPr="008D26CE">
        <w:rPr>
          <w:rFonts w:ascii="Times New Roman" w:hAnsi="Times New Roman"/>
          <w:b w:val="0"/>
          <w:sz w:val="20"/>
        </w:rPr>
        <w:t>ycerol conversion</w:t>
      </w:r>
      <w:r w:rsidR="00B71DAA" w:rsidRPr="008D26CE">
        <w:rPr>
          <w:rFonts w:ascii="Times New Roman" w:hAnsi="Times New Roman"/>
          <w:b w:val="0"/>
          <w:sz w:val="20"/>
        </w:rPr>
        <w:t xml:space="preserve"> </w:t>
      </w:r>
      <w:r w:rsidR="00321B37" w:rsidRPr="008D26CE">
        <w:rPr>
          <w:rFonts w:ascii="Times New Roman" w:hAnsi="Times New Roman"/>
          <w:b w:val="0"/>
          <w:sz w:val="20"/>
        </w:rPr>
        <w:t>&gt;84% with Dihydroxyacetone</w:t>
      </w:r>
      <w:r w:rsidR="006E36B5" w:rsidRPr="008D26CE">
        <w:rPr>
          <w:rFonts w:ascii="Times New Roman" w:hAnsi="Times New Roman"/>
          <w:b w:val="0"/>
          <w:sz w:val="20"/>
        </w:rPr>
        <w:t xml:space="preserve"> (DHA)</w:t>
      </w:r>
      <w:r w:rsidR="00321B37" w:rsidRPr="008D26CE">
        <w:rPr>
          <w:rFonts w:ascii="Times New Roman" w:hAnsi="Times New Roman"/>
          <w:b w:val="0"/>
          <w:sz w:val="20"/>
        </w:rPr>
        <w:t xml:space="preserve"> selectivity of 3</w:t>
      </w:r>
      <w:r w:rsidR="002A0CE5" w:rsidRPr="008D26CE">
        <w:rPr>
          <w:rFonts w:ascii="Times New Roman" w:hAnsi="Times New Roman"/>
          <w:b w:val="0"/>
          <w:sz w:val="20"/>
        </w:rPr>
        <w:t>4</w:t>
      </w:r>
      <w:r w:rsidR="00321B37" w:rsidRPr="008D26CE">
        <w:rPr>
          <w:rFonts w:ascii="Times New Roman" w:hAnsi="Times New Roman"/>
          <w:b w:val="0"/>
          <w:sz w:val="20"/>
        </w:rPr>
        <w:t>% at 60°C were reached after 4 hours, with</w:t>
      </w:r>
      <w:r w:rsidR="003E3012" w:rsidRPr="008D26CE">
        <w:rPr>
          <w:rFonts w:ascii="Times New Roman" w:hAnsi="Times New Roman"/>
          <w:b w:val="0"/>
          <w:sz w:val="20"/>
        </w:rPr>
        <w:t xml:space="preserve"> catalyst </w:t>
      </w:r>
      <w:r w:rsidR="00321B37" w:rsidRPr="008D26CE">
        <w:rPr>
          <w:rFonts w:ascii="Times New Roman" w:hAnsi="Times New Roman"/>
          <w:b w:val="0"/>
          <w:sz w:val="20"/>
        </w:rPr>
        <w:t xml:space="preserve"> </w:t>
      </w:r>
      <w:r w:rsidR="003E3012" w:rsidRPr="008D26CE">
        <w:rPr>
          <w:rFonts w:ascii="Times New Roman" w:hAnsi="Times New Roman"/>
          <w:b w:val="0"/>
          <w:sz w:val="20"/>
        </w:rPr>
        <w:t>calcined at 150°C and used in one cycle of the reaction (</w:t>
      </w:r>
      <w:r w:rsidR="002A0CE5" w:rsidRPr="008D26CE">
        <w:rPr>
          <w:rFonts w:ascii="Times New Roman" w:hAnsi="Times New Roman"/>
          <w:b w:val="0"/>
          <w:sz w:val="20"/>
        </w:rPr>
        <w:t>3Pt/HZSM-5_150_u</w:t>
      </w:r>
      <w:r w:rsidR="003E3012" w:rsidRPr="008D26CE">
        <w:rPr>
          <w:rFonts w:ascii="Times New Roman" w:hAnsi="Times New Roman"/>
          <w:b w:val="0"/>
          <w:sz w:val="20"/>
        </w:rPr>
        <w:t>)</w:t>
      </w:r>
      <w:r w:rsidR="002A0CE5" w:rsidRPr="008D26CE">
        <w:rPr>
          <w:rFonts w:ascii="Times New Roman" w:hAnsi="Times New Roman"/>
          <w:b w:val="0"/>
          <w:sz w:val="20"/>
        </w:rPr>
        <w:t>.</w:t>
      </w:r>
    </w:p>
    <w:p w14:paraId="0F80E7D5" w14:textId="0E833FFC" w:rsidR="00EA4E1B" w:rsidRPr="008D26CE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</w:p>
    <w:p w14:paraId="5F4A84E8" w14:textId="66C8AAF4" w:rsidR="00EA4E1B" w:rsidRPr="008D26CE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8D26CE">
        <w:rPr>
          <w:rFonts w:ascii="Times New Roman" w:hAnsi="Times New Roman"/>
          <w:b w:val="0"/>
          <w:i/>
          <w:sz w:val="20"/>
        </w:rPr>
        <w:t xml:space="preserve">Keywords: </w:t>
      </w:r>
      <w:r w:rsidR="00B71DAA" w:rsidRPr="008D26CE">
        <w:rPr>
          <w:rFonts w:ascii="Times New Roman" w:hAnsi="Times New Roman"/>
          <w:b w:val="0"/>
          <w:i/>
          <w:sz w:val="20"/>
        </w:rPr>
        <w:t xml:space="preserve">Glycerol, </w:t>
      </w:r>
      <w:r w:rsidR="00C2475F" w:rsidRPr="008D26CE">
        <w:rPr>
          <w:rFonts w:ascii="Times New Roman" w:hAnsi="Times New Roman"/>
          <w:b w:val="0"/>
          <w:i/>
          <w:sz w:val="20"/>
        </w:rPr>
        <w:t>o</w:t>
      </w:r>
      <w:r w:rsidR="00B71DAA" w:rsidRPr="008D26CE">
        <w:rPr>
          <w:rFonts w:ascii="Times New Roman" w:hAnsi="Times New Roman"/>
          <w:b w:val="0"/>
          <w:i/>
          <w:sz w:val="20"/>
        </w:rPr>
        <w:t>xidation, acidity, micropores, platinum.</w:t>
      </w:r>
    </w:p>
    <w:bookmarkEnd w:id="1"/>
    <w:p w14:paraId="48D9B0C4" w14:textId="77777777" w:rsidR="00EA4E1B" w:rsidRPr="008D26CE" w:rsidRDefault="00EA4E1B" w:rsidP="00EA4E1B">
      <w:pPr>
        <w:rPr>
          <w:lang w:val="en-US"/>
        </w:rPr>
        <w:sectPr w:rsidR="00EA4E1B" w:rsidRPr="008D26CE" w:rsidSect="00EA4E1B">
          <w:head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8D26CE" w:rsidRDefault="00EA4E1B" w:rsidP="00716295">
      <w:pPr>
        <w:pStyle w:val="Ttulo2"/>
        <w:spacing w:before="0" w:after="0"/>
        <w:rPr>
          <w:rFonts w:ascii="Helvetica" w:hAnsi="Helvetica" w:cs="Helvetica"/>
          <w:sz w:val="24"/>
          <w:szCs w:val="24"/>
        </w:rPr>
      </w:pPr>
      <w:r w:rsidRPr="008D26CE">
        <w:rPr>
          <w:rFonts w:ascii="Helvetica" w:hAnsi="Helvetica" w:cs="Helvetica"/>
          <w:sz w:val="24"/>
          <w:szCs w:val="24"/>
        </w:rPr>
        <w:t>Introdução</w:t>
      </w:r>
    </w:p>
    <w:p w14:paraId="148AB90B" w14:textId="3FC48CD1" w:rsidR="00E64B3D" w:rsidRPr="008D26CE" w:rsidRDefault="0064791E" w:rsidP="00716295">
      <w:pPr>
        <w:pStyle w:val="TAMainText"/>
        <w:spacing w:line="240" w:lineRule="auto"/>
        <w:ind w:firstLine="170"/>
        <w:rPr>
          <w:rFonts w:ascii="Times New Roman" w:hAnsi="Times New Roman"/>
          <w:lang w:val="pt-BR"/>
        </w:rPr>
      </w:pPr>
      <w:r w:rsidRPr="008D26CE">
        <w:rPr>
          <w:rFonts w:ascii="Times New Roman" w:hAnsi="Times New Roman"/>
          <w:lang w:val="pt-BR"/>
        </w:rPr>
        <w:t>O esgotamento dos recursos fósseis apesar de lento é inevitável e a instabilidade política</w:t>
      </w:r>
      <w:r w:rsidR="00B5332F" w:rsidRPr="008D26CE">
        <w:rPr>
          <w:rFonts w:ascii="Times New Roman" w:hAnsi="Times New Roman"/>
          <w:lang w:val="pt-BR"/>
        </w:rPr>
        <w:t xml:space="preserve"> em algumas</w:t>
      </w:r>
      <w:r w:rsidRPr="008D26CE">
        <w:rPr>
          <w:rFonts w:ascii="Times New Roman" w:hAnsi="Times New Roman"/>
          <w:lang w:val="pt-BR"/>
        </w:rPr>
        <w:t xml:space="preserve"> das regiões produtoras, somadas às políticas ambientais cada vez mais presentes e restritivas, tem encorajado a promoção e uso de energias renováveis. Além disso, a substituição de matérias primas fósseis</w:t>
      </w:r>
      <w:r w:rsidR="009B3596" w:rsidRPr="008D26CE">
        <w:rPr>
          <w:rFonts w:ascii="Times New Roman" w:hAnsi="Times New Roman"/>
          <w:lang w:val="pt-BR"/>
        </w:rPr>
        <w:t>,</w:t>
      </w:r>
      <w:r w:rsidRPr="008D26CE">
        <w:rPr>
          <w:rFonts w:ascii="Times New Roman" w:hAnsi="Times New Roman"/>
          <w:lang w:val="pt-BR"/>
        </w:rPr>
        <w:t xml:space="preserve"> tradicionalmente usadas na indústria química, por fontes renováveis também vem sendo empreendida. Nesse sentido, o biodiesel desempenha papel fundamental</w:t>
      </w:r>
      <w:r w:rsidR="009B3596" w:rsidRPr="008D26CE">
        <w:rPr>
          <w:rFonts w:ascii="Times New Roman" w:hAnsi="Times New Roman"/>
          <w:lang w:val="pt-BR"/>
        </w:rPr>
        <w:t>, além disso, o glicerol, um coproduto gerado na produção de biodiesel</w:t>
      </w:r>
      <w:r w:rsidR="00B5332F" w:rsidRPr="008D26CE">
        <w:rPr>
          <w:rFonts w:ascii="Times New Roman" w:hAnsi="Times New Roman"/>
          <w:lang w:val="pt-BR"/>
        </w:rPr>
        <w:t>,</w:t>
      </w:r>
      <w:r w:rsidR="009B3596" w:rsidRPr="008D26CE">
        <w:rPr>
          <w:rFonts w:ascii="Times New Roman" w:hAnsi="Times New Roman"/>
          <w:lang w:val="pt-BR"/>
        </w:rPr>
        <w:t xml:space="preserve"> apresenta potencial para diversas aplicações diretas e</w:t>
      </w:r>
      <w:r w:rsidR="00B5332F" w:rsidRPr="008D26CE">
        <w:rPr>
          <w:rFonts w:ascii="Times New Roman" w:hAnsi="Times New Roman"/>
          <w:lang w:val="pt-BR"/>
        </w:rPr>
        <w:t xml:space="preserve"> também</w:t>
      </w:r>
      <w:r w:rsidR="009B3596" w:rsidRPr="008D26CE">
        <w:rPr>
          <w:rFonts w:ascii="Times New Roman" w:hAnsi="Times New Roman"/>
          <w:lang w:val="pt-BR"/>
        </w:rPr>
        <w:t xml:space="preserve"> como </w:t>
      </w:r>
      <w:r w:rsidRPr="008D26CE">
        <w:rPr>
          <w:rFonts w:ascii="Times New Roman" w:hAnsi="Times New Roman"/>
          <w:lang w:val="pt-BR"/>
        </w:rPr>
        <w:t>intermediário químico</w:t>
      </w:r>
      <w:r w:rsidR="00B5332F" w:rsidRPr="008D26CE">
        <w:rPr>
          <w:rFonts w:ascii="Times New Roman" w:hAnsi="Times New Roman"/>
          <w:lang w:val="pt-BR"/>
        </w:rPr>
        <w:t xml:space="preserve"> para diversos processos</w:t>
      </w:r>
      <w:r w:rsidRPr="008D26CE">
        <w:rPr>
          <w:rFonts w:ascii="Times New Roman" w:hAnsi="Times New Roman"/>
          <w:lang w:val="pt-BR"/>
        </w:rPr>
        <w:t xml:space="preserve">. </w:t>
      </w:r>
      <w:r w:rsidR="003924DA" w:rsidRPr="008D26CE">
        <w:rPr>
          <w:rFonts w:ascii="Times New Roman" w:hAnsi="Times New Roman"/>
          <w:lang w:val="pt-BR"/>
        </w:rPr>
        <w:t>O</w:t>
      </w:r>
      <w:r w:rsidR="009B3596" w:rsidRPr="008D26CE">
        <w:rPr>
          <w:rFonts w:ascii="Times New Roman" w:hAnsi="Times New Roman"/>
          <w:lang w:val="pt-BR"/>
        </w:rPr>
        <w:t xml:space="preserve"> desenvolvimento de </w:t>
      </w:r>
      <w:r w:rsidRPr="008D26CE">
        <w:rPr>
          <w:rFonts w:ascii="Times New Roman" w:hAnsi="Times New Roman"/>
          <w:lang w:val="pt-BR"/>
        </w:rPr>
        <w:t xml:space="preserve">processos </w:t>
      </w:r>
      <w:r w:rsidR="009B3596" w:rsidRPr="008D26CE">
        <w:rPr>
          <w:rFonts w:ascii="Times New Roman" w:hAnsi="Times New Roman"/>
          <w:lang w:val="pt-BR"/>
        </w:rPr>
        <w:t xml:space="preserve">para a transformação do glicerol </w:t>
      </w:r>
      <w:r w:rsidRPr="008D26CE">
        <w:rPr>
          <w:rFonts w:ascii="Times New Roman" w:hAnsi="Times New Roman"/>
          <w:lang w:val="pt-BR"/>
        </w:rPr>
        <w:t xml:space="preserve"> </w:t>
      </w:r>
      <w:r w:rsidR="009B3596" w:rsidRPr="008D26CE">
        <w:rPr>
          <w:rFonts w:ascii="Times New Roman" w:hAnsi="Times New Roman"/>
          <w:lang w:val="pt-BR"/>
        </w:rPr>
        <w:t xml:space="preserve">em produtos de maior valor agregado apresenta apelos ambientais e econômicos. </w:t>
      </w:r>
      <w:r w:rsidR="00E64B3D" w:rsidRPr="008D26CE">
        <w:rPr>
          <w:rFonts w:ascii="Times New Roman" w:hAnsi="Times New Roman"/>
          <w:lang w:val="pt-BR"/>
        </w:rPr>
        <w:t>A oxidação catalítica do glicerol pode produzir vários produtos químicos valiosos, como ácido glicérico (GLYA), gliceraldeído (GLYALD), diidroxiacetona (DHA), ácido glicólico (GLYCA)</w:t>
      </w:r>
      <w:r w:rsidR="00B21D40" w:rsidRPr="008D26CE">
        <w:rPr>
          <w:rFonts w:ascii="Times New Roman" w:hAnsi="Times New Roman"/>
          <w:lang w:val="pt-BR"/>
        </w:rPr>
        <w:t xml:space="preserve"> d</w:t>
      </w:r>
      <w:r w:rsidR="00E64B3D" w:rsidRPr="008D26CE">
        <w:rPr>
          <w:rFonts w:ascii="Times New Roman" w:hAnsi="Times New Roman"/>
          <w:lang w:val="pt-BR"/>
        </w:rPr>
        <w:t>entre outros, que podem ser utilizados nas indústrias farmacêutica e química</w:t>
      </w:r>
      <w:r w:rsidR="00B5332F" w:rsidRPr="008D26CE">
        <w:rPr>
          <w:rFonts w:ascii="Times New Roman" w:hAnsi="Times New Roman"/>
          <w:lang w:val="pt-BR"/>
        </w:rPr>
        <w:t xml:space="preserve"> </w:t>
      </w:r>
      <w:r w:rsidR="00E64B3D" w:rsidRPr="008D26CE">
        <w:rPr>
          <w:rFonts w:ascii="Times New Roman" w:hAnsi="Times New Roman"/>
          <w:lang w:val="pt-BR"/>
        </w:rPr>
        <w:t xml:space="preserve"> [</w:t>
      </w:r>
      <w:r w:rsidR="00B5332F" w:rsidRPr="008D26CE">
        <w:rPr>
          <w:rFonts w:ascii="Times New Roman" w:hAnsi="Times New Roman"/>
          <w:lang w:val="pt-BR"/>
        </w:rPr>
        <w:t>1</w:t>
      </w:r>
      <w:r w:rsidR="00E64B3D" w:rsidRPr="008D26CE">
        <w:rPr>
          <w:rFonts w:ascii="Times New Roman" w:hAnsi="Times New Roman"/>
          <w:lang w:val="pt-BR"/>
        </w:rPr>
        <w:t>]. O desafio no campo da oxidação do glicerol é o desenvolvimento de catalisadores que possam atender a demanda relacionada à alta atividade, seletividade a</w:t>
      </w:r>
      <w:r w:rsidR="0079641A" w:rsidRPr="008D26CE">
        <w:rPr>
          <w:rFonts w:ascii="Times New Roman" w:hAnsi="Times New Roman"/>
          <w:lang w:val="pt-BR"/>
        </w:rPr>
        <w:t>os principais</w:t>
      </w:r>
      <w:r w:rsidR="00E64B3D" w:rsidRPr="008D26CE">
        <w:rPr>
          <w:rFonts w:ascii="Times New Roman" w:hAnsi="Times New Roman"/>
          <w:lang w:val="pt-BR"/>
        </w:rPr>
        <w:t xml:space="preserve"> produtos </w:t>
      </w:r>
      <w:r w:rsidR="0079641A" w:rsidRPr="008D26CE">
        <w:rPr>
          <w:rFonts w:ascii="Times New Roman" w:hAnsi="Times New Roman"/>
          <w:lang w:val="pt-BR"/>
        </w:rPr>
        <w:t xml:space="preserve">de </w:t>
      </w:r>
      <w:r w:rsidR="0079641A" w:rsidRPr="008D26CE">
        <w:rPr>
          <w:rFonts w:ascii="Times New Roman" w:hAnsi="Times New Roman"/>
          <w:lang w:val="pt-BR"/>
        </w:rPr>
        <w:t xml:space="preserve">interesse e que apresentem </w:t>
      </w:r>
      <w:r w:rsidR="00E64B3D" w:rsidRPr="008D26CE">
        <w:rPr>
          <w:rFonts w:ascii="Times New Roman" w:hAnsi="Times New Roman"/>
          <w:lang w:val="pt-BR"/>
        </w:rPr>
        <w:t xml:space="preserve">estabilidade catalítica. </w:t>
      </w:r>
      <w:r w:rsidR="00B21D40" w:rsidRPr="008D26CE">
        <w:rPr>
          <w:rFonts w:ascii="Times New Roman" w:hAnsi="Times New Roman"/>
          <w:lang w:val="pt-BR"/>
        </w:rPr>
        <w:t>A literatura apresenta um</w:t>
      </w:r>
      <w:r w:rsidR="003924DA" w:rsidRPr="008D26CE">
        <w:rPr>
          <w:rFonts w:ascii="Times New Roman" w:hAnsi="Times New Roman"/>
          <w:lang w:val="pt-BR"/>
        </w:rPr>
        <w:t>a</w:t>
      </w:r>
      <w:r w:rsidR="00B21D40" w:rsidRPr="008D26CE">
        <w:rPr>
          <w:rFonts w:ascii="Times New Roman" w:hAnsi="Times New Roman"/>
          <w:lang w:val="pt-BR"/>
        </w:rPr>
        <w:t xml:space="preserve"> infinidade de sistemas catalíticos baseados nos mais diferentes suportes para metais nobres como Pd, Pt e Au</w:t>
      </w:r>
      <w:r w:rsidR="00341F0E" w:rsidRPr="008D26CE">
        <w:rPr>
          <w:rFonts w:ascii="Times New Roman" w:hAnsi="Times New Roman"/>
          <w:lang w:val="pt-BR"/>
        </w:rPr>
        <w:t xml:space="preserve"> [2].</w:t>
      </w:r>
      <w:r w:rsidR="00B21D40" w:rsidRPr="008D26CE">
        <w:rPr>
          <w:rFonts w:ascii="Times New Roman" w:hAnsi="Times New Roman"/>
          <w:lang w:val="pt-BR"/>
        </w:rPr>
        <w:t xml:space="preserve"> Porém, </w:t>
      </w:r>
      <w:r w:rsidR="004F123B" w:rsidRPr="008D26CE">
        <w:rPr>
          <w:rFonts w:ascii="Times New Roman" w:hAnsi="Times New Roman"/>
          <w:lang w:val="pt-BR"/>
        </w:rPr>
        <w:t>apesar d</w:t>
      </w:r>
      <w:r w:rsidR="00FC708E" w:rsidRPr="008D26CE">
        <w:rPr>
          <w:rFonts w:ascii="Times New Roman" w:hAnsi="Times New Roman"/>
          <w:lang w:val="pt-BR"/>
        </w:rPr>
        <w:t>a</w:t>
      </w:r>
      <w:r w:rsidR="004F123B" w:rsidRPr="008D26CE">
        <w:rPr>
          <w:rFonts w:ascii="Times New Roman" w:hAnsi="Times New Roman"/>
          <w:lang w:val="pt-BR"/>
        </w:rPr>
        <w:t xml:space="preserve"> grande </w:t>
      </w:r>
      <w:r w:rsidR="00FC708E" w:rsidRPr="008D26CE">
        <w:rPr>
          <w:rFonts w:ascii="Times New Roman" w:hAnsi="Times New Roman"/>
          <w:lang w:val="pt-BR"/>
        </w:rPr>
        <w:t xml:space="preserve">contribuição acadêmica </w:t>
      </w:r>
      <w:r w:rsidR="004F123B" w:rsidRPr="008D26CE">
        <w:rPr>
          <w:rFonts w:ascii="Times New Roman" w:hAnsi="Times New Roman"/>
          <w:lang w:val="pt-BR"/>
        </w:rPr>
        <w:t xml:space="preserve">promovido por esses estudos, </w:t>
      </w:r>
      <w:r w:rsidR="00FC708E" w:rsidRPr="008D26CE">
        <w:rPr>
          <w:rFonts w:ascii="Times New Roman" w:hAnsi="Times New Roman"/>
          <w:lang w:val="pt-BR"/>
        </w:rPr>
        <w:t>grande parte</w:t>
      </w:r>
      <w:r w:rsidR="00B21D40" w:rsidRPr="008D26CE">
        <w:rPr>
          <w:rFonts w:ascii="Times New Roman" w:hAnsi="Times New Roman"/>
          <w:lang w:val="pt-BR"/>
        </w:rPr>
        <w:t xml:space="preserve"> desse</w:t>
      </w:r>
      <w:r w:rsidR="004F123B" w:rsidRPr="008D26CE">
        <w:rPr>
          <w:rFonts w:ascii="Times New Roman" w:hAnsi="Times New Roman"/>
          <w:lang w:val="pt-BR"/>
        </w:rPr>
        <w:t>s</w:t>
      </w:r>
      <w:r w:rsidR="00B21D40" w:rsidRPr="008D26CE">
        <w:rPr>
          <w:rFonts w:ascii="Times New Roman" w:hAnsi="Times New Roman"/>
          <w:lang w:val="pt-BR"/>
        </w:rPr>
        <w:t xml:space="preserve"> catalisadores</w:t>
      </w:r>
      <w:r w:rsidR="004F123B" w:rsidRPr="008D26CE">
        <w:rPr>
          <w:rFonts w:ascii="Times New Roman" w:hAnsi="Times New Roman"/>
          <w:lang w:val="pt-BR"/>
        </w:rPr>
        <w:t xml:space="preserve"> apresenta pouco potencial para o escalonamento de um processo de oxidação do glicerol</w:t>
      </w:r>
      <w:r w:rsidR="00FC708E" w:rsidRPr="008D26CE">
        <w:rPr>
          <w:rFonts w:ascii="Times New Roman" w:hAnsi="Times New Roman"/>
          <w:lang w:val="pt-BR"/>
        </w:rPr>
        <w:t xml:space="preserve">, especialmente por se tratar de catalisadores desenvolvidos em escala de laboratório e com procedimentos de síntese bastante sofisticados. </w:t>
      </w:r>
      <w:r w:rsidR="004F123B" w:rsidRPr="008D26CE">
        <w:rPr>
          <w:rFonts w:ascii="Times New Roman" w:hAnsi="Times New Roman"/>
          <w:lang w:val="pt-BR"/>
        </w:rPr>
        <w:t>Além disso, o uso de zeólitas como suporte para a preparação de catalisadores para oxidação do glicerol é limitado</w:t>
      </w:r>
      <w:r w:rsidR="00FC708E" w:rsidRPr="008D26CE">
        <w:rPr>
          <w:rFonts w:ascii="Times New Roman" w:hAnsi="Times New Roman"/>
          <w:lang w:val="pt-BR"/>
        </w:rPr>
        <w:t xml:space="preserve"> [3-</w:t>
      </w:r>
      <w:r w:rsidR="003A3958" w:rsidRPr="008D26CE">
        <w:rPr>
          <w:rFonts w:ascii="Times New Roman" w:hAnsi="Times New Roman"/>
          <w:lang w:val="pt-BR"/>
        </w:rPr>
        <w:t>6</w:t>
      </w:r>
      <w:r w:rsidR="00FC708E" w:rsidRPr="008D26CE">
        <w:rPr>
          <w:rFonts w:ascii="Times New Roman" w:hAnsi="Times New Roman"/>
          <w:lang w:val="pt-BR"/>
        </w:rPr>
        <w:t>]</w:t>
      </w:r>
      <w:r w:rsidR="004F123B" w:rsidRPr="008D26CE">
        <w:rPr>
          <w:rFonts w:ascii="Times New Roman" w:hAnsi="Times New Roman"/>
          <w:lang w:val="pt-BR"/>
        </w:rPr>
        <w:t>. Dada a importância desses materiais em diversos processos catalíticos industriais e também em todo o conhecimento em torno de suas respectivas utilização e produção, o objetivo desse trabalho foi avaliar uma zeólita comercial HZSM-5 (CBV-8014 – Zeolyst - SiO2/Al</w:t>
      </w:r>
      <w:r w:rsidR="004F123B" w:rsidRPr="008D26CE">
        <w:rPr>
          <w:rFonts w:ascii="Times New Roman" w:hAnsi="Times New Roman"/>
          <w:vertAlign w:val="subscript"/>
          <w:lang w:val="pt-BR"/>
        </w:rPr>
        <w:t>2</w:t>
      </w:r>
      <w:r w:rsidR="004F123B" w:rsidRPr="008D26CE">
        <w:rPr>
          <w:rFonts w:ascii="Times New Roman" w:hAnsi="Times New Roman"/>
          <w:lang w:val="pt-BR"/>
        </w:rPr>
        <w:t>O</w:t>
      </w:r>
      <w:r w:rsidR="004F123B" w:rsidRPr="008D26CE">
        <w:rPr>
          <w:rFonts w:ascii="Times New Roman" w:hAnsi="Times New Roman"/>
          <w:vertAlign w:val="subscript"/>
          <w:lang w:val="pt-BR"/>
        </w:rPr>
        <w:t>3</w:t>
      </w:r>
      <w:r w:rsidR="004F123B" w:rsidRPr="008D26CE">
        <w:rPr>
          <w:rFonts w:ascii="Times New Roman" w:hAnsi="Times New Roman"/>
          <w:lang w:val="pt-BR"/>
        </w:rPr>
        <w:t xml:space="preserve">=80) </w:t>
      </w:r>
      <w:r w:rsidR="00817302" w:rsidRPr="008D26CE">
        <w:rPr>
          <w:rFonts w:ascii="Times New Roman" w:hAnsi="Times New Roman"/>
          <w:lang w:val="pt-BR"/>
        </w:rPr>
        <w:t xml:space="preserve">que tem sua produção em larga escala já bem estabelecida, </w:t>
      </w:r>
      <w:r w:rsidR="004F123B" w:rsidRPr="008D26CE">
        <w:rPr>
          <w:rFonts w:ascii="Times New Roman" w:hAnsi="Times New Roman"/>
          <w:lang w:val="pt-BR"/>
        </w:rPr>
        <w:t xml:space="preserve">como suporte para platina, visando o desenvolvimento de um catalisador ativo e seletivo para a oxidação do glicerol a DHA e GLYA. </w:t>
      </w:r>
    </w:p>
    <w:p w14:paraId="3A6B711F" w14:textId="77777777" w:rsidR="006C6FD9" w:rsidRDefault="006C6FD9" w:rsidP="00716295">
      <w:pPr>
        <w:pStyle w:val="TAMainText"/>
        <w:spacing w:line="276" w:lineRule="auto"/>
        <w:ind w:firstLine="204"/>
        <w:rPr>
          <w:rFonts w:ascii="Helvetica" w:hAnsi="Helvetica" w:cs="Helvetica"/>
          <w:sz w:val="24"/>
          <w:szCs w:val="24"/>
          <w:lang w:val="pt-BR"/>
        </w:rPr>
      </w:pPr>
    </w:p>
    <w:p w14:paraId="09A40C65" w14:textId="77777777" w:rsidR="006C6FD9" w:rsidRDefault="006C6FD9" w:rsidP="00716295">
      <w:pPr>
        <w:pStyle w:val="TAMainText"/>
        <w:spacing w:line="276" w:lineRule="auto"/>
        <w:ind w:firstLine="204"/>
        <w:rPr>
          <w:rFonts w:ascii="Helvetica" w:hAnsi="Helvetica" w:cs="Helvetica"/>
          <w:sz w:val="24"/>
          <w:szCs w:val="24"/>
          <w:lang w:val="pt-BR"/>
        </w:rPr>
      </w:pPr>
    </w:p>
    <w:p w14:paraId="52FFAC79" w14:textId="46DF8FFF" w:rsidR="00EA4E1B" w:rsidRPr="008D26CE" w:rsidRDefault="00EA4E1B" w:rsidP="00716295">
      <w:pPr>
        <w:pStyle w:val="TAMainText"/>
        <w:spacing w:line="276" w:lineRule="auto"/>
        <w:ind w:firstLine="204"/>
        <w:rPr>
          <w:rFonts w:ascii="Helvetica" w:hAnsi="Helvetica" w:cs="Helvetica"/>
          <w:sz w:val="24"/>
          <w:szCs w:val="24"/>
          <w:lang w:val="pt-BR"/>
        </w:rPr>
      </w:pPr>
      <w:r w:rsidRPr="008D26CE">
        <w:rPr>
          <w:rFonts w:ascii="Helvetica" w:hAnsi="Helvetica" w:cs="Helvetica"/>
          <w:sz w:val="24"/>
          <w:szCs w:val="24"/>
          <w:lang w:val="pt-BR"/>
        </w:rPr>
        <w:lastRenderedPageBreak/>
        <w:t>Experimental</w:t>
      </w:r>
    </w:p>
    <w:p w14:paraId="395BAF05" w14:textId="77777777" w:rsidR="00870029" w:rsidRPr="008D26CE" w:rsidRDefault="00870029" w:rsidP="00716295">
      <w:pPr>
        <w:pStyle w:val="TAMainText"/>
        <w:spacing w:line="276" w:lineRule="auto"/>
        <w:ind w:firstLine="204"/>
        <w:rPr>
          <w:rFonts w:ascii="Times New Roman" w:hAnsi="Times New Roman"/>
          <w:i/>
          <w:lang w:val="pt-BR"/>
        </w:rPr>
      </w:pPr>
      <w:r w:rsidRPr="008D26CE">
        <w:rPr>
          <w:rFonts w:ascii="Times New Roman" w:hAnsi="Times New Roman"/>
          <w:i/>
          <w:lang w:val="pt-BR"/>
        </w:rPr>
        <w:t>Preparação dos catalisadores</w:t>
      </w:r>
    </w:p>
    <w:p w14:paraId="0D562B29" w14:textId="6D3DCAEB" w:rsidR="00870029" w:rsidRPr="008D26CE" w:rsidRDefault="00716295" w:rsidP="00716295">
      <w:pPr>
        <w:pStyle w:val="TAMainText"/>
        <w:spacing w:line="276" w:lineRule="auto"/>
        <w:ind w:firstLine="204"/>
        <w:rPr>
          <w:rFonts w:ascii="Times New Roman" w:hAnsi="Times New Roman"/>
          <w:iCs/>
          <w:lang w:val="pt-BR"/>
        </w:rPr>
      </w:pPr>
      <w:r w:rsidRPr="008D26CE">
        <w:rPr>
          <w:noProof/>
        </w:rPr>
        <w:drawing>
          <wp:anchor distT="0" distB="0" distL="114300" distR="114300" simplePos="0" relativeHeight="251664383" behindDoc="0" locked="0" layoutInCell="1" allowOverlap="1" wp14:anchorId="02F8B3A1" wp14:editId="1161B306">
            <wp:simplePos x="0" y="0"/>
            <wp:positionH relativeFrom="column">
              <wp:posOffset>3289604</wp:posOffset>
            </wp:positionH>
            <wp:positionV relativeFrom="paragraph">
              <wp:posOffset>977496</wp:posOffset>
            </wp:positionV>
            <wp:extent cx="3477600" cy="5742000"/>
            <wp:effectExtent l="0" t="0" r="0" b="0"/>
            <wp:wrapTopAndBottom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4" t="4516" r="10340"/>
                    <a:stretch/>
                  </pic:blipFill>
                  <pic:spPr bwMode="auto">
                    <a:xfrm>
                      <a:off x="0" y="0"/>
                      <a:ext cx="3477600" cy="57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029" w:rsidRPr="008D26CE">
        <w:rPr>
          <w:rFonts w:ascii="Times New Roman" w:hAnsi="Times New Roman"/>
          <w:iCs/>
          <w:lang w:val="pt-BR"/>
        </w:rPr>
        <w:t>Nesse sentido, catalisadores de</w:t>
      </w:r>
      <w:r w:rsidR="00932D84" w:rsidRPr="008D26CE">
        <w:rPr>
          <w:rFonts w:ascii="Times New Roman" w:hAnsi="Times New Roman"/>
          <w:iCs/>
          <w:lang w:val="pt-BR"/>
        </w:rPr>
        <w:t xml:space="preserve"> 3% de</w:t>
      </w:r>
      <w:r w:rsidR="00870029" w:rsidRPr="008D26CE">
        <w:rPr>
          <w:rFonts w:ascii="Times New Roman" w:hAnsi="Times New Roman"/>
          <w:iCs/>
          <w:lang w:val="pt-BR"/>
        </w:rPr>
        <w:t xml:space="preserve"> Pt suportados na zeólita HZSM-5 foram </w:t>
      </w:r>
      <w:r w:rsidR="00827059" w:rsidRPr="008D26CE">
        <w:rPr>
          <w:rFonts w:ascii="Times New Roman" w:hAnsi="Times New Roman"/>
          <w:iCs/>
          <w:lang w:val="pt-BR"/>
        </w:rPr>
        <w:t xml:space="preserve"> preparados </w:t>
      </w:r>
      <w:r w:rsidR="00870029" w:rsidRPr="008D26CE">
        <w:rPr>
          <w:rFonts w:ascii="Times New Roman" w:hAnsi="Times New Roman"/>
          <w:iCs/>
          <w:lang w:val="pt-BR"/>
        </w:rPr>
        <w:t>por impregnação seca e calcinados sob fluxo de N</w:t>
      </w:r>
      <w:r w:rsidR="00870029" w:rsidRPr="008D26CE">
        <w:rPr>
          <w:rFonts w:ascii="Times New Roman" w:hAnsi="Times New Roman"/>
          <w:iCs/>
          <w:vertAlign w:val="subscript"/>
          <w:lang w:val="pt-BR"/>
        </w:rPr>
        <w:t>2</w:t>
      </w:r>
      <w:r w:rsidR="00870029" w:rsidRPr="008D26CE">
        <w:rPr>
          <w:rFonts w:ascii="Times New Roman" w:hAnsi="Times New Roman"/>
          <w:iCs/>
          <w:lang w:val="pt-BR"/>
        </w:rPr>
        <w:t xml:space="preserve"> (60 mL.min-1) e H</w:t>
      </w:r>
      <w:r w:rsidR="00870029" w:rsidRPr="008D26CE">
        <w:rPr>
          <w:rFonts w:ascii="Times New Roman" w:hAnsi="Times New Roman"/>
          <w:iCs/>
          <w:vertAlign w:val="subscript"/>
          <w:lang w:val="pt-BR"/>
        </w:rPr>
        <w:t>2</w:t>
      </w:r>
      <w:r w:rsidR="00870029" w:rsidRPr="008D26CE">
        <w:rPr>
          <w:rFonts w:ascii="Times New Roman" w:hAnsi="Times New Roman"/>
          <w:iCs/>
          <w:lang w:val="pt-BR"/>
        </w:rPr>
        <w:t xml:space="preserve"> (30 mL.min</w:t>
      </w:r>
      <w:r w:rsidR="00870029" w:rsidRPr="008D26CE">
        <w:rPr>
          <w:rFonts w:ascii="Times New Roman" w:hAnsi="Times New Roman"/>
          <w:iCs/>
          <w:vertAlign w:val="superscript"/>
          <w:lang w:val="pt-BR"/>
        </w:rPr>
        <w:t>-1</w:t>
      </w:r>
      <w:r w:rsidR="00870029" w:rsidRPr="008D26CE">
        <w:rPr>
          <w:rFonts w:ascii="Times New Roman" w:hAnsi="Times New Roman"/>
          <w:iCs/>
          <w:lang w:val="pt-BR"/>
        </w:rPr>
        <w:t>) a 150 e 550°C (10°C.min</w:t>
      </w:r>
      <w:r w:rsidR="00870029" w:rsidRPr="008D26CE">
        <w:rPr>
          <w:rFonts w:ascii="Times New Roman" w:hAnsi="Times New Roman"/>
          <w:iCs/>
          <w:vertAlign w:val="superscript"/>
          <w:lang w:val="pt-BR"/>
        </w:rPr>
        <w:t>-1</w:t>
      </w:r>
      <w:r w:rsidR="00870029" w:rsidRPr="008D26CE">
        <w:rPr>
          <w:rFonts w:ascii="Times New Roman" w:hAnsi="Times New Roman"/>
          <w:iCs/>
          <w:lang w:val="pt-BR"/>
        </w:rPr>
        <w:t xml:space="preserve">) por 2 h, seguindo o descrito por </w:t>
      </w:r>
      <w:r w:rsidR="00827059" w:rsidRPr="008D26CE">
        <w:rPr>
          <w:rFonts w:cs="Times"/>
          <w:lang w:val="pt-BR"/>
        </w:rPr>
        <w:t>Radivojević</w:t>
      </w:r>
      <w:r w:rsidR="00870029" w:rsidRPr="008D26CE">
        <w:rPr>
          <w:rFonts w:ascii="Times New Roman" w:hAnsi="Times New Roman"/>
          <w:iCs/>
          <w:lang w:val="pt-BR"/>
        </w:rPr>
        <w:t xml:space="preserve"> e colaboradores</w:t>
      </w:r>
      <w:r w:rsidR="00827059" w:rsidRPr="008D26CE">
        <w:rPr>
          <w:rFonts w:ascii="Times New Roman" w:hAnsi="Times New Roman"/>
          <w:iCs/>
          <w:lang w:val="pt-BR"/>
        </w:rPr>
        <w:t xml:space="preserve"> [7]</w:t>
      </w:r>
      <w:r w:rsidR="00F33F95" w:rsidRPr="008D26CE">
        <w:rPr>
          <w:rFonts w:ascii="Times New Roman" w:hAnsi="Times New Roman"/>
          <w:iCs/>
          <w:lang w:val="pt-BR"/>
        </w:rPr>
        <w:t>, visando uma melhor dispersão da Pt no suporte</w:t>
      </w:r>
      <w:r w:rsidR="00870029" w:rsidRPr="008D26CE">
        <w:rPr>
          <w:rFonts w:ascii="Times New Roman" w:hAnsi="Times New Roman"/>
          <w:iCs/>
          <w:lang w:val="pt-BR"/>
        </w:rPr>
        <w:t xml:space="preserve">.  Para identificação, as amostras foram nomeadas como segue: 3Pt/HZM-5_150 e 3Pt/HZM-5_550. </w:t>
      </w:r>
      <w:r w:rsidR="006C6FD9">
        <w:rPr>
          <w:rFonts w:ascii="Times New Roman" w:hAnsi="Times New Roman"/>
          <w:iCs/>
          <w:lang w:val="pt-BR"/>
        </w:rPr>
        <w:t xml:space="preserve">Os catalisadores foram testados após uma reação de oxidação do glicerol e foram nomeados como segue: </w:t>
      </w:r>
      <w:r w:rsidR="006C6FD9" w:rsidRPr="008D26CE">
        <w:rPr>
          <w:rFonts w:ascii="Times New Roman" w:hAnsi="Times New Roman"/>
          <w:iCs/>
          <w:lang w:val="pt-BR"/>
        </w:rPr>
        <w:t>3Pt/HZM-5_150</w:t>
      </w:r>
      <w:r w:rsidR="006C6FD9">
        <w:rPr>
          <w:rFonts w:ascii="Times New Roman" w:hAnsi="Times New Roman"/>
          <w:iCs/>
          <w:lang w:val="pt-BR"/>
        </w:rPr>
        <w:t>_u</w:t>
      </w:r>
      <w:r w:rsidR="006C6FD9" w:rsidRPr="008D26CE">
        <w:rPr>
          <w:rFonts w:ascii="Times New Roman" w:hAnsi="Times New Roman"/>
          <w:iCs/>
          <w:lang w:val="pt-BR"/>
        </w:rPr>
        <w:t xml:space="preserve"> e 3Pt/HZM-5_550</w:t>
      </w:r>
      <w:r w:rsidR="006C6FD9">
        <w:rPr>
          <w:rFonts w:ascii="Times New Roman" w:hAnsi="Times New Roman"/>
          <w:iCs/>
          <w:lang w:val="pt-BR"/>
        </w:rPr>
        <w:t>_u.</w:t>
      </w:r>
    </w:p>
    <w:p w14:paraId="3DC27D4A" w14:textId="05F099EA" w:rsidR="00870029" w:rsidRPr="008D26CE" w:rsidRDefault="00870029" w:rsidP="00827059">
      <w:pPr>
        <w:pStyle w:val="TAMainText"/>
        <w:spacing w:line="276" w:lineRule="auto"/>
        <w:ind w:firstLine="0"/>
        <w:rPr>
          <w:rFonts w:ascii="Times New Roman" w:hAnsi="Times New Roman"/>
          <w:i/>
          <w:lang w:val="pt-BR"/>
        </w:rPr>
      </w:pPr>
      <w:r w:rsidRPr="008D26CE">
        <w:rPr>
          <w:rFonts w:ascii="Times New Roman" w:hAnsi="Times New Roman"/>
          <w:i/>
          <w:lang w:val="pt-BR"/>
        </w:rPr>
        <w:t xml:space="preserve"> Caracterização dos catalisadores</w:t>
      </w:r>
    </w:p>
    <w:p w14:paraId="694D5EF7" w14:textId="69658E32" w:rsidR="00870029" w:rsidRPr="008D26CE" w:rsidRDefault="00870029" w:rsidP="00020B7D">
      <w:pPr>
        <w:pStyle w:val="TAMainText"/>
        <w:spacing w:line="276" w:lineRule="auto"/>
        <w:rPr>
          <w:rFonts w:ascii="Times New Roman" w:hAnsi="Times New Roman"/>
          <w:iCs/>
          <w:lang w:val="pt-BR"/>
        </w:rPr>
      </w:pPr>
      <w:r w:rsidRPr="008D26CE">
        <w:rPr>
          <w:rFonts w:ascii="Times New Roman" w:hAnsi="Times New Roman"/>
          <w:iCs/>
          <w:lang w:val="pt-BR"/>
        </w:rPr>
        <w:t xml:space="preserve">Os catalisadores foram caracterizados por técnicas complementares de caracterização tais como </w:t>
      </w:r>
      <w:r w:rsidR="003924DA" w:rsidRPr="008D26CE">
        <w:rPr>
          <w:rFonts w:ascii="Times New Roman" w:hAnsi="Times New Roman"/>
          <w:iCs/>
          <w:lang w:val="pt-BR"/>
        </w:rPr>
        <w:t>d</w:t>
      </w:r>
      <w:r w:rsidRPr="008D26CE">
        <w:rPr>
          <w:rFonts w:ascii="Times New Roman" w:hAnsi="Times New Roman"/>
          <w:iCs/>
          <w:lang w:val="pt-BR"/>
        </w:rPr>
        <w:t>ifração de raios X (DRX), análise textural por adsorção de N</w:t>
      </w:r>
      <w:r w:rsidRPr="008D26CE">
        <w:rPr>
          <w:rFonts w:ascii="Times New Roman" w:hAnsi="Times New Roman"/>
          <w:iCs/>
          <w:vertAlign w:val="subscript"/>
          <w:lang w:val="pt-BR"/>
        </w:rPr>
        <w:t>2</w:t>
      </w:r>
      <w:r w:rsidRPr="008D26CE">
        <w:rPr>
          <w:rFonts w:ascii="Times New Roman" w:hAnsi="Times New Roman"/>
          <w:iCs/>
          <w:lang w:val="pt-BR"/>
        </w:rPr>
        <w:t>, dessorção a temperatura programada de NH</w:t>
      </w:r>
      <w:r w:rsidRPr="008D26CE">
        <w:rPr>
          <w:rFonts w:ascii="Times New Roman" w:hAnsi="Times New Roman"/>
          <w:iCs/>
          <w:vertAlign w:val="subscript"/>
          <w:lang w:val="pt-BR"/>
        </w:rPr>
        <w:t>3</w:t>
      </w:r>
      <w:r w:rsidRPr="008D26CE">
        <w:rPr>
          <w:rFonts w:ascii="Times New Roman" w:hAnsi="Times New Roman"/>
          <w:iCs/>
          <w:lang w:val="pt-BR"/>
        </w:rPr>
        <w:t xml:space="preserve">, </w:t>
      </w:r>
      <w:r w:rsidR="003924DA" w:rsidRPr="008D26CE">
        <w:rPr>
          <w:rFonts w:ascii="Times New Roman" w:hAnsi="Times New Roman"/>
          <w:iCs/>
          <w:lang w:val="pt-BR"/>
        </w:rPr>
        <w:t>e</w:t>
      </w:r>
      <w:r w:rsidRPr="008D26CE">
        <w:rPr>
          <w:rFonts w:ascii="Times New Roman" w:hAnsi="Times New Roman"/>
          <w:iCs/>
          <w:lang w:val="pt-BR"/>
        </w:rPr>
        <w:t>spectroscopia de fotoelétrons excitados por raios X (XPS) e análise de microscopia eletrônica de transmissão (</w:t>
      </w:r>
      <w:r w:rsidR="00D528E1" w:rsidRPr="008D26CE">
        <w:rPr>
          <w:rFonts w:ascii="Times New Roman" w:hAnsi="Times New Roman"/>
          <w:iCs/>
          <w:lang w:val="pt-BR"/>
        </w:rPr>
        <w:t>MET</w:t>
      </w:r>
      <w:r w:rsidRPr="008D26CE">
        <w:rPr>
          <w:rFonts w:ascii="Times New Roman" w:hAnsi="Times New Roman"/>
          <w:iCs/>
          <w:lang w:val="pt-BR"/>
        </w:rPr>
        <w:t xml:space="preserve">). </w:t>
      </w:r>
    </w:p>
    <w:p w14:paraId="584116D3" w14:textId="780D1556" w:rsidR="00870029" w:rsidRPr="008D26CE" w:rsidRDefault="00870029" w:rsidP="00020B7D">
      <w:pPr>
        <w:pStyle w:val="TAMainText"/>
        <w:spacing w:line="276" w:lineRule="auto"/>
        <w:rPr>
          <w:rFonts w:ascii="Times New Roman" w:hAnsi="Times New Roman"/>
          <w:i/>
          <w:lang w:val="pt-BR"/>
        </w:rPr>
      </w:pPr>
      <w:r w:rsidRPr="008D26CE">
        <w:rPr>
          <w:rFonts w:ascii="Times New Roman" w:hAnsi="Times New Roman"/>
          <w:i/>
          <w:lang w:val="pt-BR"/>
        </w:rPr>
        <w:t>Reações de oxidação do glicerol</w:t>
      </w:r>
    </w:p>
    <w:p w14:paraId="54158879" w14:textId="28F88A24" w:rsidR="00870029" w:rsidRPr="008D26CE" w:rsidRDefault="00870029" w:rsidP="00020B7D">
      <w:pPr>
        <w:pStyle w:val="TAMainText"/>
        <w:spacing w:line="276" w:lineRule="auto"/>
        <w:rPr>
          <w:rFonts w:ascii="Times New Roman" w:hAnsi="Times New Roman"/>
          <w:iCs/>
          <w:lang w:val="pt-BR"/>
        </w:rPr>
      </w:pPr>
      <w:r w:rsidRPr="008D26CE">
        <w:rPr>
          <w:rFonts w:ascii="Times New Roman" w:hAnsi="Times New Roman"/>
          <w:iCs/>
          <w:lang w:val="pt-BR"/>
        </w:rPr>
        <w:t>As reações de oxidação de glicerol foram realizadas em balão de vidro encamisado por 4h, a diferentes temperaturas (60, 70, 80 e 90°C) e utilizando como agente oxidante ar sintético (60 mL.min</w:t>
      </w:r>
      <w:r w:rsidRPr="008D26CE">
        <w:rPr>
          <w:rFonts w:ascii="Times New Roman" w:hAnsi="Times New Roman"/>
          <w:iCs/>
          <w:vertAlign w:val="superscript"/>
          <w:lang w:val="pt-BR"/>
        </w:rPr>
        <w:t>-1</w:t>
      </w:r>
      <w:r w:rsidRPr="008D26CE">
        <w:rPr>
          <w:rFonts w:ascii="Times New Roman" w:hAnsi="Times New Roman"/>
          <w:iCs/>
          <w:lang w:val="pt-BR"/>
        </w:rPr>
        <w:t>)</w:t>
      </w:r>
      <w:r w:rsidR="001C6C5C" w:rsidRPr="008D26CE">
        <w:rPr>
          <w:rFonts w:ascii="Times New Roman" w:hAnsi="Times New Roman"/>
          <w:iCs/>
          <w:lang w:val="pt-BR"/>
        </w:rPr>
        <w:t>,</w:t>
      </w:r>
      <w:r w:rsidR="001719FF" w:rsidRPr="008D26CE">
        <w:rPr>
          <w:rFonts w:ascii="Times New Roman" w:hAnsi="Times New Roman"/>
          <w:iCs/>
          <w:lang w:val="pt-BR"/>
        </w:rPr>
        <w:t xml:space="preserve"> </w:t>
      </w:r>
      <w:r w:rsidR="001C6C5C" w:rsidRPr="008D26CE">
        <w:rPr>
          <w:rFonts w:ascii="Times New Roman" w:hAnsi="Times New Roman"/>
          <w:iCs/>
          <w:lang w:val="pt-BR"/>
        </w:rPr>
        <w:t xml:space="preserve">10 mL de solução de </w:t>
      </w:r>
      <w:r w:rsidR="001719FF" w:rsidRPr="008D26CE">
        <w:rPr>
          <w:rFonts w:ascii="Times New Roman" w:hAnsi="Times New Roman"/>
          <w:iCs/>
          <w:lang w:val="pt-BR"/>
        </w:rPr>
        <w:t>glicerol 0,1 mol.L</w:t>
      </w:r>
      <w:r w:rsidR="001719FF" w:rsidRPr="008D26CE">
        <w:rPr>
          <w:rFonts w:ascii="Times New Roman" w:hAnsi="Times New Roman"/>
          <w:iCs/>
          <w:vertAlign w:val="superscript"/>
          <w:lang w:val="pt-BR"/>
        </w:rPr>
        <w:t>-1</w:t>
      </w:r>
      <w:r w:rsidR="00EA058D" w:rsidRPr="008D26CE">
        <w:rPr>
          <w:rFonts w:ascii="Times New Roman" w:hAnsi="Times New Roman"/>
          <w:iCs/>
          <w:vertAlign w:val="superscript"/>
          <w:lang w:val="pt-BR"/>
        </w:rPr>
        <w:t xml:space="preserve"> </w:t>
      </w:r>
      <w:r w:rsidR="00EA058D" w:rsidRPr="008D26CE">
        <w:rPr>
          <w:rFonts w:ascii="Times New Roman" w:hAnsi="Times New Roman"/>
          <w:iCs/>
          <w:lang w:val="pt-BR"/>
        </w:rPr>
        <w:t>e 100 mg de catalisador</w:t>
      </w:r>
      <w:r w:rsidRPr="008D26CE">
        <w:rPr>
          <w:rFonts w:ascii="Times New Roman" w:hAnsi="Times New Roman"/>
          <w:iCs/>
          <w:lang w:val="pt-BR"/>
        </w:rPr>
        <w:t xml:space="preserve">. </w:t>
      </w:r>
      <w:r w:rsidR="001719FF" w:rsidRPr="008D26CE">
        <w:rPr>
          <w:rFonts w:ascii="Times New Roman" w:hAnsi="Times New Roman"/>
          <w:iCs/>
          <w:lang w:val="pt-BR"/>
        </w:rPr>
        <w:t>As reações de reciclo às quais os catalisadores foram submetidos foram realizadas a 60°C, seguindo as mesmas condições descritas para as demais reações; o catalisador foi separado do meio reacional por centrifugação e foi usado sem qualquer tratamento. Os</w:t>
      </w:r>
      <w:r w:rsidRPr="008D26CE">
        <w:rPr>
          <w:rFonts w:ascii="Times New Roman" w:hAnsi="Times New Roman"/>
          <w:iCs/>
          <w:lang w:val="pt-BR"/>
        </w:rPr>
        <w:t xml:space="preserve"> produtos de reação foram analisados através da análise de cromatografia líquida de alta performance</w:t>
      </w:r>
      <w:r w:rsidR="00047BFC" w:rsidRPr="008D26CE">
        <w:rPr>
          <w:rFonts w:ascii="Times New Roman" w:hAnsi="Times New Roman"/>
          <w:iCs/>
          <w:lang w:val="pt-BR"/>
        </w:rPr>
        <w:t xml:space="preserve">, </w:t>
      </w:r>
      <w:r w:rsidRPr="008D26CE">
        <w:rPr>
          <w:rFonts w:ascii="Times New Roman" w:hAnsi="Times New Roman"/>
          <w:iCs/>
          <w:lang w:val="pt-BR"/>
        </w:rPr>
        <w:t>utiliza</w:t>
      </w:r>
      <w:r w:rsidR="00047BFC" w:rsidRPr="008D26CE">
        <w:rPr>
          <w:rFonts w:ascii="Times New Roman" w:hAnsi="Times New Roman"/>
          <w:iCs/>
          <w:lang w:val="pt-BR"/>
        </w:rPr>
        <w:t>n</w:t>
      </w:r>
      <w:r w:rsidRPr="008D26CE">
        <w:rPr>
          <w:rFonts w:ascii="Times New Roman" w:hAnsi="Times New Roman"/>
          <w:iCs/>
          <w:lang w:val="pt-BR"/>
        </w:rPr>
        <w:t>do um HPLC Shimadzu Prominence,</w:t>
      </w:r>
      <w:r w:rsidR="007C0799" w:rsidRPr="008D26CE">
        <w:rPr>
          <w:rFonts w:ascii="Times New Roman" w:hAnsi="Times New Roman"/>
          <w:iCs/>
          <w:lang w:val="pt-BR"/>
        </w:rPr>
        <w:t xml:space="preserve"> </w:t>
      </w:r>
      <w:r w:rsidRPr="008D26CE">
        <w:rPr>
          <w:rFonts w:ascii="Times New Roman" w:hAnsi="Times New Roman"/>
          <w:iCs/>
          <w:lang w:val="pt-BR"/>
        </w:rPr>
        <w:t>equipado com uma coluna de exclusão de íons Aminex HPX-87H (300mm x 7,8mm). Como eluente, utilizou-se uma solução de H</w:t>
      </w:r>
      <w:r w:rsidRPr="008D26CE">
        <w:rPr>
          <w:rFonts w:ascii="Times New Roman" w:hAnsi="Times New Roman"/>
          <w:iCs/>
          <w:vertAlign w:val="subscript"/>
          <w:lang w:val="pt-BR"/>
        </w:rPr>
        <w:t>2</w:t>
      </w:r>
      <w:r w:rsidRPr="008D26CE">
        <w:rPr>
          <w:rFonts w:ascii="Times New Roman" w:hAnsi="Times New Roman"/>
          <w:iCs/>
          <w:lang w:val="pt-BR"/>
        </w:rPr>
        <w:t>SO</w:t>
      </w:r>
      <w:r w:rsidRPr="008D26CE">
        <w:rPr>
          <w:rFonts w:ascii="Times New Roman" w:hAnsi="Times New Roman"/>
          <w:iCs/>
          <w:vertAlign w:val="subscript"/>
          <w:lang w:val="pt-BR"/>
        </w:rPr>
        <w:t>4</w:t>
      </w:r>
      <w:r w:rsidRPr="008D26CE">
        <w:rPr>
          <w:rFonts w:ascii="Times New Roman" w:hAnsi="Times New Roman"/>
          <w:iCs/>
          <w:lang w:val="pt-BR"/>
        </w:rPr>
        <w:t xml:space="preserve"> 0,01 M, numa vazão de 1mL.min</w:t>
      </w:r>
      <w:r w:rsidRPr="008D26CE">
        <w:rPr>
          <w:rFonts w:ascii="Times New Roman" w:hAnsi="Times New Roman"/>
          <w:iCs/>
          <w:vertAlign w:val="superscript"/>
          <w:lang w:val="pt-BR"/>
        </w:rPr>
        <w:t>-1</w:t>
      </w:r>
      <w:r w:rsidRPr="008D26CE">
        <w:rPr>
          <w:rFonts w:ascii="Times New Roman" w:hAnsi="Times New Roman"/>
          <w:iCs/>
          <w:lang w:val="pt-BR"/>
        </w:rPr>
        <w:t xml:space="preserve">, e a coluna foi mantida a 50°C. A identificação dos produtos de interesse se deu através da injeção de glicerol e de padrões </w:t>
      </w:r>
      <w:r w:rsidR="007C0799" w:rsidRPr="008D26CE">
        <w:rPr>
          <w:rFonts w:ascii="Times New Roman" w:hAnsi="Times New Roman"/>
          <w:iCs/>
          <w:lang w:val="pt-BR"/>
        </w:rPr>
        <w:t>idênticos a</w:t>
      </w:r>
      <w:r w:rsidRPr="008D26CE">
        <w:rPr>
          <w:rFonts w:ascii="Times New Roman" w:hAnsi="Times New Roman"/>
          <w:iCs/>
          <w:lang w:val="pt-BR"/>
        </w:rPr>
        <w:t>os produtos</w:t>
      </w:r>
      <w:r w:rsidR="007C0799" w:rsidRPr="008D26CE">
        <w:rPr>
          <w:rFonts w:ascii="Times New Roman" w:hAnsi="Times New Roman"/>
          <w:iCs/>
          <w:lang w:val="pt-BR"/>
        </w:rPr>
        <w:t>; a</w:t>
      </w:r>
      <w:r w:rsidRPr="008D26CE">
        <w:rPr>
          <w:rFonts w:ascii="Times New Roman" w:hAnsi="Times New Roman"/>
          <w:iCs/>
          <w:lang w:val="pt-BR"/>
        </w:rPr>
        <w:t xml:space="preserve"> quantificação foi realizada através da confecção de curvas de calibração obtidas pela injeção de soluções padrão de concentrações conhecidas. Os produtos de interesse são principalmente ácido glicérico (GLYA) e diidroxiacetona (DHA), porém, subprodutos como ácido tartrônico (TART), ácido glicólico (GLYCA), ácido glioxílico (GLYOX), ácido oxálico (OXA), ácido alfa-hidroxipirúvico e gliceraldeído (GLYALD) podem estar presentes. </w:t>
      </w:r>
    </w:p>
    <w:p w14:paraId="136BD1AC" w14:textId="486152F9" w:rsidR="00EA4E1B" w:rsidRPr="008D26CE" w:rsidRDefault="00EA4E1B" w:rsidP="000C2C3F">
      <w:pPr>
        <w:pStyle w:val="TAMainText"/>
        <w:spacing w:before="120" w:after="120"/>
        <w:ind w:firstLine="0"/>
        <w:jc w:val="center"/>
        <w:rPr>
          <w:rFonts w:ascii="Helvetica" w:hAnsi="Helvetica" w:cs="Helvetica"/>
          <w:sz w:val="24"/>
          <w:szCs w:val="24"/>
          <w:lang w:val="pt-BR"/>
        </w:rPr>
      </w:pPr>
      <w:r w:rsidRPr="008D26CE">
        <w:rPr>
          <w:rFonts w:ascii="Helvetica" w:hAnsi="Helvetica" w:cs="Helvetica"/>
          <w:sz w:val="24"/>
          <w:szCs w:val="24"/>
          <w:lang w:val="pt-BR"/>
        </w:rPr>
        <w:t>Resultados e Discussão</w:t>
      </w:r>
    </w:p>
    <w:p w14:paraId="6FD20EAB" w14:textId="61D85155" w:rsidR="006A6E5E" w:rsidRPr="008D26CE" w:rsidRDefault="006A7F16" w:rsidP="000C2C3F">
      <w:pPr>
        <w:spacing w:before="120" w:after="120" w:line="276" w:lineRule="auto"/>
        <w:ind w:firstLine="426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D26CE">
        <w:rPr>
          <w:rFonts w:ascii="Times New Roman" w:hAnsi="Times New Roman" w:cs="Times New Roman"/>
          <w:iCs/>
          <w:sz w:val="20"/>
          <w:szCs w:val="20"/>
        </w:rPr>
        <w:t>De acordo com o DRX (Fig. 1.), a estrutura da zeólita HZSM-5 foi mantida após impregnação com Pt</w:t>
      </w:r>
      <w:r w:rsidR="00A840CA" w:rsidRPr="008D26C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F9122D" w:rsidRPr="008D26CE">
        <w:rPr>
          <w:rFonts w:ascii="Times New Roman" w:hAnsi="Times New Roman" w:cs="Times New Roman"/>
          <w:iCs/>
          <w:sz w:val="20"/>
          <w:szCs w:val="20"/>
        </w:rPr>
        <w:t xml:space="preserve">e posterior </w:t>
      </w:r>
      <w:r w:rsidRPr="008D26CE">
        <w:rPr>
          <w:rFonts w:ascii="Times New Roman" w:hAnsi="Times New Roman" w:cs="Times New Roman"/>
          <w:iCs/>
          <w:sz w:val="20"/>
          <w:szCs w:val="20"/>
        </w:rPr>
        <w:t>tratamento térmico em atmosfera H</w:t>
      </w:r>
      <w:r w:rsidRPr="008D26CE">
        <w:rPr>
          <w:rFonts w:ascii="Times New Roman" w:hAnsi="Times New Roman" w:cs="Times New Roman"/>
          <w:iCs/>
          <w:sz w:val="20"/>
          <w:szCs w:val="20"/>
          <w:vertAlign w:val="subscript"/>
        </w:rPr>
        <w:t>2</w:t>
      </w:r>
      <w:r w:rsidRPr="008D26CE">
        <w:rPr>
          <w:rFonts w:ascii="Times New Roman" w:hAnsi="Times New Roman" w:cs="Times New Roman"/>
          <w:iCs/>
          <w:sz w:val="20"/>
          <w:szCs w:val="20"/>
        </w:rPr>
        <w:t>/N</w:t>
      </w:r>
      <w:r w:rsidRPr="008D26CE">
        <w:rPr>
          <w:rFonts w:ascii="Times New Roman" w:hAnsi="Times New Roman" w:cs="Times New Roman"/>
          <w:iCs/>
          <w:sz w:val="20"/>
          <w:szCs w:val="20"/>
          <w:vertAlign w:val="subscript"/>
        </w:rPr>
        <w:t>2</w:t>
      </w:r>
      <w:r w:rsidRPr="008D26CE">
        <w:rPr>
          <w:rFonts w:ascii="Times New Roman" w:hAnsi="Times New Roman" w:cs="Times New Roman"/>
          <w:iCs/>
          <w:sz w:val="20"/>
          <w:szCs w:val="20"/>
        </w:rPr>
        <w:t xml:space="preserve"> a 150 ou 550°C</w:t>
      </w:r>
      <w:r w:rsidR="00F9122D" w:rsidRPr="008D26CE">
        <w:rPr>
          <w:rFonts w:ascii="Times New Roman" w:hAnsi="Times New Roman" w:cs="Times New Roman"/>
          <w:iCs/>
          <w:sz w:val="20"/>
          <w:szCs w:val="20"/>
        </w:rPr>
        <w:t>, e</w:t>
      </w:r>
      <w:r w:rsidRPr="008D26CE">
        <w:rPr>
          <w:rFonts w:ascii="Times New Roman" w:hAnsi="Times New Roman" w:cs="Times New Roman"/>
          <w:iCs/>
          <w:sz w:val="20"/>
          <w:szCs w:val="20"/>
        </w:rPr>
        <w:t xml:space="preserve"> os catalisadores mantiveram sua integridade após a reação de oxidação do glicerol. Picos de difração característicos da ZSM-5 em 2</w:t>
      </w:r>
      <w:r w:rsidRPr="008D26CE">
        <w:rPr>
          <w:rFonts w:ascii="Times New Roman" w:hAnsi="Times New Roman" w:cs="Times New Roman"/>
          <w:iCs/>
          <w:sz w:val="20"/>
          <w:szCs w:val="20"/>
          <w:lang w:val="en-US"/>
        </w:rPr>
        <w:t>ϴ</w:t>
      </w:r>
      <w:r w:rsidRPr="008D26CE">
        <w:rPr>
          <w:rFonts w:ascii="Times New Roman" w:hAnsi="Times New Roman" w:cs="Times New Roman"/>
          <w:iCs/>
          <w:sz w:val="20"/>
          <w:szCs w:val="20"/>
        </w:rPr>
        <w:t xml:space="preserve"> de 7,92°, 8,80°, 14,78°, 23,18°, 23,90°, 24,40° são exclusivamente indexados à estrutura da topologia MFI (JCPDS nº 42-0024) e foram observados em todas as amostras. Todos os catalisadores de Pt apresentaram pico a 39,8° correspondendo </w:t>
      </w:r>
      <w:r w:rsidR="00A840CA" w:rsidRPr="008D26CE">
        <w:rPr>
          <w:rFonts w:ascii="Times New Roman" w:hAnsi="Times New Roman" w:cs="Times New Roman"/>
          <w:iCs/>
          <w:sz w:val="20"/>
          <w:szCs w:val="20"/>
        </w:rPr>
        <w:t xml:space="preserve">ao plano </w:t>
      </w:r>
      <w:r w:rsidRPr="008D26CE">
        <w:rPr>
          <w:rFonts w:ascii="Times New Roman" w:hAnsi="Times New Roman" w:cs="Times New Roman"/>
          <w:iCs/>
          <w:sz w:val="20"/>
          <w:szCs w:val="20"/>
        </w:rPr>
        <w:t>(1 1 1)</w:t>
      </w:r>
      <w:r w:rsidR="00FE0C40" w:rsidRPr="008D26C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8D26CE">
        <w:rPr>
          <w:rFonts w:ascii="Times New Roman" w:hAnsi="Times New Roman" w:cs="Times New Roman"/>
          <w:iCs/>
          <w:sz w:val="20"/>
          <w:szCs w:val="20"/>
        </w:rPr>
        <w:t xml:space="preserve"> de estrutura cúbica da platina metálica (PDF# 04-0802). Os picos correspondentes de PtO e PtO</w:t>
      </w:r>
      <w:r w:rsidRPr="008D26CE">
        <w:rPr>
          <w:rFonts w:ascii="Times New Roman" w:hAnsi="Times New Roman" w:cs="Times New Roman"/>
          <w:iCs/>
          <w:sz w:val="20"/>
          <w:szCs w:val="20"/>
          <w:vertAlign w:val="subscript"/>
        </w:rPr>
        <w:t>2</w:t>
      </w:r>
      <w:r w:rsidRPr="008D26CE">
        <w:rPr>
          <w:rFonts w:ascii="Times New Roman" w:hAnsi="Times New Roman" w:cs="Times New Roman"/>
          <w:iCs/>
          <w:sz w:val="20"/>
          <w:szCs w:val="20"/>
        </w:rPr>
        <w:t xml:space="preserve"> não foram observados</w:t>
      </w:r>
      <w:r w:rsidR="00A840CA" w:rsidRPr="008D26CE">
        <w:rPr>
          <w:rFonts w:ascii="Times New Roman" w:hAnsi="Times New Roman" w:cs="Times New Roman"/>
          <w:iCs/>
          <w:sz w:val="20"/>
          <w:szCs w:val="20"/>
        </w:rPr>
        <w:t>.</w:t>
      </w:r>
    </w:p>
    <w:p w14:paraId="27F916DB" w14:textId="1399D0C3" w:rsidR="006A6E5E" w:rsidRPr="008D26CE" w:rsidRDefault="00EA4E1B" w:rsidP="000C2C3F">
      <w:pPr>
        <w:pStyle w:val="VAFigureCaption"/>
        <w:spacing w:before="0" w:after="120"/>
        <w:jc w:val="center"/>
        <w:rPr>
          <w:rFonts w:ascii="Times New Roman" w:hAnsi="Times New Roman"/>
          <w:lang w:val="pt-BR"/>
        </w:rPr>
      </w:pPr>
      <w:r w:rsidRPr="008D26CE">
        <w:rPr>
          <w:rFonts w:ascii="Times New Roman" w:hAnsi="Times New Roman"/>
          <w:b/>
          <w:lang w:val="pt-BR"/>
        </w:rPr>
        <w:t>Figura 1.</w:t>
      </w:r>
      <w:r w:rsidRPr="008D26CE">
        <w:rPr>
          <w:rFonts w:ascii="Times New Roman" w:hAnsi="Times New Roman"/>
          <w:lang w:val="pt-BR"/>
        </w:rPr>
        <w:t xml:space="preserve"> </w:t>
      </w:r>
      <w:r w:rsidR="006A7F16" w:rsidRPr="008D26CE">
        <w:rPr>
          <w:rFonts w:ascii="Times New Roman" w:hAnsi="Times New Roman"/>
          <w:lang w:val="pt-BR"/>
        </w:rPr>
        <w:t>DRX dos catalisadores</w:t>
      </w:r>
    </w:p>
    <w:p w14:paraId="6E948C51" w14:textId="7BE1CE8D" w:rsidR="006F4ACB" w:rsidRPr="008D26CE" w:rsidRDefault="005648A8" w:rsidP="000C2C3F">
      <w:pPr>
        <w:pStyle w:val="TCTableBody"/>
        <w:spacing w:after="120" w:line="276" w:lineRule="auto"/>
        <w:ind w:firstLine="284"/>
        <w:rPr>
          <w:rFonts w:ascii="Times New Roman" w:eastAsia="Calibri" w:hAnsi="Times New Roman"/>
          <w:bCs/>
          <w:color w:val="000000"/>
          <w:sz w:val="20"/>
          <w:lang w:val="pt-BR"/>
        </w:rPr>
      </w:pPr>
      <w:r w:rsidRPr="008D26CE">
        <w:rPr>
          <w:rFonts w:ascii="Times New Roman" w:hAnsi="Times New Roman"/>
          <w:sz w:val="20"/>
          <w:lang w:val="pt-BR"/>
        </w:rPr>
        <w:t xml:space="preserve">Na Tabela 1 são apresentados </w:t>
      </w:r>
      <w:r w:rsidR="00235139" w:rsidRPr="008D26CE">
        <w:rPr>
          <w:rFonts w:ascii="Times New Roman" w:hAnsi="Times New Roman"/>
          <w:sz w:val="20"/>
          <w:lang w:val="pt-BR"/>
        </w:rPr>
        <w:t xml:space="preserve">os resultados </w:t>
      </w:r>
      <w:r w:rsidRPr="008D26CE">
        <w:rPr>
          <w:rFonts w:ascii="Times New Roman" w:hAnsi="Times New Roman"/>
          <w:sz w:val="20"/>
          <w:lang w:val="pt-BR"/>
        </w:rPr>
        <w:t xml:space="preserve">referentes à análise textural, tamanho de partícula medida por </w:t>
      </w:r>
      <w:r w:rsidR="00FE0C40" w:rsidRPr="008D26CE">
        <w:rPr>
          <w:rFonts w:ascii="Times New Roman" w:hAnsi="Times New Roman"/>
          <w:sz w:val="20"/>
          <w:lang w:val="pt-BR"/>
        </w:rPr>
        <w:t>MET</w:t>
      </w:r>
      <w:r w:rsidR="00D528E1" w:rsidRPr="008D26CE">
        <w:rPr>
          <w:rFonts w:ascii="Times New Roman" w:hAnsi="Times New Roman"/>
          <w:sz w:val="20"/>
          <w:lang w:val="pt-BR"/>
        </w:rPr>
        <w:t xml:space="preserve"> e</w:t>
      </w:r>
      <w:r w:rsidRPr="008D26CE">
        <w:rPr>
          <w:rFonts w:ascii="Times New Roman" w:hAnsi="Times New Roman"/>
          <w:sz w:val="20"/>
          <w:lang w:val="pt-BR"/>
        </w:rPr>
        <w:t xml:space="preserve"> dados referentes à acidez</w:t>
      </w:r>
      <w:r w:rsidR="00FE0C40" w:rsidRPr="008D26CE">
        <w:rPr>
          <w:rFonts w:ascii="Times New Roman" w:hAnsi="Times New Roman"/>
          <w:sz w:val="20"/>
          <w:lang w:val="pt-BR"/>
        </w:rPr>
        <w:t xml:space="preserve"> </w:t>
      </w:r>
      <w:r w:rsidRPr="008D26CE">
        <w:rPr>
          <w:rFonts w:ascii="Times New Roman" w:hAnsi="Times New Roman"/>
          <w:sz w:val="20"/>
          <w:lang w:val="pt-BR"/>
        </w:rPr>
        <w:t xml:space="preserve">dos catalisadores medidos por </w:t>
      </w:r>
      <w:r w:rsidR="006C6FD9" w:rsidRPr="008D26CE">
        <w:rPr>
          <w:noProof/>
        </w:rPr>
        <w:lastRenderedPageBreak/>
        <w:drawing>
          <wp:anchor distT="0" distB="0" distL="114300" distR="114300" simplePos="0" relativeHeight="251663359" behindDoc="0" locked="0" layoutInCell="1" allowOverlap="0" wp14:anchorId="3C2AE8F0" wp14:editId="784CC954">
            <wp:simplePos x="0" y="0"/>
            <wp:positionH relativeFrom="column">
              <wp:posOffset>3503489</wp:posOffset>
            </wp:positionH>
            <wp:positionV relativeFrom="paragraph">
              <wp:posOffset>70954</wp:posOffset>
            </wp:positionV>
            <wp:extent cx="2779200" cy="4294800"/>
            <wp:effectExtent l="0" t="0" r="2540" b="0"/>
            <wp:wrapTopAndBottom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200" cy="429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26CE">
        <w:rPr>
          <w:rFonts w:ascii="Times New Roman" w:hAnsi="Times New Roman"/>
          <w:sz w:val="20"/>
          <w:lang w:val="pt-BR"/>
        </w:rPr>
        <w:t>TPD_NH</w:t>
      </w:r>
      <w:r w:rsidRPr="008D26CE">
        <w:rPr>
          <w:rFonts w:ascii="Times New Roman" w:hAnsi="Times New Roman"/>
          <w:sz w:val="20"/>
          <w:vertAlign w:val="subscript"/>
          <w:lang w:val="pt-BR"/>
        </w:rPr>
        <w:t>3</w:t>
      </w:r>
      <w:r w:rsidRPr="008D26CE">
        <w:rPr>
          <w:rFonts w:ascii="Times New Roman" w:hAnsi="Times New Roman"/>
          <w:sz w:val="20"/>
          <w:lang w:val="pt-BR"/>
        </w:rPr>
        <w:t>. Os dados referentes à análise textural mostram</w:t>
      </w:r>
      <w:r w:rsidR="00235139" w:rsidRPr="008D26CE">
        <w:rPr>
          <w:rFonts w:ascii="Times New Roman" w:hAnsi="Times New Roman"/>
          <w:sz w:val="20"/>
          <w:lang w:val="pt-BR"/>
        </w:rPr>
        <w:t xml:space="preserve"> um </w:t>
      </w:r>
      <w:r w:rsidR="00445A99" w:rsidRPr="008D26CE">
        <w:rPr>
          <w:rFonts w:ascii="Times New Roman" w:hAnsi="Times New Roman"/>
          <w:sz w:val="20"/>
          <w:lang w:val="pt-BR"/>
        </w:rPr>
        <w:t xml:space="preserve">decréscimo </w:t>
      </w:r>
      <w:r w:rsidR="00235139" w:rsidRPr="008D26CE">
        <w:rPr>
          <w:rFonts w:ascii="Times New Roman" w:hAnsi="Times New Roman"/>
          <w:sz w:val="20"/>
          <w:lang w:val="pt-BR"/>
        </w:rPr>
        <w:t xml:space="preserve">na área específica dos catalisadores após </w:t>
      </w:r>
      <w:r w:rsidR="00DC0A41" w:rsidRPr="008D26CE">
        <w:rPr>
          <w:rFonts w:ascii="Times New Roman" w:hAnsi="Times New Roman"/>
          <w:sz w:val="20"/>
          <w:lang w:val="pt-BR"/>
        </w:rPr>
        <w:t>a impregnação com platina</w:t>
      </w:r>
      <w:r w:rsidR="00235139" w:rsidRPr="008D26CE">
        <w:rPr>
          <w:rFonts w:ascii="Times New Roman" w:hAnsi="Times New Roman"/>
          <w:sz w:val="20"/>
          <w:lang w:val="pt-BR"/>
        </w:rPr>
        <w:t xml:space="preserve">, com redução da área de </w:t>
      </w:r>
      <w:r w:rsidR="00DC0A41" w:rsidRPr="008D26CE">
        <w:rPr>
          <w:rFonts w:ascii="Times New Roman" w:hAnsi="Times New Roman"/>
          <w:sz w:val="20"/>
          <w:lang w:val="pt-BR"/>
        </w:rPr>
        <w:t>micro</w:t>
      </w:r>
      <w:r w:rsidR="00235139" w:rsidRPr="008D26CE">
        <w:rPr>
          <w:rFonts w:ascii="Times New Roman" w:hAnsi="Times New Roman"/>
          <w:sz w:val="20"/>
          <w:lang w:val="pt-BR"/>
        </w:rPr>
        <w:t xml:space="preserve"> e </w:t>
      </w:r>
      <w:r w:rsidR="00DC0A41" w:rsidRPr="008D26CE">
        <w:rPr>
          <w:rFonts w:ascii="Times New Roman" w:hAnsi="Times New Roman"/>
          <w:sz w:val="20"/>
          <w:lang w:val="pt-BR"/>
        </w:rPr>
        <w:t xml:space="preserve">mesoporos. </w:t>
      </w:r>
      <w:r w:rsidR="00235139" w:rsidRPr="008D26CE">
        <w:rPr>
          <w:rFonts w:ascii="Times New Roman" w:hAnsi="Times New Roman"/>
          <w:sz w:val="20"/>
          <w:lang w:val="pt-BR"/>
        </w:rPr>
        <w:t xml:space="preserve">Essa redução </w:t>
      </w:r>
      <w:r w:rsidR="00FE0C40" w:rsidRPr="008D26CE">
        <w:rPr>
          <w:rFonts w:ascii="Times New Roman" w:hAnsi="Times New Roman"/>
          <w:sz w:val="20"/>
          <w:lang w:val="pt-BR"/>
        </w:rPr>
        <w:t>está</w:t>
      </w:r>
      <w:r w:rsidR="00235139" w:rsidRPr="008D26CE">
        <w:rPr>
          <w:rFonts w:ascii="Times New Roman" w:hAnsi="Times New Roman"/>
          <w:sz w:val="20"/>
          <w:lang w:val="pt-BR"/>
        </w:rPr>
        <w:t xml:space="preserve"> associada ao bloqueio dos poros por aglomerados de Pt. </w:t>
      </w:r>
      <w:r w:rsidR="00DC0A41" w:rsidRPr="008D26CE">
        <w:rPr>
          <w:rFonts w:ascii="Times New Roman" w:hAnsi="Times New Roman"/>
          <w:sz w:val="20"/>
          <w:lang w:val="pt-BR"/>
        </w:rPr>
        <w:t>As isotermas de adsorção-dessorção de N</w:t>
      </w:r>
      <w:r w:rsidR="00DC0A41" w:rsidRPr="008D26CE">
        <w:rPr>
          <w:rFonts w:ascii="Times New Roman" w:hAnsi="Times New Roman"/>
          <w:sz w:val="20"/>
          <w:vertAlign w:val="subscript"/>
          <w:lang w:val="pt-BR"/>
        </w:rPr>
        <w:t>2</w:t>
      </w:r>
      <w:r w:rsidR="00DC0A41" w:rsidRPr="008D26CE">
        <w:rPr>
          <w:rFonts w:ascii="Times New Roman" w:hAnsi="Times New Roman"/>
          <w:sz w:val="20"/>
          <w:lang w:val="pt-BR"/>
        </w:rPr>
        <w:t xml:space="preserve"> (</w:t>
      </w:r>
      <w:r w:rsidR="00235139" w:rsidRPr="008D26CE">
        <w:rPr>
          <w:rFonts w:ascii="Times New Roman" w:hAnsi="Times New Roman"/>
          <w:sz w:val="20"/>
          <w:lang w:val="pt-BR"/>
        </w:rPr>
        <w:t>não apresentadas</w:t>
      </w:r>
      <w:r w:rsidR="00DC0A41" w:rsidRPr="008D26CE">
        <w:rPr>
          <w:rFonts w:ascii="Times New Roman" w:hAnsi="Times New Roman"/>
          <w:sz w:val="20"/>
          <w:lang w:val="pt-BR"/>
        </w:rPr>
        <w:t xml:space="preserve">) </w:t>
      </w:r>
      <w:r w:rsidR="00235139" w:rsidRPr="008D26CE">
        <w:rPr>
          <w:rFonts w:ascii="Times New Roman" w:hAnsi="Times New Roman"/>
          <w:sz w:val="20"/>
          <w:lang w:val="pt-BR"/>
        </w:rPr>
        <w:t xml:space="preserve">são do </w:t>
      </w:r>
      <w:r w:rsidR="00DC0A41" w:rsidRPr="008D26CE">
        <w:rPr>
          <w:rFonts w:ascii="Times New Roman" w:hAnsi="Times New Roman"/>
          <w:sz w:val="20"/>
          <w:lang w:val="pt-BR"/>
        </w:rPr>
        <w:t xml:space="preserve">tipo I, </w:t>
      </w:r>
      <w:r w:rsidR="00747CC8" w:rsidRPr="008D26CE">
        <w:rPr>
          <w:rFonts w:ascii="Times New Roman" w:hAnsi="Times New Roman"/>
          <w:sz w:val="20"/>
          <w:lang w:val="pt-BR"/>
        </w:rPr>
        <w:t xml:space="preserve">associada </w:t>
      </w:r>
      <w:r w:rsidR="00DC0A41" w:rsidRPr="008D26CE">
        <w:rPr>
          <w:rFonts w:ascii="Times New Roman" w:hAnsi="Times New Roman"/>
          <w:sz w:val="20"/>
          <w:lang w:val="pt-BR"/>
        </w:rPr>
        <w:t xml:space="preserve">a materiais microporosos, mas também exibem características do tipo IV com um loop de histerese, que é indicativo de mesoporosidade parcial. </w:t>
      </w:r>
      <w:r w:rsidR="00D528E1" w:rsidRPr="008D26CE">
        <w:rPr>
          <w:rFonts w:ascii="Times New Roman" w:hAnsi="Times New Roman"/>
          <w:sz w:val="20"/>
          <w:lang w:val="pt-BR"/>
        </w:rPr>
        <w:t xml:space="preserve">Tem-se, portanto, </w:t>
      </w:r>
      <w:r w:rsidR="00DC0A41" w:rsidRPr="008D26CE">
        <w:rPr>
          <w:rFonts w:ascii="Times New Roman" w:hAnsi="Times New Roman"/>
          <w:sz w:val="20"/>
          <w:lang w:val="pt-BR"/>
        </w:rPr>
        <w:t>um sistema poroso hierárquico</w:t>
      </w:r>
      <w:r w:rsidRPr="008D26CE">
        <w:rPr>
          <w:rFonts w:ascii="Times New Roman" w:hAnsi="Times New Roman"/>
          <w:sz w:val="20"/>
          <w:lang w:val="pt-BR"/>
        </w:rPr>
        <w:t xml:space="preserve"> </w:t>
      </w:r>
      <w:r w:rsidR="00DC0A41" w:rsidRPr="008D26CE">
        <w:rPr>
          <w:rFonts w:ascii="Times New Roman" w:hAnsi="Times New Roman"/>
          <w:sz w:val="20"/>
          <w:lang w:val="pt-BR"/>
        </w:rPr>
        <w:t xml:space="preserve">com estruturas micro e mesoporosas. </w:t>
      </w:r>
      <w:r w:rsidR="00FE0C40" w:rsidRPr="008D26CE">
        <w:rPr>
          <w:rFonts w:ascii="Times New Roman" w:hAnsi="Times New Roman"/>
          <w:sz w:val="20"/>
          <w:lang w:val="pt-BR"/>
        </w:rPr>
        <w:t>Em relação à Pt, o</w:t>
      </w:r>
      <w:r w:rsidR="006F4ACB" w:rsidRPr="008D26CE">
        <w:rPr>
          <w:rFonts w:ascii="Times New Roman" w:eastAsia="Calibri" w:hAnsi="Times New Roman"/>
          <w:bCs/>
          <w:color w:val="000000"/>
          <w:sz w:val="20"/>
          <w:lang w:val="pt-BR"/>
        </w:rPr>
        <w:t>s resultados mostram que após o uso, o tamanho médio de partícula de Pt diminuiu, provavelmente, porque os aglomerados de Pt que estavam bloqueando os poros se dispersaram durante a reação. Essa afirmação é suportada pelas imagens de MET e pela distribuição de tamanho de partículas apresentadas nas Fig. 2 A e B. Os resultados referentes à acidez dos catalisadores mostram uma redução na acidez total dos catalisadores após impregnação de Pt, apresentando proporções equivalentes entre a concentração de sítios fortes e fracos. Após a reação de oxidação do glicerol, os catalisadores apresentaram uma redução da acidez total mais acentuada, com aumento na concentração de sítios ácidos fortes após um primeiro ciclo de reação.</w:t>
      </w:r>
    </w:p>
    <w:tbl>
      <w:tblPr>
        <w:tblStyle w:val="Tabelacomgrade"/>
        <w:tblpPr w:leftFromText="142" w:rightFromText="142" w:vertAnchor="text" w:horzAnchor="margin" w:tblpY="585"/>
        <w:tblOverlap w:val="never"/>
        <w:tblW w:w="5098" w:type="dxa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709"/>
        <w:gridCol w:w="425"/>
        <w:gridCol w:w="851"/>
        <w:gridCol w:w="708"/>
      </w:tblGrid>
      <w:tr w:rsidR="00030925" w:rsidRPr="008D26CE" w14:paraId="075B5C8E" w14:textId="77777777" w:rsidTr="00351806">
        <w:tc>
          <w:tcPr>
            <w:tcW w:w="1696" w:type="dxa"/>
            <w:vMerge w:val="restart"/>
            <w:vAlign w:val="center"/>
          </w:tcPr>
          <w:p w14:paraId="7535CD6D" w14:textId="77777777" w:rsidR="00030925" w:rsidRPr="008D26CE" w:rsidRDefault="00030925" w:rsidP="003D1311">
            <w:pPr>
              <w:pStyle w:val="TCTableBody"/>
              <w:spacing w:after="0" w:line="240" w:lineRule="auto"/>
              <w:rPr>
                <w:rFonts w:cs="Times"/>
                <w:sz w:val="16"/>
                <w:szCs w:val="16"/>
                <w:lang w:val="pt-BR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C16D6D2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Cs w:val="18"/>
              </w:rPr>
            </w:pPr>
            <w:r w:rsidRPr="008D26CE">
              <w:rPr>
                <w:rFonts w:eastAsia="Calibri" w:cs="Times"/>
                <w:b/>
                <w:szCs w:val="18"/>
              </w:rPr>
              <w:t>A (m</w:t>
            </w:r>
            <w:r w:rsidRPr="008D26CE">
              <w:rPr>
                <w:rFonts w:eastAsia="Calibri" w:cs="Times"/>
                <w:b/>
                <w:szCs w:val="18"/>
                <w:vertAlign w:val="superscript"/>
              </w:rPr>
              <w:t>2</w:t>
            </w:r>
            <w:r w:rsidRPr="008D26CE">
              <w:rPr>
                <w:rFonts w:eastAsia="Calibri" w:cs="Times"/>
                <w:b/>
                <w:szCs w:val="18"/>
              </w:rPr>
              <w:t>.g</w:t>
            </w:r>
            <w:r w:rsidRPr="008D26CE">
              <w:rPr>
                <w:rFonts w:eastAsia="Calibri" w:cs="Times"/>
                <w:b/>
                <w:szCs w:val="18"/>
                <w:vertAlign w:val="superscript"/>
              </w:rPr>
              <w:t>-1</w:t>
            </w:r>
            <w:r w:rsidRPr="008D26CE">
              <w:rPr>
                <w:rFonts w:eastAsia="Calibri" w:cs="Times"/>
                <w:b/>
                <w:szCs w:val="18"/>
              </w:rPr>
              <w:t>)</w:t>
            </w:r>
          </w:p>
          <w:p w14:paraId="033BF276" w14:textId="77777777" w:rsidR="00030925" w:rsidRPr="008D26CE" w:rsidRDefault="00030925" w:rsidP="003D1311">
            <w:pPr>
              <w:pStyle w:val="TCTableBody"/>
              <w:spacing w:after="0" w:line="240" w:lineRule="auto"/>
              <w:rPr>
                <w:rFonts w:cs="Times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DD146E0" w14:textId="77777777" w:rsidR="00030925" w:rsidRPr="008D26CE" w:rsidRDefault="00030925" w:rsidP="003D1311">
            <w:pPr>
              <w:pStyle w:val="TCTableBody"/>
              <w:spacing w:after="0" w:line="240" w:lineRule="auto"/>
              <w:rPr>
                <w:rFonts w:cs="Times"/>
                <w:b/>
                <w:sz w:val="16"/>
                <w:szCs w:val="16"/>
              </w:rPr>
            </w:pPr>
            <w:r w:rsidRPr="008D26CE">
              <w:rPr>
                <w:rFonts w:cs="Times"/>
                <w:b/>
                <w:sz w:val="16"/>
                <w:szCs w:val="16"/>
              </w:rPr>
              <w:t>d</w:t>
            </w:r>
            <w:r w:rsidRPr="008D26CE">
              <w:rPr>
                <w:rFonts w:cs="Times"/>
                <w:b/>
                <w:sz w:val="16"/>
                <w:szCs w:val="16"/>
                <w:vertAlign w:val="subscript"/>
              </w:rPr>
              <w:t>p</w:t>
            </w:r>
          </w:p>
          <w:p w14:paraId="5098C715" w14:textId="77777777" w:rsidR="00030925" w:rsidRPr="008D26CE" w:rsidRDefault="00030925" w:rsidP="003D1311">
            <w:pPr>
              <w:pStyle w:val="TCTableBody"/>
              <w:spacing w:after="0" w:line="240" w:lineRule="auto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b/>
                <w:sz w:val="16"/>
                <w:szCs w:val="16"/>
              </w:rPr>
              <w:t>nm</w:t>
            </w:r>
          </w:p>
        </w:tc>
        <w:tc>
          <w:tcPr>
            <w:tcW w:w="851" w:type="dxa"/>
            <w:vMerge w:val="restart"/>
            <w:vAlign w:val="center"/>
          </w:tcPr>
          <w:p w14:paraId="101A5AF5" w14:textId="77777777" w:rsidR="00030925" w:rsidRPr="008D26CE" w:rsidRDefault="00030925" w:rsidP="003D1311">
            <w:pPr>
              <w:pStyle w:val="TCTableBody"/>
              <w:spacing w:after="0" w:line="240" w:lineRule="auto"/>
              <w:rPr>
                <w:rFonts w:eastAsia="Calibri" w:cs="Times"/>
                <w:b/>
                <w:sz w:val="16"/>
                <w:szCs w:val="16"/>
              </w:rPr>
            </w:pPr>
            <w:r w:rsidRPr="008D26CE">
              <w:rPr>
                <w:rFonts w:eastAsia="Calibri" w:cs="Times"/>
                <w:b/>
                <w:sz w:val="16"/>
                <w:szCs w:val="16"/>
              </w:rPr>
              <w:t>µmol</w:t>
            </w:r>
          </w:p>
          <w:p w14:paraId="5E2012D0" w14:textId="77777777" w:rsidR="00030925" w:rsidRPr="008D26CE" w:rsidRDefault="00030925" w:rsidP="003D1311">
            <w:pPr>
              <w:pStyle w:val="TCTableBody"/>
              <w:spacing w:after="0" w:line="240" w:lineRule="auto"/>
              <w:rPr>
                <w:rFonts w:cs="Times"/>
                <w:sz w:val="16"/>
                <w:szCs w:val="16"/>
              </w:rPr>
            </w:pPr>
            <w:r w:rsidRPr="008D26CE">
              <w:rPr>
                <w:rFonts w:eastAsia="Calibri" w:cs="Times"/>
                <w:b/>
                <w:sz w:val="16"/>
                <w:szCs w:val="16"/>
              </w:rPr>
              <w:t>NH</w:t>
            </w:r>
            <w:r w:rsidRPr="008D26CE">
              <w:rPr>
                <w:rFonts w:eastAsia="Calibri" w:cs="Times"/>
                <w:b/>
                <w:sz w:val="16"/>
                <w:szCs w:val="16"/>
                <w:vertAlign w:val="subscript"/>
              </w:rPr>
              <w:t>3</w:t>
            </w:r>
            <w:r w:rsidRPr="008D26CE">
              <w:rPr>
                <w:rFonts w:eastAsia="Calibri" w:cs="Times"/>
                <w:b/>
                <w:sz w:val="16"/>
                <w:szCs w:val="16"/>
              </w:rPr>
              <w:t>.g</w:t>
            </w:r>
            <w:r w:rsidRPr="008D26CE">
              <w:rPr>
                <w:rFonts w:eastAsia="MTSY" w:cs="Times"/>
                <w:b/>
                <w:sz w:val="16"/>
                <w:szCs w:val="16"/>
                <w:vertAlign w:val="superscript"/>
              </w:rPr>
              <w:t>−</w:t>
            </w:r>
            <w:r w:rsidRPr="008D26CE">
              <w:rPr>
                <w:rFonts w:eastAsia="Calibri" w:cs="Times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14:paraId="0F7E9D0B" w14:textId="77777777" w:rsidR="00030925" w:rsidRPr="008D26CE" w:rsidRDefault="00030925" w:rsidP="003D1311">
            <w:pPr>
              <w:pStyle w:val="TCTableBody"/>
              <w:spacing w:after="0" w:line="240" w:lineRule="auto"/>
              <w:rPr>
                <w:rFonts w:cs="Times"/>
                <w:sz w:val="16"/>
                <w:szCs w:val="16"/>
              </w:rPr>
            </w:pPr>
            <w:r w:rsidRPr="008D26CE">
              <w:rPr>
                <w:rFonts w:eastAsia="Calibri" w:cs="Times"/>
                <w:b/>
                <w:sz w:val="16"/>
                <w:szCs w:val="16"/>
                <w:lang w:val="pt-BR"/>
              </w:rPr>
              <w:t>a</w:t>
            </w:r>
            <w:r w:rsidRPr="008D26CE">
              <w:rPr>
                <w:rFonts w:eastAsia="Calibri" w:cs="Times"/>
                <w:b/>
                <w:sz w:val="16"/>
                <w:szCs w:val="16"/>
                <w:vertAlign w:val="superscript"/>
                <w:lang w:val="pt-BR"/>
              </w:rPr>
              <w:t xml:space="preserve"> </w:t>
            </w:r>
            <w:r w:rsidRPr="008D26CE">
              <w:rPr>
                <w:rFonts w:eastAsia="Calibri" w:cs="Times"/>
                <w:b/>
                <w:color w:val="000000"/>
                <w:sz w:val="16"/>
                <w:szCs w:val="16"/>
                <w:lang w:val="pt-BR"/>
              </w:rPr>
              <w:t>(%)</w:t>
            </w:r>
          </w:p>
        </w:tc>
      </w:tr>
      <w:tr w:rsidR="00030925" w:rsidRPr="008D26CE" w14:paraId="07FFE07F" w14:textId="77777777" w:rsidTr="00351806">
        <w:trPr>
          <w:trHeight w:val="437"/>
        </w:trPr>
        <w:tc>
          <w:tcPr>
            <w:tcW w:w="1696" w:type="dxa"/>
            <w:vMerge/>
            <w:vAlign w:val="center"/>
          </w:tcPr>
          <w:p w14:paraId="56FA77D8" w14:textId="77777777" w:rsidR="00030925" w:rsidRPr="008D26CE" w:rsidRDefault="00030925" w:rsidP="003D1311">
            <w:pPr>
              <w:pStyle w:val="TCTableBody"/>
              <w:spacing w:after="0" w:line="240" w:lineRule="auto"/>
              <w:rPr>
                <w:rFonts w:cs="Times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14:paraId="61D48583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eastAsia="Calibri" w:cs="Times"/>
                <w:b/>
                <w:sz w:val="16"/>
                <w:szCs w:val="16"/>
              </w:rPr>
            </w:pPr>
            <w:r w:rsidRPr="008D26CE">
              <w:rPr>
                <w:rFonts w:eastAsia="Calibri" w:cs="Times"/>
                <w:b/>
                <w:sz w:val="16"/>
                <w:szCs w:val="16"/>
              </w:rPr>
              <w:t>BET</w:t>
            </w:r>
          </w:p>
          <w:p w14:paraId="3112EFF2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eastAsia="Calibri" w:cs="Times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E8BEC55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eastAsia="Calibri" w:cs="Times"/>
                <w:b/>
                <w:sz w:val="16"/>
                <w:szCs w:val="16"/>
              </w:rPr>
            </w:pPr>
            <w:r w:rsidRPr="008D26CE">
              <w:rPr>
                <w:rFonts w:eastAsia="Calibri" w:cs="Times"/>
                <w:b/>
                <w:sz w:val="16"/>
                <w:szCs w:val="16"/>
              </w:rPr>
              <w:t>micro</w:t>
            </w:r>
          </w:p>
        </w:tc>
        <w:tc>
          <w:tcPr>
            <w:tcW w:w="425" w:type="dxa"/>
            <w:vMerge/>
            <w:vAlign w:val="center"/>
          </w:tcPr>
          <w:p w14:paraId="18F6556B" w14:textId="77777777" w:rsidR="00030925" w:rsidRPr="008D26CE" w:rsidRDefault="00030925" w:rsidP="003D1311">
            <w:pPr>
              <w:pStyle w:val="TCTableBody"/>
              <w:spacing w:after="0" w:line="240" w:lineRule="auto"/>
              <w:rPr>
                <w:rFonts w:cs="Times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D37A9DC" w14:textId="77777777" w:rsidR="00030925" w:rsidRPr="008D26CE" w:rsidRDefault="00030925" w:rsidP="003D1311">
            <w:pPr>
              <w:pStyle w:val="TCTableBody"/>
              <w:spacing w:after="0" w:line="240" w:lineRule="auto"/>
              <w:rPr>
                <w:rFonts w:eastAsia="Calibri" w:cs="Times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B7C3B69" w14:textId="77777777" w:rsidR="00030925" w:rsidRPr="008D26CE" w:rsidRDefault="00030925" w:rsidP="003D1311">
            <w:pPr>
              <w:pStyle w:val="TCTableBody"/>
              <w:spacing w:after="0" w:line="240" w:lineRule="auto"/>
              <w:rPr>
                <w:rFonts w:eastAsia="Calibri" w:cs="Times"/>
                <w:b/>
                <w:sz w:val="16"/>
                <w:szCs w:val="16"/>
                <w:vertAlign w:val="superscript"/>
                <w:lang w:val="pt-BR"/>
              </w:rPr>
            </w:pPr>
          </w:p>
        </w:tc>
      </w:tr>
      <w:tr w:rsidR="00030925" w:rsidRPr="008D26CE" w14:paraId="23366378" w14:textId="77777777" w:rsidTr="00351806">
        <w:trPr>
          <w:trHeight w:val="197"/>
        </w:trPr>
        <w:tc>
          <w:tcPr>
            <w:tcW w:w="1696" w:type="dxa"/>
            <w:vAlign w:val="center"/>
          </w:tcPr>
          <w:p w14:paraId="7E542832" w14:textId="77777777" w:rsidR="00030925" w:rsidRPr="008D26CE" w:rsidRDefault="00030925" w:rsidP="003D1311">
            <w:pPr>
              <w:pStyle w:val="TCTableBody"/>
              <w:spacing w:after="0" w:line="240" w:lineRule="auto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b/>
                <w:sz w:val="16"/>
                <w:szCs w:val="16"/>
                <w:lang w:val="pt-BR"/>
              </w:rPr>
              <w:t>H- ZSM-5</w:t>
            </w:r>
          </w:p>
        </w:tc>
        <w:tc>
          <w:tcPr>
            <w:tcW w:w="709" w:type="dxa"/>
            <w:vAlign w:val="center"/>
          </w:tcPr>
          <w:p w14:paraId="7D9711FA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  <w:lang w:val="pt-BR"/>
              </w:rPr>
              <w:t>428</w:t>
            </w:r>
          </w:p>
        </w:tc>
        <w:tc>
          <w:tcPr>
            <w:tcW w:w="709" w:type="dxa"/>
            <w:vAlign w:val="center"/>
          </w:tcPr>
          <w:p w14:paraId="2799A1ED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  <w:lang w:val="pt-BR"/>
              </w:rPr>
              <w:t>378</w:t>
            </w:r>
          </w:p>
        </w:tc>
        <w:tc>
          <w:tcPr>
            <w:tcW w:w="425" w:type="dxa"/>
            <w:vAlign w:val="center"/>
          </w:tcPr>
          <w:p w14:paraId="4BE5CF8C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  <w:lang w:val="pt-BR"/>
              </w:rPr>
              <w:t>-----</w:t>
            </w:r>
          </w:p>
        </w:tc>
        <w:tc>
          <w:tcPr>
            <w:tcW w:w="851" w:type="dxa"/>
            <w:vAlign w:val="center"/>
          </w:tcPr>
          <w:p w14:paraId="4A580E84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bCs/>
                <w:sz w:val="16"/>
                <w:szCs w:val="16"/>
              </w:rPr>
              <w:t>700</w:t>
            </w:r>
          </w:p>
        </w:tc>
        <w:tc>
          <w:tcPr>
            <w:tcW w:w="708" w:type="dxa"/>
            <w:vAlign w:val="center"/>
          </w:tcPr>
          <w:p w14:paraId="2F31C3EF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</w:rPr>
              <w:t>30:70</w:t>
            </w:r>
          </w:p>
        </w:tc>
      </w:tr>
      <w:tr w:rsidR="00030925" w:rsidRPr="008D26CE" w14:paraId="0200BD15" w14:textId="77777777" w:rsidTr="00351806">
        <w:tc>
          <w:tcPr>
            <w:tcW w:w="1696" w:type="dxa"/>
            <w:vAlign w:val="center"/>
          </w:tcPr>
          <w:p w14:paraId="7892BC8B" w14:textId="77777777" w:rsidR="00030925" w:rsidRPr="008D26CE" w:rsidRDefault="00030925" w:rsidP="003D1311">
            <w:pPr>
              <w:pStyle w:val="TCTableBody"/>
              <w:spacing w:after="0" w:line="240" w:lineRule="auto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b/>
                <w:sz w:val="16"/>
                <w:szCs w:val="16"/>
                <w:lang w:val="pt-BR"/>
              </w:rPr>
              <w:t>3Pt/HZSM-5_150</w:t>
            </w:r>
          </w:p>
        </w:tc>
        <w:tc>
          <w:tcPr>
            <w:tcW w:w="709" w:type="dxa"/>
            <w:vAlign w:val="center"/>
          </w:tcPr>
          <w:p w14:paraId="30582B6A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  <w:lang w:val="pt-BR"/>
              </w:rPr>
              <w:t>380</w:t>
            </w:r>
          </w:p>
        </w:tc>
        <w:tc>
          <w:tcPr>
            <w:tcW w:w="709" w:type="dxa"/>
            <w:vAlign w:val="center"/>
          </w:tcPr>
          <w:p w14:paraId="4186525B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  <w:lang w:val="pt-BR"/>
              </w:rPr>
              <w:t>334</w:t>
            </w:r>
          </w:p>
        </w:tc>
        <w:tc>
          <w:tcPr>
            <w:tcW w:w="425" w:type="dxa"/>
            <w:vAlign w:val="center"/>
          </w:tcPr>
          <w:p w14:paraId="59124686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  <w:lang w:val="pt-BR"/>
              </w:rPr>
              <w:t>5,0</w:t>
            </w:r>
          </w:p>
        </w:tc>
        <w:tc>
          <w:tcPr>
            <w:tcW w:w="851" w:type="dxa"/>
            <w:vAlign w:val="center"/>
          </w:tcPr>
          <w:p w14:paraId="2D2857E0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  <w:lang w:val="pt-BR"/>
              </w:rPr>
              <w:t>640</w:t>
            </w:r>
          </w:p>
        </w:tc>
        <w:tc>
          <w:tcPr>
            <w:tcW w:w="708" w:type="dxa"/>
            <w:vAlign w:val="center"/>
          </w:tcPr>
          <w:p w14:paraId="7FBFF401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</w:rPr>
              <w:t>43:57</w:t>
            </w:r>
          </w:p>
        </w:tc>
      </w:tr>
      <w:tr w:rsidR="00030925" w:rsidRPr="008D26CE" w14:paraId="74E22226" w14:textId="77777777" w:rsidTr="00351806">
        <w:tc>
          <w:tcPr>
            <w:tcW w:w="1696" w:type="dxa"/>
            <w:vAlign w:val="center"/>
          </w:tcPr>
          <w:p w14:paraId="716285B3" w14:textId="77777777" w:rsidR="00030925" w:rsidRPr="008D26CE" w:rsidRDefault="00030925" w:rsidP="003D1311">
            <w:pPr>
              <w:pStyle w:val="TCTableBody"/>
              <w:spacing w:after="0" w:line="240" w:lineRule="auto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b/>
                <w:sz w:val="16"/>
                <w:szCs w:val="16"/>
                <w:lang w:val="pt-BR"/>
              </w:rPr>
              <w:t>3Pt/HZSM-5_550</w:t>
            </w:r>
          </w:p>
        </w:tc>
        <w:tc>
          <w:tcPr>
            <w:tcW w:w="709" w:type="dxa"/>
            <w:vAlign w:val="center"/>
          </w:tcPr>
          <w:p w14:paraId="6BB01146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  <w:lang w:val="pt-BR"/>
              </w:rPr>
              <w:t>387</w:t>
            </w:r>
          </w:p>
        </w:tc>
        <w:tc>
          <w:tcPr>
            <w:tcW w:w="709" w:type="dxa"/>
            <w:vAlign w:val="center"/>
          </w:tcPr>
          <w:p w14:paraId="5C9394E7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  <w:lang w:val="pt-BR"/>
              </w:rPr>
              <w:t>337</w:t>
            </w:r>
          </w:p>
        </w:tc>
        <w:tc>
          <w:tcPr>
            <w:tcW w:w="425" w:type="dxa"/>
            <w:vAlign w:val="center"/>
          </w:tcPr>
          <w:p w14:paraId="24C4401B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  <w:lang w:val="pt-BR"/>
              </w:rPr>
              <w:t>4,7</w:t>
            </w:r>
          </w:p>
        </w:tc>
        <w:tc>
          <w:tcPr>
            <w:tcW w:w="851" w:type="dxa"/>
            <w:vAlign w:val="center"/>
          </w:tcPr>
          <w:p w14:paraId="17DC0BA6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  <w:lang w:val="pt-BR"/>
              </w:rPr>
              <w:t>630</w:t>
            </w:r>
          </w:p>
        </w:tc>
        <w:tc>
          <w:tcPr>
            <w:tcW w:w="708" w:type="dxa"/>
            <w:vAlign w:val="center"/>
          </w:tcPr>
          <w:p w14:paraId="6FB7AFDA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</w:rPr>
              <w:t>44:56</w:t>
            </w:r>
          </w:p>
        </w:tc>
      </w:tr>
      <w:tr w:rsidR="00030925" w:rsidRPr="008D26CE" w14:paraId="7F3AE10D" w14:textId="77777777" w:rsidTr="00351806">
        <w:tc>
          <w:tcPr>
            <w:tcW w:w="1696" w:type="dxa"/>
            <w:vAlign w:val="center"/>
          </w:tcPr>
          <w:p w14:paraId="2244F1A2" w14:textId="77777777" w:rsidR="00030925" w:rsidRPr="008D26CE" w:rsidRDefault="00030925" w:rsidP="003D1311">
            <w:pPr>
              <w:pStyle w:val="TCTableBody"/>
              <w:spacing w:after="0" w:line="240" w:lineRule="auto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b/>
                <w:sz w:val="16"/>
                <w:szCs w:val="16"/>
                <w:lang w:val="pt-BR"/>
              </w:rPr>
              <w:t>3Pt/HZSM-5_150_u</w:t>
            </w:r>
          </w:p>
        </w:tc>
        <w:tc>
          <w:tcPr>
            <w:tcW w:w="709" w:type="dxa"/>
            <w:vAlign w:val="center"/>
          </w:tcPr>
          <w:p w14:paraId="49F6A7FF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  <w:lang w:val="pt-BR"/>
              </w:rPr>
              <w:t>400</w:t>
            </w:r>
          </w:p>
        </w:tc>
        <w:tc>
          <w:tcPr>
            <w:tcW w:w="709" w:type="dxa"/>
            <w:vAlign w:val="center"/>
          </w:tcPr>
          <w:p w14:paraId="1697BACE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  <w:lang w:val="pt-BR"/>
              </w:rPr>
              <w:t>347</w:t>
            </w:r>
          </w:p>
        </w:tc>
        <w:tc>
          <w:tcPr>
            <w:tcW w:w="425" w:type="dxa"/>
            <w:vAlign w:val="center"/>
          </w:tcPr>
          <w:p w14:paraId="55E62A28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  <w:lang w:val="pt-BR"/>
              </w:rPr>
              <w:t>3,1</w:t>
            </w:r>
          </w:p>
        </w:tc>
        <w:tc>
          <w:tcPr>
            <w:tcW w:w="851" w:type="dxa"/>
            <w:vAlign w:val="center"/>
          </w:tcPr>
          <w:p w14:paraId="79EC18A5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  <w:lang w:val="pt-BR"/>
              </w:rPr>
              <w:t>588</w:t>
            </w:r>
          </w:p>
        </w:tc>
        <w:tc>
          <w:tcPr>
            <w:tcW w:w="708" w:type="dxa"/>
            <w:vAlign w:val="center"/>
          </w:tcPr>
          <w:p w14:paraId="717A6328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</w:rPr>
              <w:t>29:71</w:t>
            </w:r>
          </w:p>
        </w:tc>
      </w:tr>
      <w:tr w:rsidR="00030925" w:rsidRPr="008D26CE" w14:paraId="4C2FEE1D" w14:textId="77777777" w:rsidTr="00351806">
        <w:tc>
          <w:tcPr>
            <w:tcW w:w="1696" w:type="dxa"/>
            <w:vAlign w:val="center"/>
          </w:tcPr>
          <w:p w14:paraId="10D8A2BE" w14:textId="77777777" w:rsidR="00030925" w:rsidRPr="008D26CE" w:rsidRDefault="00030925" w:rsidP="003D1311">
            <w:pPr>
              <w:pStyle w:val="TCTableBody"/>
              <w:spacing w:after="0" w:line="240" w:lineRule="auto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b/>
                <w:sz w:val="16"/>
                <w:szCs w:val="16"/>
                <w:lang w:val="pt-BR"/>
              </w:rPr>
              <w:t>3Pt/HZSM-5_550_u</w:t>
            </w:r>
          </w:p>
        </w:tc>
        <w:tc>
          <w:tcPr>
            <w:tcW w:w="709" w:type="dxa"/>
            <w:vAlign w:val="center"/>
          </w:tcPr>
          <w:p w14:paraId="61E7FF9B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  <w:lang w:val="pt-BR"/>
              </w:rPr>
              <w:t>393</w:t>
            </w:r>
          </w:p>
        </w:tc>
        <w:tc>
          <w:tcPr>
            <w:tcW w:w="709" w:type="dxa"/>
            <w:vAlign w:val="center"/>
          </w:tcPr>
          <w:p w14:paraId="1C45BA13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  <w:lang w:val="pt-BR"/>
              </w:rPr>
              <w:t>331</w:t>
            </w:r>
          </w:p>
        </w:tc>
        <w:tc>
          <w:tcPr>
            <w:tcW w:w="425" w:type="dxa"/>
            <w:vAlign w:val="center"/>
          </w:tcPr>
          <w:p w14:paraId="3A00196F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  <w:lang w:val="pt-BR"/>
              </w:rPr>
              <w:t>3,1</w:t>
            </w:r>
          </w:p>
        </w:tc>
        <w:tc>
          <w:tcPr>
            <w:tcW w:w="851" w:type="dxa"/>
            <w:vAlign w:val="center"/>
          </w:tcPr>
          <w:p w14:paraId="30DC8972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  <w:lang w:val="pt-BR"/>
              </w:rPr>
              <w:t>513</w:t>
            </w:r>
          </w:p>
        </w:tc>
        <w:tc>
          <w:tcPr>
            <w:tcW w:w="708" w:type="dxa"/>
            <w:vAlign w:val="center"/>
          </w:tcPr>
          <w:p w14:paraId="1791B741" w14:textId="77777777" w:rsidR="00030925" w:rsidRPr="008D26CE" w:rsidRDefault="00030925" w:rsidP="003D1311">
            <w:pPr>
              <w:pStyle w:val="TCTableBody"/>
              <w:spacing w:after="0"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D26CE">
              <w:rPr>
                <w:rFonts w:cs="Times"/>
                <w:sz w:val="16"/>
                <w:szCs w:val="16"/>
              </w:rPr>
              <w:t>34:66</w:t>
            </w:r>
          </w:p>
        </w:tc>
      </w:tr>
    </w:tbl>
    <w:p w14:paraId="444AD069" w14:textId="2D9D5108" w:rsidR="00140124" w:rsidRPr="008D26CE" w:rsidRDefault="00140124" w:rsidP="00140124">
      <w:pPr>
        <w:jc w:val="both"/>
        <w:rPr>
          <w:rFonts w:ascii="Times New Roman" w:hAnsi="Times New Roman" w:cs="Times New Roman"/>
          <w:sz w:val="20"/>
          <w:szCs w:val="20"/>
        </w:rPr>
      </w:pPr>
      <w:r w:rsidRPr="008D26CE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Tabela 1.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Resultados de análise textural, diâmetro médio </w:t>
      </w:r>
      <w:r w:rsidR="00D528E1" w:rsidRPr="008D26CE"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>e  partícula de Pt e resultados de TPD-NH</w:t>
      </w:r>
      <w:r w:rsidRPr="008D26CE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3.</w:t>
      </w:r>
    </w:p>
    <w:p w14:paraId="0FB52F8D" w14:textId="02800868" w:rsidR="00BB1674" w:rsidRPr="008D26CE" w:rsidRDefault="009E047E" w:rsidP="00EF3CF9">
      <w:pPr>
        <w:pStyle w:val="TCTableBody"/>
        <w:spacing w:before="240"/>
        <w:rPr>
          <w:rFonts w:ascii="Times New Roman" w:eastAsia="Calibri" w:hAnsi="Times New Roman"/>
          <w:b/>
          <w:color w:val="000000"/>
          <w:sz w:val="16"/>
          <w:szCs w:val="16"/>
          <w:lang w:val="pt-BR"/>
        </w:rPr>
      </w:pPr>
      <w:r w:rsidRPr="008D26CE">
        <w:rPr>
          <w:sz w:val="24"/>
          <w:szCs w:val="24"/>
          <w:vertAlign w:val="superscript"/>
          <w:lang w:val="pt-BR"/>
        </w:rPr>
        <w:t xml:space="preserve">a </w:t>
      </w:r>
      <w:r w:rsidRPr="008D26CE">
        <w:rPr>
          <w:rFonts w:ascii="Times New Roman" w:eastAsia="Calibri" w:hAnsi="Times New Roman"/>
          <w:b/>
          <w:color w:val="000000"/>
          <w:sz w:val="16"/>
          <w:szCs w:val="16"/>
          <w:lang w:val="pt-BR"/>
        </w:rPr>
        <w:t>Razão entre sítios ácidos  fracos/moderados:fortes</w:t>
      </w:r>
    </w:p>
    <w:p w14:paraId="09DF7DA3" w14:textId="77777777" w:rsidR="006C6FD9" w:rsidRDefault="006A3BB2" w:rsidP="006C6FD9">
      <w:pPr>
        <w:pStyle w:val="VDTableTitle"/>
        <w:spacing w:before="240" w:line="276" w:lineRule="auto"/>
        <w:ind w:firstLine="284"/>
        <w:jc w:val="both"/>
        <w:rPr>
          <w:rFonts w:ascii="Times New Roman" w:hAnsi="Times New Roman"/>
          <w:bCs/>
          <w:sz w:val="20"/>
          <w:lang w:val="pt-BR"/>
        </w:rPr>
      </w:pPr>
      <w:r w:rsidRPr="008D26CE">
        <w:rPr>
          <w:rFonts w:ascii="Times New Roman" w:hAnsi="Times New Roman"/>
          <w:bCs/>
          <w:sz w:val="20"/>
          <w:lang w:val="pt-BR"/>
        </w:rPr>
        <w:t xml:space="preserve">As imagens de MET da zeólita HZSM-5 e dos catalisadores de Pt suportada em HZSM-5 são mostradas na Fig. 2A e as distribuições de tamanho correspondentes são apresentadas na Fig. 2B. </w:t>
      </w:r>
      <w:r w:rsidR="00650142" w:rsidRPr="008D26CE">
        <w:rPr>
          <w:rFonts w:ascii="Times New Roman" w:hAnsi="Times New Roman"/>
          <w:bCs/>
          <w:sz w:val="20"/>
          <w:lang w:val="pt-BR"/>
        </w:rPr>
        <w:t>N</w:t>
      </w:r>
      <w:r w:rsidRPr="008D26CE">
        <w:rPr>
          <w:rFonts w:ascii="Times New Roman" w:hAnsi="Times New Roman"/>
          <w:bCs/>
          <w:sz w:val="20"/>
          <w:lang w:val="pt-BR"/>
        </w:rPr>
        <w:t>a imagem</w:t>
      </w:r>
      <w:r w:rsidR="00650142" w:rsidRPr="008D26CE">
        <w:rPr>
          <w:rFonts w:ascii="Times New Roman" w:hAnsi="Times New Roman"/>
          <w:bCs/>
          <w:sz w:val="20"/>
          <w:lang w:val="pt-BR"/>
        </w:rPr>
        <w:t xml:space="preserve"> da zeólita</w:t>
      </w:r>
      <w:r w:rsidRPr="008D26CE">
        <w:rPr>
          <w:rFonts w:ascii="Times New Roman" w:hAnsi="Times New Roman"/>
          <w:bCs/>
          <w:sz w:val="20"/>
          <w:lang w:val="pt-BR"/>
        </w:rPr>
        <w:t xml:space="preserve"> HZSM-5 é</w:t>
      </w:r>
      <w:r w:rsidR="00650142" w:rsidRPr="008D26CE">
        <w:rPr>
          <w:rFonts w:ascii="Times New Roman" w:hAnsi="Times New Roman"/>
          <w:bCs/>
          <w:sz w:val="20"/>
          <w:lang w:val="pt-BR"/>
        </w:rPr>
        <w:t xml:space="preserve"> possível observar a presença de </w:t>
      </w:r>
      <w:r w:rsidRPr="008D26CE">
        <w:rPr>
          <w:rFonts w:ascii="Times New Roman" w:hAnsi="Times New Roman"/>
          <w:bCs/>
          <w:sz w:val="20"/>
          <w:lang w:val="pt-BR"/>
        </w:rPr>
        <w:t xml:space="preserve">mesoporos </w:t>
      </w:r>
      <w:r w:rsidR="00650142" w:rsidRPr="008D26CE">
        <w:rPr>
          <w:rFonts w:ascii="Times New Roman" w:hAnsi="Times New Roman"/>
          <w:bCs/>
          <w:sz w:val="20"/>
          <w:lang w:val="pt-BR"/>
        </w:rPr>
        <w:t xml:space="preserve">formados por </w:t>
      </w:r>
      <w:r w:rsidRPr="008D26CE">
        <w:rPr>
          <w:rFonts w:ascii="Times New Roman" w:hAnsi="Times New Roman"/>
          <w:bCs/>
          <w:sz w:val="20"/>
          <w:lang w:val="pt-BR"/>
        </w:rPr>
        <w:t xml:space="preserve">canais com diâmetro próximo a 20 nm. </w:t>
      </w:r>
      <w:r w:rsidR="00E662CF" w:rsidRPr="008D26CE">
        <w:rPr>
          <w:rFonts w:ascii="Times New Roman" w:hAnsi="Times New Roman"/>
          <w:bCs/>
          <w:sz w:val="20"/>
          <w:lang w:val="pt-BR"/>
        </w:rPr>
        <w:t>Na</w:t>
      </w:r>
      <w:r w:rsidR="00650142" w:rsidRPr="008D26CE">
        <w:rPr>
          <w:rFonts w:ascii="Times New Roman" w:hAnsi="Times New Roman"/>
          <w:bCs/>
          <w:sz w:val="20"/>
          <w:lang w:val="pt-BR"/>
        </w:rPr>
        <w:t>s imagens referentes aos catalisadores, e</w:t>
      </w:r>
      <w:r w:rsidRPr="008D26CE">
        <w:rPr>
          <w:rFonts w:ascii="Times New Roman" w:hAnsi="Times New Roman"/>
          <w:bCs/>
          <w:sz w:val="20"/>
          <w:lang w:val="pt-BR"/>
        </w:rPr>
        <w:t>specialmente para 3Pt/HZSM-5_150</w:t>
      </w:r>
      <w:r w:rsidR="00D528E1" w:rsidRPr="008D26CE">
        <w:rPr>
          <w:rFonts w:ascii="Times New Roman" w:hAnsi="Times New Roman"/>
          <w:bCs/>
          <w:sz w:val="20"/>
          <w:lang w:val="pt-BR"/>
        </w:rPr>
        <w:t>,</w:t>
      </w:r>
      <w:r w:rsidRPr="008D26CE">
        <w:rPr>
          <w:rFonts w:ascii="Times New Roman" w:hAnsi="Times New Roman"/>
          <w:bCs/>
          <w:sz w:val="20"/>
          <w:lang w:val="pt-BR"/>
        </w:rPr>
        <w:t xml:space="preserve"> é possível observar grandes aglomerados de partículas de Pt seguindo o caminho dos poros e canais. </w:t>
      </w:r>
      <w:r w:rsidR="00650142" w:rsidRPr="008D26CE">
        <w:rPr>
          <w:rFonts w:ascii="Times New Roman" w:hAnsi="Times New Roman"/>
          <w:bCs/>
          <w:sz w:val="20"/>
          <w:lang w:val="pt-BR"/>
        </w:rPr>
        <w:t>A presença desses</w:t>
      </w:r>
      <w:r w:rsidRPr="008D26CE">
        <w:rPr>
          <w:rFonts w:ascii="Times New Roman" w:hAnsi="Times New Roman"/>
          <w:bCs/>
          <w:sz w:val="20"/>
          <w:lang w:val="pt-BR"/>
        </w:rPr>
        <w:t xml:space="preserve"> grandes aglomerados dificulta a contagem e medição de tamanho das partículas de Pt, </w:t>
      </w:r>
      <w:r w:rsidR="00650142" w:rsidRPr="008D26CE">
        <w:rPr>
          <w:rFonts w:ascii="Times New Roman" w:hAnsi="Times New Roman"/>
          <w:bCs/>
          <w:sz w:val="20"/>
          <w:lang w:val="pt-BR"/>
        </w:rPr>
        <w:t xml:space="preserve">uma vez que essa proximidade dificulta </w:t>
      </w:r>
      <w:r w:rsidR="00F25017" w:rsidRPr="008D26CE">
        <w:rPr>
          <w:rFonts w:ascii="Times New Roman" w:hAnsi="Times New Roman"/>
          <w:bCs/>
          <w:sz w:val="20"/>
          <w:lang w:val="pt-BR"/>
        </w:rPr>
        <w:t>suas respectivas,</w:t>
      </w:r>
      <w:r w:rsidR="00650142" w:rsidRPr="008D26CE">
        <w:rPr>
          <w:rFonts w:ascii="Times New Roman" w:hAnsi="Times New Roman"/>
          <w:bCs/>
          <w:sz w:val="20"/>
          <w:lang w:val="pt-BR"/>
        </w:rPr>
        <w:t xml:space="preserve"> identificação e quantificação</w:t>
      </w:r>
      <w:r w:rsidRPr="008D26CE">
        <w:rPr>
          <w:rFonts w:ascii="Times New Roman" w:hAnsi="Times New Roman"/>
          <w:bCs/>
          <w:sz w:val="20"/>
          <w:lang w:val="pt-BR"/>
        </w:rPr>
        <w:t xml:space="preserve">. Isso pode trazer alguns erros nas distribuições </w:t>
      </w:r>
    </w:p>
    <w:p w14:paraId="446F78CF" w14:textId="77777777" w:rsidR="006C6FD9" w:rsidRPr="008D26CE" w:rsidRDefault="006C6FD9" w:rsidP="006C6FD9">
      <w:pPr>
        <w:spacing w:after="0"/>
      </w:pPr>
      <w:r w:rsidRPr="008D26CE">
        <w:rPr>
          <w:rFonts w:ascii="Times New Roman" w:hAnsi="Times New Roman" w:cs="Times New Roman"/>
          <w:b/>
          <w:bCs/>
          <w:sz w:val="18"/>
          <w:szCs w:val="18"/>
        </w:rPr>
        <w:t>Figura 2</w:t>
      </w:r>
      <w:r w:rsidRPr="008D26CE">
        <w:rPr>
          <w:rFonts w:ascii="Times New Roman" w:hAnsi="Times New Roman" w:cs="Times New Roman"/>
          <w:sz w:val="18"/>
          <w:szCs w:val="18"/>
        </w:rPr>
        <w:t>. A) Imagens de microscopia eletrônica de transmissão e B) Histogramas com a distribuição de tamanho de partículas de Pt.</w:t>
      </w:r>
      <w:r w:rsidRPr="008D26CE">
        <w:t xml:space="preserve"> </w:t>
      </w:r>
    </w:p>
    <w:p w14:paraId="22B988B8" w14:textId="0A302396" w:rsidR="00BB1674" w:rsidRPr="008D26CE" w:rsidRDefault="006C6FD9" w:rsidP="006C6FD9">
      <w:pPr>
        <w:pStyle w:val="VDTableTitle"/>
        <w:spacing w:after="0" w:line="276" w:lineRule="auto"/>
        <w:jc w:val="both"/>
        <w:rPr>
          <w:rFonts w:ascii="Times New Roman" w:hAnsi="Times New Roman"/>
          <w:bCs/>
          <w:sz w:val="20"/>
          <w:lang w:val="pt-BR"/>
        </w:rPr>
      </w:pPr>
      <w:r>
        <w:rPr>
          <w:rFonts w:ascii="Times New Roman" w:hAnsi="Times New Roman"/>
          <w:bCs/>
          <w:sz w:val="20"/>
          <w:lang w:val="pt-BR"/>
        </w:rPr>
        <w:t>d</w:t>
      </w:r>
      <w:r w:rsidR="006A3BB2" w:rsidRPr="008D26CE">
        <w:rPr>
          <w:rFonts w:ascii="Times New Roman" w:hAnsi="Times New Roman"/>
          <w:bCs/>
          <w:sz w:val="20"/>
          <w:lang w:val="pt-BR"/>
        </w:rPr>
        <w:t>e tamanhos de partículas (histogramas). As imagens dos catalisadores usados, especialmente 3Pt/HZSM-5_150_u</w:t>
      </w:r>
      <w:r w:rsidR="00E662CF" w:rsidRPr="008D26CE">
        <w:rPr>
          <w:rFonts w:ascii="Times New Roman" w:hAnsi="Times New Roman"/>
          <w:bCs/>
          <w:sz w:val="20"/>
          <w:lang w:val="pt-BR"/>
        </w:rPr>
        <w:t>,</w:t>
      </w:r>
      <w:r w:rsidR="006A3BB2" w:rsidRPr="008D26CE">
        <w:rPr>
          <w:rFonts w:ascii="Times New Roman" w:hAnsi="Times New Roman"/>
          <w:bCs/>
          <w:sz w:val="20"/>
          <w:lang w:val="pt-BR"/>
        </w:rPr>
        <w:t xml:space="preserve"> mostram que as partículas de Pt que estavam bloqueando os poros foram “redispersas” durante a primeira reação de oxidação do glicerol</w:t>
      </w:r>
      <w:r w:rsidR="003C15C2" w:rsidRPr="008D26CE">
        <w:rPr>
          <w:rFonts w:ascii="Times New Roman" w:hAnsi="Times New Roman"/>
          <w:bCs/>
          <w:sz w:val="20"/>
          <w:lang w:val="pt-BR"/>
        </w:rPr>
        <w:t>,</w:t>
      </w:r>
      <w:r w:rsidR="00EA6EEF" w:rsidRPr="008D26CE">
        <w:rPr>
          <w:rFonts w:ascii="Times New Roman" w:hAnsi="Times New Roman"/>
          <w:bCs/>
          <w:sz w:val="20"/>
          <w:lang w:val="pt-BR"/>
        </w:rPr>
        <w:t xml:space="preserve"> </w:t>
      </w:r>
      <w:r w:rsidR="003C15C2" w:rsidRPr="008D26CE">
        <w:rPr>
          <w:rFonts w:ascii="Times New Roman" w:hAnsi="Times New Roman"/>
          <w:bCs/>
          <w:sz w:val="20"/>
          <w:lang w:val="pt-BR"/>
        </w:rPr>
        <w:t>não apresentando mais superaglomerados</w:t>
      </w:r>
      <w:r w:rsidR="00EA6EEF" w:rsidRPr="008D26CE">
        <w:rPr>
          <w:rFonts w:ascii="Times New Roman" w:hAnsi="Times New Roman"/>
          <w:bCs/>
          <w:sz w:val="20"/>
          <w:lang w:val="pt-BR"/>
        </w:rPr>
        <w:t xml:space="preserve">; isso pode ser comprovado através da redução no </w:t>
      </w:r>
      <w:r w:rsidR="006A3BB2" w:rsidRPr="008D26CE">
        <w:rPr>
          <w:rFonts w:ascii="Times New Roman" w:hAnsi="Times New Roman"/>
          <w:bCs/>
          <w:sz w:val="20"/>
          <w:lang w:val="pt-BR"/>
        </w:rPr>
        <w:t>tamanho médio das partículas de Pt</w:t>
      </w:r>
      <w:r w:rsidR="00EA6EEF" w:rsidRPr="008D26CE">
        <w:rPr>
          <w:rFonts w:ascii="Times New Roman" w:hAnsi="Times New Roman"/>
          <w:bCs/>
          <w:sz w:val="20"/>
          <w:lang w:val="pt-BR"/>
        </w:rPr>
        <w:t xml:space="preserve"> </w:t>
      </w:r>
      <w:r w:rsidR="006A3BB2" w:rsidRPr="008D26CE">
        <w:rPr>
          <w:rFonts w:ascii="Times New Roman" w:hAnsi="Times New Roman"/>
          <w:bCs/>
          <w:sz w:val="20"/>
          <w:lang w:val="pt-BR"/>
        </w:rPr>
        <w:t>(Tabela 1).</w:t>
      </w:r>
      <w:r w:rsidR="006A3BB2" w:rsidRPr="008D26CE">
        <w:rPr>
          <w:lang w:val="pt-BR"/>
        </w:rPr>
        <w:t xml:space="preserve"> </w:t>
      </w:r>
      <w:r w:rsidR="006A3BB2" w:rsidRPr="008D26CE">
        <w:rPr>
          <w:rFonts w:ascii="Times New Roman" w:hAnsi="Times New Roman"/>
          <w:bCs/>
          <w:sz w:val="20"/>
          <w:lang w:val="pt-BR"/>
        </w:rPr>
        <w:t xml:space="preserve">As imagens de MET também foram usadas para determinar as distribuições de tamanho de partícula de platina (Fig. 2B). Distribuições mais amplas de partículas de Pt foram observadas para </w:t>
      </w:r>
      <w:r w:rsidR="00E662CF" w:rsidRPr="008D26CE">
        <w:rPr>
          <w:rFonts w:ascii="Times New Roman" w:hAnsi="Times New Roman"/>
          <w:bCs/>
          <w:sz w:val="20"/>
          <w:lang w:val="pt-BR"/>
        </w:rPr>
        <w:t xml:space="preserve">os </w:t>
      </w:r>
      <w:r w:rsidR="006A3BB2" w:rsidRPr="008D26CE">
        <w:rPr>
          <w:rFonts w:ascii="Times New Roman" w:hAnsi="Times New Roman"/>
          <w:bCs/>
          <w:sz w:val="20"/>
          <w:lang w:val="pt-BR"/>
        </w:rPr>
        <w:t xml:space="preserve">catalisadores frescos. A distribuição de partículas de Pt ligeiramente mais estreita é apresentada para </w:t>
      </w:r>
      <w:r w:rsidR="004A71C6" w:rsidRPr="008D26CE">
        <w:rPr>
          <w:rFonts w:ascii="Times New Roman" w:hAnsi="Times New Roman"/>
          <w:bCs/>
          <w:sz w:val="20"/>
          <w:lang w:val="pt-BR"/>
        </w:rPr>
        <w:t>ambos os catalisador</w:t>
      </w:r>
      <w:r w:rsidR="00E662CF" w:rsidRPr="008D26CE">
        <w:rPr>
          <w:rFonts w:ascii="Times New Roman" w:hAnsi="Times New Roman"/>
          <w:bCs/>
          <w:sz w:val="20"/>
          <w:lang w:val="pt-BR"/>
        </w:rPr>
        <w:t>es</w:t>
      </w:r>
      <w:r w:rsidR="004A71C6" w:rsidRPr="008D26CE">
        <w:rPr>
          <w:rFonts w:ascii="Times New Roman" w:hAnsi="Times New Roman"/>
          <w:bCs/>
          <w:sz w:val="20"/>
          <w:lang w:val="pt-BR"/>
        </w:rPr>
        <w:t xml:space="preserve"> usados, o que reforça a ideia de que as partículas aglomeradas nos poros foram redispersas. </w:t>
      </w:r>
      <w:r w:rsidR="006A3BB2" w:rsidRPr="008D26CE">
        <w:rPr>
          <w:rFonts w:ascii="Times New Roman" w:hAnsi="Times New Roman"/>
          <w:bCs/>
          <w:sz w:val="20"/>
          <w:lang w:val="pt-BR"/>
        </w:rPr>
        <w:t xml:space="preserve">Os histogramas mostram a mesma tendência observada para </w:t>
      </w:r>
      <w:r w:rsidR="00E662CF" w:rsidRPr="008D26CE">
        <w:rPr>
          <w:rFonts w:ascii="Times New Roman" w:hAnsi="Times New Roman"/>
          <w:bCs/>
          <w:sz w:val="20"/>
          <w:lang w:val="pt-BR"/>
        </w:rPr>
        <w:t xml:space="preserve">os </w:t>
      </w:r>
      <w:r w:rsidR="006A3BB2" w:rsidRPr="008D26CE">
        <w:rPr>
          <w:rFonts w:ascii="Times New Roman" w:hAnsi="Times New Roman"/>
          <w:bCs/>
          <w:sz w:val="20"/>
          <w:lang w:val="pt-BR"/>
        </w:rPr>
        <w:t>catalisadores frescos, com distribuições de tamanho mais amplas para catalisador calcinado a 150°C. Partículas de metal foram medidas a partir de imagens TEM contando mais de 300 partículas em cada caso.</w:t>
      </w:r>
      <w:r w:rsidR="00B37EBA" w:rsidRPr="008D26CE">
        <w:rPr>
          <w:rFonts w:ascii="Times New Roman" w:hAnsi="Times New Roman"/>
          <w:bCs/>
          <w:sz w:val="20"/>
          <w:lang w:val="pt-BR"/>
        </w:rPr>
        <w:t xml:space="preserve"> Isso nos leva a concluir que após a impregnação e decomposição térmica do </w:t>
      </w:r>
      <w:r w:rsidR="00B37EBA" w:rsidRPr="008D26CE">
        <w:rPr>
          <w:rFonts w:ascii="Times New Roman" w:hAnsi="Times New Roman"/>
          <w:bCs/>
          <w:sz w:val="20"/>
          <w:lang w:val="pt-BR"/>
        </w:rPr>
        <w:lastRenderedPageBreak/>
        <w:t xml:space="preserve">precursor metálico, a </w:t>
      </w:r>
      <w:r w:rsidR="00E662CF" w:rsidRPr="008D26CE">
        <w:rPr>
          <w:rFonts w:ascii="Times New Roman" w:hAnsi="Times New Roman"/>
          <w:bCs/>
          <w:sz w:val="20"/>
          <w:lang w:val="pt-BR"/>
        </w:rPr>
        <w:t>p</w:t>
      </w:r>
      <w:r w:rsidR="00B37EBA" w:rsidRPr="008D26CE">
        <w:rPr>
          <w:rFonts w:ascii="Times New Roman" w:hAnsi="Times New Roman"/>
          <w:bCs/>
          <w:sz w:val="20"/>
          <w:lang w:val="pt-BR"/>
        </w:rPr>
        <w:t>latina se depositou preferencialmente dentro dos poros e na forma de grandes aglomerados. Após a reação de oxidação, realizada sob agitação e borbulhamento de ar sintético, esses aglomerado</w:t>
      </w:r>
      <w:r w:rsidR="00E662CF" w:rsidRPr="008D26CE">
        <w:rPr>
          <w:rFonts w:ascii="Times New Roman" w:hAnsi="Times New Roman"/>
          <w:bCs/>
          <w:sz w:val="20"/>
          <w:lang w:val="pt-BR"/>
        </w:rPr>
        <w:t>s</w:t>
      </w:r>
      <w:r w:rsidR="00B37EBA" w:rsidRPr="008D26CE">
        <w:rPr>
          <w:rFonts w:ascii="Times New Roman" w:hAnsi="Times New Roman"/>
          <w:bCs/>
          <w:sz w:val="20"/>
          <w:lang w:val="pt-BR"/>
        </w:rPr>
        <w:t xml:space="preserve"> se dispersaram, produzindo assim um catalisador com melhor dispersão dos sítios metálicos. </w:t>
      </w:r>
    </w:p>
    <w:p w14:paraId="62C2AE34" w14:textId="135CF52B" w:rsidR="008143CF" w:rsidRPr="008D26CE" w:rsidRDefault="007730F6" w:rsidP="006C6FD9">
      <w:pPr>
        <w:pStyle w:val="VDTableTitle"/>
        <w:spacing w:after="0" w:line="276" w:lineRule="auto"/>
        <w:ind w:firstLine="284"/>
        <w:jc w:val="both"/>
        <w:rPr>
          <w:rFonts w:ascii="Times New Roman" w:hAnsi="Times New Roman"/>
          <w:sz w:val="20"/>
          <w:lang w:val="pt-BR"/>
        </w:rPr>
      </w:pPr>
      <w:bookmarkStart w:id="2" w:name="_Hlk129619770"/>
      <w:r w:rsidRPr="008D26CE">
        <w:rPr>
          <w:rFonts w:ascii="Times New Roman" w:hAnsi="Times New Roman"/>
          <w:bCs/>
          <w:sz w:val="20"/>
          <w:lang w:val="pt-BR"/>
        </w:rPr>
        <w:t xml:space="preserve">Os resultados de XPS são apresentados na Tabela </w:t>
      </w:r>
      <w:r w:rsidR="00296826" w:rsidRPr="008D26CE">
        <w:rPr>
          <w:rFonts w:ascii="Times New Roman" w:hAnsi="Times New Roman"/>
          <w:bCs/>
          <w:sz w:val="20"/>
          <w:lang w:val="pt-BR"/>
        </w:rPr>
        <w:t>2</w:t>
      </w:r>
      <w:r w:rsidR="001F2B20" w:rsidRPr="008D26CE">
        <w:rPr>
          <w:rFonts w:ascii="Times New Roman" w:hAnsi="Times New Roman"/>
          <w:bCs/>
          <w:sz w:val="20"/>
          <w:lang w:val="pt-BR"/>
        </w:rPr>
        <w:t xml:space="preserve">. </w:t>
      </w:r>
      <w:r w:rsidRPr="008D26CE">
        <w:rPr>
          <w:rFonts w:ascii="Times New Roman" w:hAnsi="Times New Roman"/>
          <w:bCs/>
          <w:sz w:val="20"/>
          <w:lang w:val="pt-BR"/>
        </w:rPr>
        <w:t xml:space="preserve">O catalisador fresco 3Pt/HZSM-5_150 mostrou dois picos em </w:t>
      </w:r>
      <w:r w:rsidR="001F2B20" w:rsidRPr="008D26CE">
        <w:rPr>
          <w:rFonts w:ascii="Times New Roman" w:hAnsi="Times New Roman"/>
          <w:bCs/>
          <w:sz w:val="20"/>
          <w:lang w:val="pt-BR"/>
        </w:rPr>
        <w:t xml:space="preserve">B.E. igual a </w:t>
      </w:r>
      <w:r w:rsidRPr="008D26CE">
        <w:rPr>
          <w:rFonts w:ascii="Times New Roman" w:hAnsi="Times New Roman"/>
          <w:bCs/>
          <w:sz w:val="20"/>
          <w:lang w:val="pt-BR"/>
        </w:rPr>
        <w:t>71,0</w:t>
      </w:r>
      <w:r w:rsidR="001F2B20" w:rsidRPr="008D26CE">
        <w:rPr>
          <w:rFonts w:ascii="Times New Roman" w:hAnsi="Times New Roman"/>
          <w:bCs/>
          <w:sz w:val="20"/>
          <w:lang w:val="pt-BR"/>
        </w:rPr>
        <w:t xml:space="preserve"> eV</w:t>
      </w:r>
      <w:r w:rsidRPr="008D26CE">
        <w:rPr>
          <w:rFonts w:ascii="Times New Roman" w:hAnsi="Times New Roman"/>
          <w:bCs/>
          <w:sz w:val="20"/>
          <w:lang w:val="pt-BR"/>
        </w:rPr>
        <w:t xml:space="preserve"> para Pt4f</w:t>
      </w:r>
      <w:r w:rsidRPr="008D26CE">
        <w:rPr>
          <w:rFonts w:ascii="Times New Roman" w:hAnsi="Times New Roman"/>
          <w:bCs/>
          <w:sz w:val="20"/>
          <w:vertAlign w:val="subscript"/>
          <w:lang w:val="pt-BR"/>
        </w:rPr>
        <w:t>7/2</w:t>
      </w:r>
      <w:r w:rsidRPr="008D26CE">
        <w:rPr>
          <w:rFonts w:ascii="Times New Roman" w:hAnsi="Times New Roman"/>
          <w:bCs/>
          <w:sz w:val="20"/>
          <w:lang w:val="pt-BR"/>
        </w:rPr>
        <w:t xml:space="preserve"> e 74,3 eV para Pt4f</w:t>
      </w:r>
      <w:r w:rsidRPr="008D26CE">
        <w:rPr>
          <w:rFonts w:ascii="Times New Roman" w:hAnsi="Times New Roman"/>
          <w:bCs/>
          <w:sz w:val="20"/>
          <w:vertAlign w:val="subscript"/>
          <w:lang w:val="pt-BR"/>
        </w:rPr>
        <w:t>5/2</w:t>
      </w:r>
      <w:r w:rsidRPr="008D26CE">
        <w:rPr>
          <w:rFonts w:ascii="Times New Roman" w:hAnsi="Times New Roman"/>
          <w:bCs/>
          <w:sz w:val="20"/>
          <w:lang w:val="pt-BR"/>
        </w:rPr>
        <w:t>, atribuídos à platina metálica [</w:t>
      </w:r>
      <w:r w:rsidR="001F2B20" w:rsidRPr="008D26CE">
        <w:rPr>
          <w:rFonts w:ascii="Times New Roman" w:hAnsi="Times New Roman"/>
          <w:bCs/>
          <w:sz w:val="20"/>
          <w:lang w:val="pt-BR"/>
        </w:rPr>
        <w:t>8, 9</w:t>
      </w:r>
      <w:r w:rsidRPr="008D26CE">
        <w:rPr>
          <w:rFonts w:ascii="Times New Roman" w:hAnsi="Times New Roman"/>
          <w:bCs/>
          <w:sz w:val="20"/>
          <w:lang w:val="pt-BR"/>
        </w:rPr>
        <w:t>]. Também está presente um pico associado a Pt</w:t>
      </w:r>
      <w:r w:rsidRPr="008D26CE">
        <w:rPr>
          <w:rFonts w:ascii="Times New Roman" w:hAnsi="Times New Roman"/>
          <w:bCs/>
          <w:sz w:val="20"/>
          <w:vertAlign w:val="superscript"/>
          <w:lang w:val="pt-BR"/>
        </w:rPr>
        <w:t>2+</w:t>
      </w:r>
      <w:r w:rsidRPr="008D26CE">
        <w:rPr>
          <w:rFonts w:ascii="Times New Roman" w:hAnsi="Times New Roman"/>
          <w:bCs/>
          <w:sz w:val="20"/>
          <w:lang w:val="pt-BR"/>
        </w:rPr>
        <w:t xml:space="preserve"> em 71,8 eV atribuído a Pt4f</w:t>
      </w:r>
      <w:r w:rsidRPr="008D26CE">
        <w:rPr>
          <w:rFonts w:ascii="Times New Roman" w:hAnsi="Times New Roman"/>
          <w:bCs/>
          <w:sz w:val="20"/>
          <w:vertAlign w:val="subscript"/>
          <w:lang w:val="pt-BR"/>
        </w:rPr>
        <w:t>7/2</w:t>
      </w:r>
      <w:r w:rsidRPr="008D26CE">
        <w:rPr>
          <w:rFonts w:ascii="Times New Roman" w:hAnsi="Times New Roman"/>
          <w:bCs/>
          <w:sz w:val="20"/>
          <w:lang w:val="pt-BR"/>
        </w:rPr>
        <w:t>; enquanto picos de Pt</w:t>
      </w:r>
      <w:r w:rsidRPr="008D26CE">
        <w:rPr>
          <w:rFonts w:ascii="Times New Roman" w:hAnsi="Times New Roman"/>
          <w:bCs/>
          <w:sz w:val="20"/>
          <w:vertAlign w:val="superscript"/>
          <w:lang w:val="pt-BR"/>
        </w:rPr>
        <w:t>4+</w:t>
      </w:r>
      <w:r w:rsidRPr="008D26CE">
        <w:rPr>
          <w:rFonts w:ascii="Times New Roman" w:hAnsi="Times New Roman"/>
          <w:bCs/>
          <w:sz w:val="20"/>
          <w:lang w:val="pt-BR"/>
        </w:rPr>
        <w:t>, em torno de 74,2 eV, não foram observados [</w:t>
      </w:r>
      <w:r w:rsidR="0007150A" w:rsidRPr="008D26CE">
        <w:rPr>
          <w:rFonts w:ascii="Times New Roman" w:hAnsi="Times New Roman"/>
          <w:bCs/>
          <w:sz w:val="20"/>
          <w:lang w:val="pt-BR"/>
        </w:rPr>
        <w:t>10</w:t>
      </w:r>
      <w:r w:rsidRPr="008D26CE">
        <w:rPr>
          <w:rFonts w:ascii="Times New Roman" w:hAnsi="Times New Roman"/>
          <w:bCs/>
          <w:sz w:val="20"/>
          <w:lang w:val="pt-BR"/>
        </w:rPr>
        <w:t>]. O catalisador usado, 3Pt/HZSM-5_150_u, apresentou um espectro de XPS semelhante, mas picos relacionados a Pt</w:t>
      </w:r>
      <w:r w:rsidRPr="008D26CE">
        <w:rPr>
          <w:rFonts w:ascii="Times New Roman" w:hAnsi="Times New Roman"/>
          <w:bCs/>
          <w:sz w:val="20"/>
          <w:vertAlign w:val="superscript"/>
          <w:lang w:val="pt-BR"/>
        </w:rPr>
        <w:t>0</w:t>
      </w:r>
      <w:r w:rsidRPr="008D26CE">
        <w:rPr>
          <w:rFonts w:ascii="Times New Roman" w:hAnsi="Times New Roman"/>
          <w:bCs/>
          <w:sz w:val="20"/>
          <w:lang w:val="pt-BR"/>
        </w:rPr>
        <w:t xml:space="preserve"> mostraram deslocamentos para energias de ligação mais baixas (70,6 eV para </w:t>
      </w:r>
      <w:bookmarkEnd w:id="2"/>
      <w:r w:rsidRPr="008D26CE">
        <w:rPr>
          <w:rFonts w:ascii="Times New Roman" w:hAnsi="Times New Roman"/>
          <w:bCs/>
          <w:sz w:val="20"/>
          <w:lang w:val="pt-BR"/>
        </w:rPr>
        <w:t>Pt4f</w:t>
      </w:r>
      <w:r w:rsidRPr="008D26CE">
        <w:rPr>
          <w:rFonts w:ascii="Times New Roman" w:hAnsi="Times New Roman"/>
          <w:bCs/>
          <w:sz w:val="20"/>
          <w:vertAlign w:val="subscript"/>
          <w:lang w:val="pt-BR"/>
        </w:rPr>
        <w:t>7/2</w:t>
      </w:r>
      <w:r w:rsidRPr="008D26CE">
        <w:rPr>
          <w:rFonts w:ascii="Times New Roman" w:hAnsi="Times New Roman"/>
          <w:bCs/>
          <w:sz w:val="20"/>
          <w:lang w:val="pt-BR"/>
        </w:rPr>
        <w:t xml:space="preserve"> e 73,9 eV para Pt4f</w:t>
      </w:r>
      <w:r w:rsidRPr="008D26CE">
        <w:rPr>
          <w:rFonts w:ascii="Times New Roman" w:hAnsi="Times New Roman"/>
          <w:bCs/>
          <w:sz w:val="20"/>
          <w:vertAlign w:val="subscript"/>
          <w:lang w:val="pt-BR"/>
        </w:rPr>
        <w:t>5/2</w:t>
      </w:r>
      <w:r w:rsidRPr="008D26CE">
        <w:rPr>
          <w:rFonts w:ascii="Times New Roman" w:hAnsi="Times New Roman"/>
          <w:bCs/>
          <w:sz w:val="20"/>
          <w:lang w:val="pt-BR"/>
        </w:rPr>
        <w:t>)</w:t>
      </w:r>
      <w:r w:rsidR="00B32901" w:rsidRPr="008D26CE">
        <w:rPr>
          <w:rFonts w:ascii="Times New Roman" w:hAnsi="Times New Roman"/>
          <w:bCs/>
          <w:sz w:val="20"/>
          <w:lang w:val="pt-BR"/>
        </w:rPr>
        <w:t xml:space="preserve">. Esse dado traz uma informação importante, pois o deslocamento para energias de ligação mais altas está relacionada com à redução no tamanho de partícula,  um efeito </w:t>
      </w:r>
      <w:r w:rsidR="00FE1919" w:rsidRPr="008D26CE">
        <w:rPr>
          <w:rFonts w:ascii="Times New Roman" w:hAnsi="Times New Roman"/>
          <w:bCs/>
          <w:sz w:val="20"/>
          <w:lang w:val="pt-BR"/>
        </w:rPr>
        <w:t xml:space="preserve">que </w:t>
      </w:r>
      <w:r w:rsidR="00B32901" w:rsidRPr="008D26CE">
        <w:rPr>
          <w:rFonts w:ascii="Times New Roman" w:hAnsi="Times New Roman"/>
          <w:bCs/>
          <w:sz w:val="20"/>
          <w:lang w:val="pt-BR"/>
        </w:rPr>
        <w:t xml:space="preserve">é bem conhecido na análise de XPS [11]. </w:t>
      </w:r>
      <w:r w:rsidR="00BA67A8" w:rsidRPr="008D26CE">
        <w:rPr>
          <w:rFonts w:ascii="Times New Roman" w:hAnsi="Times New Roman"/>
          <w:bCs/>
          <w:sz w:val="20"/>
          <w:lang w:val="pt-BR"/>
        </w:rPr>
        <w:t xml:space="preserve">Logo, é possível especular que após a reação, as partículas que antes estavam muito próximas e bloqueando os poros, apenas “se afastaram” uma das outras. </w:t>
      </w:r>
      <w:r w:rsidR="008143CF" w:rsidRPr="008D26CE">
        <w:rPr>
          <w:rFonts w:ascii="Times New Roman" w:hAnsi="Times New Roman"/>
          <w:bCs/>
          <w:sz w:val="20"/>
          <w:lang w:val="pt-BR"/>
        </w:rPr>
        <w:t>Os catalisadores 3Pt/HZSM-5_550 e 3Pt/HZSM-5_550_u apresentaram perfi</w:t>
      </w:r>
      <w:r w:rsidR="00AF1A68" w:rsidRPr="008D26CE">
        <w:rPr>
          <w:rFonts w:ascii="Times New Roman" w:hAnsi="Times New Roman"/>
          <w:bCs/>
          <w:sz w:val="20"/>
          <w:lang w:val="pt-BR"/>
        </w:rPr>
        <w:t>s</w:t>
      </w:r>
      <w:r w:rsidR="008143CF" w:rsidRPr="008D26CE">
        <w:rPr>
          <w:rFonts w:ascii="Times New Roman" w:hAnsi="Times New Roman"/>
          <w:bCs/>
          <w:sz w:val="20"/>
          <w:lang w:val="pt-BR"/>
        </w:rPr>
        <w:t xml:space="preserve"> semelhante</w:t>
      </w:r>
      <w:r w:rsidR="00AF1A68" w:rsidRPr="008D26CE">
        <w:rPr>
          <w:rFonts w:ascii="Times New Roman" w:hAnsi="Times New Roman"/>
          <w:bCs/>
          <w:sz w:val="20"/>
          <w:lang w:val="pt-BR"/>
        </w:rPr>
        <w:t xml:space="preserve">s. </w:t>
      </w:r>
      <w:r w:rsidR="008143CF" w:rsidRPr="008D26CE">
        <w:rPr>
          <w:rFonts w:ascii="Times New Roman" w:hAnsi="Times New Roman"/>
          <w:bCs/>
          <w:sz w:val="20"/>
          <w:lang w:val="pt-BR"/>
        </w:rPr>
        <w:t xml:space="preserve"> Para catalisador fresco, 3Pt/HZSM-5_550, os espectros Pt 4f mostram picos em 71,2 eV para Pt4f</w:t>
      </w:r>
      <w:r w:rsidR="008143CF" w:rsidRPr="008D26CE">
        <w:rPr>
          <w:rFonts w:ascii="Times New Roman" w:hAnsi="Times New Roman"/>
          <w:bCs/>
          <w:sz w:val="20"/>
          <w:vertAlign w:val="subscript"/>
          <w:lang w:val="pt-BR"/>
        </w:rPr>
        <w:t>7/2</w:t>
      </w:r>
      <w:r w:rsidR="008143CF" w:rsidRPr="008D26CE">
        <w:rPr>
          <w:rFonts w:ascii="Times New Roman" w:hAnsi="Times New Roman"/>
          <w:bCs/>
          <w:sz w:val="20"/>
          <w:lang w:val="pt-BR"/>
        </w:rPr>
        <w:t xml:space="preserve"> e 74,6 eV para Pt4f</w:t>
      </w:r>
      <w:r w:rsidR="008143CF" w:rsidRPr="008D26CE">
        <w:rPr>
          <w:rFonts w:ascii="Times New Roman" w:hAnsi="Times New Roman"/>
          <w:bCs/>
          <w:sz w:val="20"/>
          <w:vertAlign w:val="subscript"/>
          <w:lang w:val="pt-BR"/>
        </w:rPr>
        <w:t>5/2</w:t>
      </w:r>
      <w:r w:rsidR="008143CF" w:rsidRPr="008D26CE">
        <w:rPr>
          <w:rFonts w:ascii="Times New Roman" w:hAnsi="Times New Roman"/>
          <w:bCs/>
          <w:sz w:val="20"/>
          <w:lang w:val="pt-BR"/>
        </w:rPr>
        <w:t>, atribuídos a Pt</w:t>
      </w:r>
      <w:r w:rsidR="008143CF" w:rsidRPr="008D26CE">
        <w:rPr>
          <w:rFonts w:ascii="Times New Roman" w:hAnsi="Times New Roman"/>
          <w:bCs/>
          <w:sz w:val="20"/>
          <w:vertAlign w:val="superscript"/>
          <w:lang w:val="pt-BR"/>
        </w:rPr>
        <w:t>0</w:t>
      </w:r>
      <w:r w:rsidR="008143CF" w:rsidRPr="008D26CE">
        <w:rPr>
          <w:rFonts w:ascii="Times New Roman" w:hAnsi="Times New Roman"/>
          <w:bCs/>
          <w:sz w:val="20"/>
          <w:lang w:val="pt-BR"/>
        </w:rPr>
        <w:t xml:space="preserve">. Os espectros relativos ao catalisador 3Pt/HZSM-5_550_u também apresentaram picos atribuídos à Pt metálica, com o mesmo deslocamento para valores de B.E mais baixos (Tabela </w:t>
      </w:r>
      <w:r w:rsidR="00AF1A68" w:rsidRPr="008D26CE">
        <w:rPr>
          <w:rFonts w:ascii="Times New Roman" w:hAnsi="Times New Roman"/>
          <w:bCs/>
          <w:sz w:val="20"/>
          <w:lang w:val="pt-BR"/>
        </w:rPr>
        <w:t>2</w:t>
      </w:r>
      <w:r w:rsidR="008143CF" w:rsidRPr="008D26CE">
        <w:rPr>
          <w:rFonts w:ascii="Times New Roman" w:hAnsi="Times New Roman"/>
          <w:bCs/>
          <w:sz w:val="20"/>
          <w:lang w:val="pt-BR"/>
        </w:rPr>
        <w:t>). Vale ressaltar que esse deslocamento apresentado para catalisadores calcinados a 550°C foi maior, o que pode estar associado a uma interação mais forte entre o suporte HZSM-5 e as partículas de Pt, consequência da maior temperatura d</w:t>
      </w:r>
      <w:r w:rsidR="00AF1A68" w:rsidRPr="008D26CE">
        <w:rPr>
          <w:rFonts w:ascii="Times New Roman" w:hAnsi="Times New Roman"/>
          <w:bCs/>
          <w:sz w:val="20"/>
          <w:lang w:val="pt-BR"/>
        </w:rPr>
        <w:t>o</w:t>
      </w:r>
      <w:r w:rsidR="008143CF" w:rsidRPr="008D26CE">
        <w:rPr>
          <w:rFonts w:ascii="Times New Roman" w:hAnsi="Times New Roman"/>
          <w:bCs/>
          <w:sz w:val="20"/>
          <w:lang w:val="pt-BR"/>
        </w:rPr>
        <w:t xml:space="preserve"> tratamento térmico. </w:t>
      </w:r>
      <w:r w:rsidR="00AF1A68" w:rsidRPr="008D26CE">
        <w:rPr>
          <w:rFonts w:ascii="Times New Roman" w:hAnsi="Times New Roman"/>
          <w:bCs/>
          <w:sz w:val="20"/>
          <w:lang w:val="pt-BR"/>
        </w:rPr>
        <w:t xml:space="preserve">Esse deslocamento para regiões de mais baixa energia pode estar associados à </w:t>
      </w:r>
      <w:r w:rsidR="008143CF" w:rsidRPr="008D26CE">
        <w:rPr>
          <w:rFonts w:ascii="Times New Roman" w:hAnsi="Times New Roman"/>
          <w:sz w:val="20"/>
          <w:lang w:val="pt-BR"/>
        </w:rPr>
        <w:t>partículas menores de Pt possivelmente ancoradas nos grupos de oxigênio ricos em elétrons e, portanto, pode estar ocorrendo uma transferência de elétrons dos grupos de oxigênio da superfície para a Pt. Isso é corroborado pela concentração relativa de O1s na superfície dos catalisadores (</w:t>
      </w:r>
      <w:r w:rsidR="009E3CDE" w:rsidRPr="008D26CE">
        <w:rPr>
          <w:rFonts w:ascii="Times New Roman" w:hAnsi="Times New Roman"/>
          <w:sz w:val="20"/>
          <w:lang w:val="pt-BR"/>
        </w:rPr>
        <w:t>não apresentado)</w:t>
      </w:r>
      <w:r w:rsidR="008143CF" w:rsidRPr="008D26CE">
        <w:rPr>
          <w:rFonts w:ascii="Times New Roman" w:hAnsi="Times New Roman"/>
          <w:sz w:val="20"/>
          <w:lang w:val="pt-BR"/>
        </w:rPr>
        <w:t xml:space="preserve">, que mostra que a concentração superficial de O1s é maior para os catalisadores usados, especialmente em 3Pt/HZSM-5_150_u. Lei </w:t>
      </w:r>
      <w:r w:rsidR="00EF3CF9" w:rsidRPr="008D26CE">
        <w:rPr>
          <w:rFonts w:ascii="Times New Roman" w:hAnsi="Times New Roman"/>
          <w:sz w:val="20"/>
          <w:lang w:val="pt-BR"/>
        </w:rPr>
        <w:t>e colaboradores</w:t>
      </w:r>
      <w:r w:rsidR="008143CF" w:rsidRPr="008D26CE">
        <w:rPr>
          <w:rFonts w:ascii="Times New Roman" w:hAnsi="Times New Roman"/>
          <w:sz w:val="20"/>
          <w:lang w:val="pt-BR"/>
        </w:rPr>
        <w:t xml:space="preserve"> [</w:t>
      </w:r>
      <w:r w:rsidR="00275920" w:rsidRPr="008D26CE">
        <w:rPr>
          <w:rFonts w:ascii="Times New Roman" w:hAnsi="Times New Roman"/>
          <w:sz w:val="20"/>
          <w:lang w:val="pt-BR"/>
        </w:rPr>
        <w:t>12</w:t>
      </w:r>
      <w:r w:rsidR="008143CF" w:rsidRPr="008D26CE">
        <w:rPr>
          <w:rFonts w:ascii="Times New Roman" w:hAnsi="Times New Roman"/>
          <w:sz w:val="20"/>
          <w:lang w:val="pt-BR"/>
        </w:rPr>
        <w:t xml:space="preserve">] também observaram esse mesmo deslocamento de BE para valores mais baixos para Pt/CNTs usados ​​após a reação de oxidação do glicerol e associaram esse deslocamento a espécies oxigenadas adsorvidas na superfície dos catalisadores usados. Alexeev </w:t>
      </w:r>
      <w:r w:rsidR="00EF3CF9" w:rsidRPr="008D26CE">
        <w:rPr>
          <w:rFonts w:ascii="Times New Roman" w:hAnsi="Times New Roman"/>
          <w:sz w:val="20"/>
          <w:lang w:val="pt-BR"/>
        </w:rPr>
        <w:t>e colaboradores</w:t>
      </w:r>
      <w:r w:rsidR="008143CF" w:rsidRPr="008D26CE">
        <w:rPr>
          <w:rFonts w:ascii="Times New Roman" w:hAnsi="Times New Roman"/>
          <w:sz w:val="20"/>
          <w:lang w:val="pt-BR"/>
        </w:rPr>
        <w:t xml:space="preserve"> [</w:t>
      </w:r>
      <w:r w:rsidR="00113EB8" w:rsidRPr="008D26CE">
        <w:rPr>
          <w:rFonts w:ascii="Times New Roman" w:hAnsi="Times New Roman"/>
          <w:sz w:val="20"/>
          <w:lang w:val="pt-BR"/>
        </w:rPr>
        <w:t>13</w:t>
      </w:r>
      <w:r w:rsidR="008143CF" w:rsidRPr="008D26CE">
        <w:rPr>
          <w:rFonts w:ascii="Times New Roman" w:hAnsi="Times New Roman"/>
          <w:sz w:val="20"/>
          <w:lang w:val="pt-BR"/>
        </w:rPr>
        <w:t xml:space="preserve">], afirmaram que uma mudança para </w:t>
      </w:r>
      <w:r w:rsidR="008143CF" w:rsidRPr="008D26CE">
        <w:rPr>
          <w:rFonts w:ascii="Times New Roman" w:hAnsi="Times New Roman"/>
          <w:sz w:val="20"/>
          <w:lang w:val="pt-BR"/>
        </w:rPr>
        <w:t>energias de ligação mais baixas ocorre quando as partículas de Pt se tornam ricas em elétrons, levantando a hipótese de que é possível que o tamanho da partícula e os efeitos da transferência de carga possam compensar um ao outro até certo ponto. Além disso, a interação entre essas partículas de Pt menores, presentes nos catalisadores usados, é provavelmente mais forte. Os espectros de O1s e Si2p dos catalisadores de Pt são diferentes quando comparados ao suporte HZSM-5; o deslocamento das linhas é mais pronunciado para catalisadores usados</w:t>
      </w:r>
      <w:r w:rsidR="00E277EE" w:rsidRPr="008D26CE">
        <w:rPr>
          <w:rFonts w:ascii="Times New Roman" w:hAnsi="Times New Roman"/>
          <w:sz w:val="20"/>
          <w:lang w:val="pt-BR"/>
        </w:rPr>
        <w:t>, podendo ser um indício de</w:t>
      </w:r>
      <w:r w:rsidR="008143CF" w:rsidRPr="008D26CE">
        <w:rPr>
          <w:rFonts w:ascii="Times New Roman" w:hAnsi="Times New Roman"/>
          <w:sz w:val="20"/>
          <w:lang w:val="pt-BR"/>
        </w:rPr>
        <w:t xml:space="preserve"> que a interação entre o metal e o suporte po</w:t>
      </w:r>
      <w:r w:rsidR="00E277EE" w:rsidRPr="008D26CE">
        <w:rPr>
          <w:rFonts w:ascii="Times New Roman" w:hAnsi="Times New Roman"/>
          <w:sz w:val="20"/>
          <w:lang w:val="pt-BR"/>
        </w:rPr>
        <w:t>ssa</w:t>
      </w:r>
      <w:r w:rsidR="008143CF" w:rsidRPr="008D26CE">
        <w:rPr>
          <w:rFonts w:ascii="Times New Roman" w:hAnsi="Times New Roman"/>
          <w:sz w:val="20"/>
          <w:lang w:val="pt-BR"/>
        </w:rPr>
        <w:t xml:space="preserve"> estar causando a transferência de elétrons [</w:t>
      </w:r>
      <w:r w:rsidR="00E277EE" w:rsidRPr="008D26CE">
        <w:rPr>
          <w:rFonts w:ascii="Times New Roman" w:hAnsi="Times New Roman"/>
          <w:sz w:val="20"/>
          <w:lang w:val="pt-BR"/>
        </w:rPr>
        <w:t>14</w:t>
      </w:r>
      <w:r w:rsidR="008143CF" w:rsidRPr="008D26CE">
        <w:rPr>
          <w:rFonts w:ascii="Times New Roman" w:hAnsi="Times New Roman"/>
          <w:sz w:val="20"/>
          <w:lang w:val="pt-BR"/>
        </w:rPr>
        <w:t>]</w:t>
      </w:r>
      <w:r w:rsidR="00101D6D" w:rsidRPr="008D26CE">
        <w:rPr>
          <w:rFonts w:ascii="Times New Roman" w:hAnsi="Times New Roman"/>
          <w:sz w:val="20"/>
          <w:lang w:val="pt-BR"/>
        </w:rPr>
        <w:t xml:space="preserve">. </w:t>
      </w:r>
      <w:r w:rsidR="008143CF" w:rsidRPr="008D26CE">
        <w:rPr>
          <w:rFonts w:ascii="Times New Roman" w:hAnsi="Times New Roman"/>
          <w:sz w:val="20"/>
          <w:lang w:val="pt-BR"/>
        </w:rPr>
        <w:t xml:space="preserve">Além disso, </w:t>
      </w:r>
      <w:r w:rsidR="00101D6D" w:rsidRPr="008D26CE">
        <w:rPr>
          <w:rFonts w:ascii="Times New Roman" w:hAnsi="Times New Roman"/>
          <w:sz w:val="20"/>
          <w:lang w:val="pt-BR"/>
        </w:rPr>
        <w:t xml:space="preserve"> </w:t>
      </w:r>
      <w:r w:rsidR="008143CF" w:rsidRPr="008D26CE">
        <w:rPr>
          <w:rFonts w:ascii="Times New Roman" w:hAnsi="Times New Roman"/>
          <w:sz w:val="20"/>
          <w:lang w:val="pt-BR"/>
        </w:rPr>
        <w:t xml:space="preserve">os valores de energia de ligação apresentados pelos O1s dos catalisadores usados ​​são menores quando comparados aos catalisadores frescos e </w:t>
      </w:r>
      <w:r w:rsidR="00101D6D" w:rsidRPr="008D26CE">
        <w:rPr>
          <w:rFonts w:ascii="Times New Roman" w:hAnsi="Times New Roman"/>
          <w:sz w:val="20"/>
          <w:lang w:val="pt-BR"/>
        </w:rPr>
        <w:t xml:space="preserve">à própria </w:t>
      </w:r>
      <w:r w:rsidR="008143CF" w:rsidRPr="008D26CE">
        <w:rPr>
          <w:rFonts w:ascii="Times New Roman" w:hAnsi="Times New Roman"/>
          <w:sz w:val="20"/>
          <w:lang w:val="pt-BR"/>
        </w:rPr>
        <w:t>HZSM-5. Isso sugere que as espécies de oxigênio nesses catalisadores são ace</w:t>
      </w:r>
      <w:r w:rsidR="009E3CDE" w:rsidRPr="008D26CE">
        <w:rPr>
          <w:rFonts w:ascii="Times New Roman" w:hAnsi="Times New Roman"/>
          <w:sz w:val="20"/>
          <w:lang w:val="pt-BR"/>
        </w:rPr>
        <w:t>ptoras</w:t>
      </w:r>
      <w:r w:rsidR="008143CF" w:rsidRPr="008D26CE">
        <w:rPr>
          <w:rFonts w:ascii="Times New Roman" w:hAnsi="Times New Roman"/>
          <w:sz w:val="20"/>
          <w:lang w:val="pt-BR"/>
        </w:rPr>
        <w:t xml:space="preserve"> de elétrons; e uma interação mais forte entre as espécies de Pt e o suporte HZSM-5 nos catalisadores usados ​​está presente</w:t>
      </w:r>
      <w:r w:rsidR="00FC6ECE" w:rsidRPr="008D26CE">
        <w:rPr>
          <w:rFonts w:ascii="Times New Roman" w:hAnsi="Times New Roman"/>
          <w:sz w:val="20"/>
          <w:lang w:val="pt-BR"/>
        </w:rPr>
        <w:t>.</w:t>
      </w:r>
      <w:r w:rsidR="009E3CDE" w:rsidRPr="008D26CE">
        <w:rPr>
          <w:rFonts w:ascii="Times New Roman" w:hAnsi="Times New Roman"/>
          <w:sz w:val="20"/>
          <w:lang w:val="pt-BR"/>
        </w:rPr>
        <w:t xml:space="preserve"> </w:t>
      </w:r>
      <w:r w:rsidR="00FC6ECE" w:rsidRPr="008D26CE">
        <w:rPr>
          <w:rFonts w:ascii="Times New Roman" w:hAnsi="Times New Roman"/>
          <w:sz w:val="20"/>
          <w:lang w:val="pt-BR"/>
        </w:rPr>
        <w:t>E</w:t>
      </w:r>
      <w:r w:rsidR="009E3CDE" w:rsidRPr="008D26CE">
        <w:rPr>
          <w:rFonts w:ascii="Times New Roman" w:hAnsi="Times New Roman"/>
          <w:sz w:val="20"/>
          <w:lang w:val="pt-BR"/>
        </w:rPr>
        <w:t>sta interação é</w:t>
      </w:r>
      <w:r w:rsidR="008143CF" w:rsidRPr="008D26CE">
        <w:rPr>
          <w:rFonts w:ascii="Times New Roman" w:hAnsi="Times New Roman"/>
          <w:sz w:val="20"/>
          <w:lang w:val="pt-BR"/>
        </w:rPr>
        <w:t xml:space="preserve"> benéfic</w:t>
      </w:r>
      <w:r w:rsidR="009E3CDE" w:rsidRPr="008D26CE">
        <w:rPr>
          <w:rFonts w:ascii="Times New Roman" w:hAnsi="Times New Roman"/>
          <w:sz w:val="20"/>
          <w:lang w:val="pt-BR"/>
        </w:rPr>
        <w:t>a</w:t>
      </w:r>
      <w:r w:rsidR="008143CF" w:rsidRPr="008D26CE">
        <w:rPr>
          <w:rFonts w:ascii="Times New Roman" w:hAnsi="Times New Roman"/>
          <w:sz w:val="20"/>
          <w:lang w:val="pt-BR"/>
        </w:rPr>
        <w:t xml:space="preserve"> para as transferências de elétrons de Pt para O, tornando o oxigênio mais ativo [</w:t>
      </w:r>
      <w:r w:rsidR="0087676F" w:rsidRPr="008D26CE">
        <w:rPr>
          <w:rFonts w:ascii="Times New Roman" w:hAnsi="Times New Roman"/>
          <w:sz w:val="20"/>
          <w:lang w:val="pt-BR"/>
        </w:rPr>
        <w:t>15</w:t>
      </w:r>
      <w:r w:rsidR="008143CF" w:rsidRPr="008D26CE">
        <w:rPr>
          <w:rFonts w:ascii="Times New Roman" w:hAnsi="Times New Roman"/>
          <w:sz w:val="20"/>
          <w:lang w:val="pt-BR"/>
        </w:rPr>
        <w:t>].</w:t>
      </w:r>
    </w:p>
    <w:p w14:paraId="6F28430E" w14:textId="3A4F1394" w:rsidR="00CF3A6C" w:rsidRPr="008D26CE" w:rsidRDefault="00CF3A6C" w:rsidP="00CF3A6C">
      <w:pPr>
        <w:rPr>
          <w:rFonts w:ascii="Times New Roman" w:hAnsi="Times New Roman" w:cs="Times New Roman"/>
          <w:sz w:val="18"/>
          <w:szCs w:val="18"/>
        </w:rPr>
      </w:pPr>
      <w:r w:rsidRPr="008D26CE">
        <w:rPr>
          <w:rFonts w:ascii="Times New Roman" w:hAnsi="Times New Roman" w:cs="Times New Roman"/>
          <w:b/>
          <w:bCs/>
          <w:sz w:val="18"/>
          <w:szCs w:val="18"/>
        </w:rPr>
        <w:t>Tabela 2.</w:t>
      </w:r>
      <w:r w:rsidRPr="008D26CE">
        <w:rPr>
          <w:rFonts w:ascii="Times New Roman" w:hAnsi="Times New Roman" w:cs="Times New Roman"/>
          <w:sz w:val="18"/>
          <w:szCs w:val="18"/>
        </w:rPr>
        <w:t xml:space="preserve"> Dados de XPS dos catalisadores.</w:t>
      </w:r>
    </w:p>
    <w:tbl>
      <w:tblPr>
        <w:tblStyle w:val="Tabelacomgrade"/>
        <w:tblW w:w="4881" w:type="dxa"/>
        <w:jc w:val="center"/>
        <w:tblLook w:val="04A0" w:firstRow="1" w:lastRow="0" w:firstColumn="1" w:lastColumn="0" w:noHBand="0" w:noVBand="1"/>
      </w:tblPr>
      <w:tblGrid>
        <w:gridCol w:w="1532"/>
        <w:gridCol w:w="669"/>
        <w:gridCol w:w="670"/>
        <w:gridCol w:w="670"/>
        <w:gridCol w:w="670"/>
        <w:gridCol w:w="670"/>
      </w:tblGrid>
      <w:tr w:rsidR="00CF3A6C" w:rsidRPr="008D26CE" w14:paraId="64BDC9E9" w14:textId="77777777" w:rsidTr="00CF3A6C">
        <w:trPr>
          <w:jc w:val="center"/>
        </w:trPr>
        <w:tc>
          <w:tcPr>
            <w:tcW w:w="1532" w:type="dxa"/>
            <w:vAlign w:val="center"/>
          </w:tcPr>
          <w:p w14:paraId="50080EED" w14:textId="77777777" w:rsidR="00CF3A6C" w:rsidRPr="008D26CE" w:rsidRDefault="00CF3A6C" w:rsidP="00CF3A6C">
            <w:pPr>
              <w:pStyle w:val="wordvdtabletitle"/>
            </w:pPr>
            <w:r w:rsidRPr="008D26CE">
              <w:t>Catalisador</w:t>
            </w:r>
          </w:p>
        </w:tc>
        <w:tc>
          <w:tcPr>
            <w:tcW w:w="3349" w:type="dxa"/>
            <w:gridSpan w:val="5"/>
          </w:tcPr>
          <w:p w14:paraId="60317762" w14:textId="77777777" w:rsidR="00CF3A6C" w:rsidRPr="008D26CE" w:rsidRDefault="00CF3A6C" w:rsidP="00CF3A6C">
            <w:pPr>
              <w:pStyle w:val="wordvdtabletitle"/>
            </w:pPr>
            <w:r w:rsidRPr="008D26CE">
              <w:t>B.E. (eV)</w:t>
            </w:r>
          </w:p>
        </w:tc>
      </w:tr>
      <w:tr w:rsidR="00CF3A6C" w:rsidRPr="008D26CE" w14:paraId="6E4D5900" w14:textId="77777777" w:rsidTr="00CF3A6C">
        <w:trPr>
          <w:jc w:val="center"/>
        </w:trPr>
        <w:tc>
          <w:tcPr>
            <w:tcW w:w="1532" w:type="dxa"/>
            <w:vAlign w:val="center"/>
          </w:tcPr>
          <w:p w14:paraId="5FF7CB48" w14:textId="77777777" w:rsidR="00CF3A6C" w:rsidRPr="008D26CE" w:rsidRDefault="00CF3A6C" w:rsidP="00CF3A6C">
            <w:pPr>
              <w:pStyle w:val="wordvdtabletitle"/>
            </w:pPr>
          </w:p>
        </w:tc>
        <w:tc>
          <w:tcPr>
            <w:tcW w:w="669" w:type="dxa"/>
            <w:vAlign w:val="center"/>
          </w:tcPr>
          <w:p w14:paraId="403E689D" w14:textId="77777777" w:rsidR="00CF3A6C" w:rsidRPr="008D26CE" w:rsidRDefault="00CF3A6C" w:rsidP="00CF3A6C">
            <w:pPr>
              <w:pStyle w:val="wordvdtabletitle"/>
            </w:pPr>
            <w:r w:rsidRPr="008D26CE">
              <w:t>Si (2s)</w:t>
            </w:r>
          </w:p>
        </w:tc>
        <w:tc>
          <w:tcPr>
            <w:tcW w:w="670" w:type="dxa"/>
            <w:vAlign w:val="center"/>
          </w:tcPr>
          <w:p w14:paraId="3540389C" w14:textId="77777777" w:rsidR="00CF3A6C" w:rsidRPr="008D26CE" w:rsidRDefault="00CF3A6C" w:rsidP="00CF3A6C">
            <w:pPr>
              <w:pStyle w:val="wordvdtabletitle"/>
            </w:pPr>
            <w:r w:rsidRPr="008D26CE">
              <w:t>O (1s)</w:t>
            </w:r>
          </w:p>
        </w:tc>
        <w:tc>
          <w:tcPr>
            <w:tcW w:w="670" w:type="dxa"/>
            <w:vAlign w:val="center"/>
          </w:tcPr>
          <w:p w14:paraId="7BC88FE3" w14:textId="77777777" w:rsidR="00CF3A6C" w:rsidRPr="008D26CE" w:rsidRDefault="00CF3A6C" w:rsidP="00CF3A6C">
            <w:pPr>
              <w:pStyle w:val="wordvdtabletitle"/>
            </w:pPr>
            <w:r w:rsidRPr="008D26CE">
              <w:t>Pt7/2</w:t>
            </w:r>
          </w:p>
          <w:p w14:paraId="5844E1C9" w14:textId="77777777" w:rsidR="00CF3A6C" w:rsidRPr="008D26CE" w:rsidRDefault="00CF3A6C" w:rsidP="00CF3A6C">
            <w:pPr>
              <w:pStyle w:val="wordvdtabletitle"/>
            </w:pPr>
            <w:r w:rsidRPr="008D26CE">
              <w:t>(Pt</w:t>
            </w:r>
            <w:r w:rsidRPr="008D26CE">
              <w:rPr>
                <w:vertAlign w:val="superscript"/>
              </w:rPr>
              <w:t>0</w:t>
            </w:r>
            <w:r w:rsidRPr="008D26CE">
              <w:t>)</w:t>
            </w:r>
          </w:p>
        </w:tc>
        <w:tc>
          <w:tcPr>
            <w:tcW w:w="670" w:type="dxa"/>
            <w:vAlign w:val="center"/>
          </w:tcPr>
          <w:p w14:paraId="6596D2A1" w14:textId="77777777" w:rsidR="00CF3A6C" w:rsidRPr="008D26CE" w:rsidRDefault="00CF3A6C" w:rsidP="00CF3A6C">
            <w:pPr>
              <w:pStyle w:val="wordvdtabletitle"/>
            </w:pPr>
            <w:r w:rsidRPr="008D26CE">
              <w:t>Pt5/2</w:t>
            </w:r>
          </w:p>
          <w:p w14:paraId="661B58EE" w14:textId="77777777" w:rsidR="00CF3A6C" w:rsidRPr="008D26CE" w:rsidRDefault="00CF3A6C" w:rsidP="00CF3A6C">
            <w:pPr>
              <w:pStyle w:val="wordvdtabletitle"/>
            </w:pPr>
            <w:r w:rsidRPr="008D26CE">
              <w:t>(Pt</w:t>
            </w:r>
            <w:r w:rsidRPr="008D26CE">
              <w:rPr>
                <w:vertAlign w:val="superscript"/>
              </w:rPr>
              <w:t>0</w:t>
            </w:r>
            <w:r w:rsidRPr="008D26CE">
              <w:t>)</w:t>
            </w:r>
          </w:p>
        </w:tc>
        <w:tc>
          <w:tcPr>
            <w:tcW w:w="670" w:type="dxa"/>
            <w:vAlign w:val="center"/>
          </w:tcPr>
          <w:p w14:paraId="422F989F" w14:textId="77777777" w:rsidR="00CF3A6C" w:rsidRPr="008D26CE" w:rsidRDefault="00CF3A6C" w:rsidP="00CF3A6C">
            <w:pPr>
              <w:pStyle w:val="wordvdtabletitle"/>
            </w:pPr>
            <w:r w:rsidRPr="008D26CE">
              <w:t>Pt7/2</w:t>
            </w:r>
          </w:p>
          <w:p w14:paraId="36FEF6C3" w14:textId="77777777" w:rsidR="00CF3A6C" w:rsidRPr="008D26CE" w:rsidRDefault="00CF3A6C" w:rsidP="00CF3A6C">
            <w:pPr>
              <w:pStyle w:val="wordvdtabletitle"/>
            </w:pPr>
            <w:r w:rsidRPr="008D26CE">
              <w:t>(Pt</w:t>
            </w:r>
            <w:r w:rsidRPr="008D26CE">
              <w:rPr>
                <w:vertAlign w:val="superscript"/>
              </w:rPr>
              <w:t>2+</w:t>
            </w:r>
            <w:r w:rsidRPr="008D26CE">
              <w:t>)</w:t>
            </w:r>
          </w:p>
        </w:tc>
      </w:tr>
      <w:tr w:rsidR="00CF3A6C" w:rsidRPr="008D26CE" w14:paraId="5F623A16" w14:textId="77777777" w:rsidTr="00CF3A6C">
        <w:trPr>
          <w:jc w:val="center"/>
        </w:trPr>
        <w:tc>
          <w:tcPr>
            <w:tcW w:w="1532" w:type="dxa"/>
            <w:vAlign w:val="center"/>
          </w:tcPr>
          <w:p w14:paraId="285C3DC0" w14:textId="77777777" w:rsidR="00CF3A6C" w:rsidRPr="008D26CE" w:rsidRDefault="00CF3A6C" w:rsidP="00CF3A6C">
            <w:pPr>
              <w:pStyle w:val="wordvdtabletitle"/>
            </w:pPr>
            <w:r w:rsidRPr="008D26CE">
              <w:t>HZSM_5</w:t>
            </w:r>
          </w:p>
        </w:tc>
        <w:tc>
          <w:tcPr>
            <w:tcW w:w="669" w:type="dxa"/>
            <w:vAlign w:val="center"/>
          </w:tcPr>
          <w:p w14:paraId="75B9C630" w14:textId="77777777" w:rsidR="00CF3A6C" w:rsidRPr="008D26CE" w:rsidRDefault="00CF3A6C" w:rsidP="00CF3A6C">
            <w:pPr>
              <w:pStyle w:val="wordvdtabletitle"/>
            </w:pPr>
            <w:r w:rsidRPr="008D26CE">
              <w:t>103.5</w:t>
            </w:r>
          </w:p>
        </w:tc>
        <w:tc>
          <w:tcPr>
            <w:tcW w:w="670" w:type="dxa"/>
            <w:vAlign w:val="center"/>
          </w:tcPr>
          <w:p w14:paraId="72F51EAA" w14:textId="77777777" w:rsidR="00CF3A6C" w:rsidRPr="008D26CE" w:rsidRDefault="00CF3A6C" w:rsidP="00CF3A6C">
            <w:pPr>
              <w:pStyle w:val="wordvdtabletitle"/>
            </w:pPr>
            <w:r w:rsidRPr="008D26CE">
              <w:t>533.8</w:t>
            </w:r>
          </w:p>
        </w:tc>
        <w:tc>
          <w:tcPr>
            <w:tcW w:w="670" w:type="dxa"/>
            <w:vAlign w:val="center"/>
          </w:tcPr>
          <w:p w14:paraId="40A64A15" w14:textId="77777777" w:rsidR="00CF3A6C" w:rsidRPr="008D26CE" w:rsidRDefault="00CF3A6C" w:rsidP="00CF3A6C">
            <w:pPr>
              <w:pStyle w:val="wordvdtabletitle"/>
            </w:pPr>
            <w:r w:rsidRPr="008D26CE">
              <w:t>___</w:t>
            </w:r>
          </w:p>
        </w:tc>
        <w:tc>
          <w:tcPr>
            <w:tcW w:w="670" w:type="dxa"/>
            <w:vAlign w:val="center"/>
          </w:tcPr>
          <w:p w14:paraId="4674D7E1" w14:textId="77777777" w:rsidR="00CF3A6C" w:rsidRPr="008D26CE" w:rsidRDefault="00CF3A6C" w:rsidP="00CF3A6C">
            <w:pPr>
              <w:pStyle w:val="wordvdtabletitle"/>
            </w:pPr>
            <w:r w:rsidRPr="008D26CE">
              <w:t>___</w:t>
            </w:r>
          </w:p>
        </w:tc>
        <w:tc>
          <w:tcPr>
            <w:tcW w:w="670" w:type="dxa"/>
            <w:vAlign w:val="center"/>
          </w:tcPr>
          <w:p w14:paraId="0B8A9AD3" w14:textId="77777777" w:rsidR="00CF3A6C" w:rsidRPr="008D26CE" w:rsidRDefault="00CF3A6C" w:rsidP="00CF3A6C">
            <w:pPr>
              <w:pStyle w:val="wordvdtabletitle"/>
            </w:pPr>
            <w:r w:rsidRPr="008D26CE">
              <w:t>___</w:t>
            </w:r>
          </w:p>
        </w:tc>
      </w:tr>
      <w:tr w:rsidR="00CF3A6C" w:rsidRPr="008D26CE" w14:paraId="7D97D94E" w14:textId="77777777" w:rsidTr="00CF3A6C">
        <w:trPr>
          <w:jc w:val="center"/>
        </w:trPr>
        <w:tc>
          <w:tcPr>
            <w:tcW w:w="1532" w:type="dxa"/>
            <w:vAlign w:val="center"/>
          </w:tcPr>
          <w:p w14:paraId="565B48FD" w14:textId="77777777" w:rsidR="00CF3A6C" w:rsidRPr="008D26CE" w:rsidRDefault="00CF3A6C" w:rsidP="00CF3A6C">
            <w:pPr>
              <w:pStyle w:val="wordvdtabletitle"/>
            </w:pPr>
            <w:r w:rsidRPr="008D26CE">
              <w:t>3Pt/HZSM5_150</w:t>
            </w:r>
          </w:p>
        </w:tc>
        <w:tc>
          <w:tcPr>
            <w:tcW w:w="669" w:type="dxa"/>
            <w:vAlign w:val="center"/>
          </w:tcPr>
          <w:p w14:paraId="070BFA70" w14:textId="77777777" w:rsidR="00CF3A6C" w:rsidRPr="008D26CE" w:rsidRDefault="00CF3A6C" w:rsidP="00CF3A6C">
            <w:pPr>
              <w:pStyle w:val="wordvdtabletitle"/>
            </w:pPr>
            <w:r w:rsidRPr="008D26CE">
              <w:t>103.1</w:t>
            </w:r>
          </w:p>
        </w:tc>
        <w:tc>
          <w:tcPr>
            <w:tcW w:w="670" w:type="dxa"/>
            <w:vAlign w:val="center"/>
          </w:tcPr>
          <w:p w14:paraId="71935D12" w14:textId="77777777" w:rsidR="00CF3A6C" w:rsidRPr="008D26CE" w:rsidRDefault="00CF3A6C" w:rsidP="00CF3A6C">
            <w:pPr>
              <w:pStyle w:val="wordvdtabletitle"/>
            </w:pPr>
            <w:r w:rsidRPr="008D26CE">
              <w:t>533.3</w:t>
            </w:r>
          </w:p>
        </w:tc>
        <w:tc>
          <w:tcPr>
            <w:tcW w:w="670" w:type="dxa"/>
            <w:vAlign w:val="center"/>
          </w:tcPr>
          <w:p w14:paraId="3D667932" w14:textId="77777777" w:rsidR="00CF3A6C" w:rsidRPr="008D26CE" w:rsidRDefault="00CF3A6C" w:rsidP="00CF3A6C">
            <w:pPr>
              <w:pStyle w:val="wordvdtabletitle"/>
            </w:pPr>
            <w:r w:rsidRPr="008D26CE">
              <w:t>71.0</w:t>
            </w:r>
          </w:p>
        </w:tc>
        <w:tc>
          <w:tcPr>
            <w:tcW w:w="670" w:type="dxa"/>
            <w:vAlign w:val="center"/>
          </w:tcPr>
          <w:p w14:paraId="1F443E2B" w14:textId="77777777" w:rsidR="00CF3A6C" w:rsidRPr="008D26CE" w:rsidRDefault="00CF3A6C" w:rsidP="00CF3A6C">
            <w:pPr>
              <w:pStyle w:val="wordvdtabletitle"/>
            </w:pPr>
            <w:r w:rsidRPr="008D26CE">
              <w:t>74.3</w:t>
            </w:r>
          </w:p>
        </w:tc>
        <w:tc>
          <w:tcPr>
            <w:tcW w:w="670" w:type="dxa"/>
            <w:vAlign w:val="center"/>
          </w:tcPr>
          <w:p w14:paraId="1811CAA5" w14:textId="77777777" w:rsidR="00CF3A6C" w:rsidRPr="008D26CE" w:rsidRDefault="00CF3A6C" w:rsidP="00CF3A6C">
            <w:pPr>
              <w:pStyle w:val="wordvdtabletitle"/>
            </w:pPr>
            <w:r w:rsidRPr="008D26CE">
              <w:t>71.8</w:t>
            </w:r>
          </w:p>
        </w:tc>
      </w:tr>
      <w:tr w:rsidR="00CF3A6C" w:rsidRPr="008D26CE" w14:paraId="1DC7E5D9" w14:textId="77777777" w:rsidTr="00CF3A6C">
        <w:trPr>
          <w:jc w:val="center"/>
        </w:trPr>
        <w:tc>
          <w:tcPr>
            <w:tcW w:w="1532" w:type="dxa"/>
            <w:vAlign w:val="center"/>
          </w:tcPr>
          <w:p w14:paraId="45787C79" w14:textId="77777777" w:rsidR="00CF3A6C" w:rsidRPr="008D26CE" w:rsidRDefault="00CF3A6C" w:rsidP="00CF3A6C">
            <w:pPr>
              <w:pStyle w:val="wordvdtabletitle"/>
            </w:pPr>
            <w:r w:rsidRPr="008D26CE">
              <w:t>3Pt/HZSM5_150_u</w:t>
            </w:r>
          </w:p>
        </w:tc>
        <w:tc>
          <w:tcPr>
            <w:tcW w:w="669" w:type="dxa"/>
            <w:vAlign w:val="center"/>
          </w:tcPr>
          <w:p w14:paraId="3A4C009B" w14:textId="77777777" w:rsidR="00CF3A6C" w:rsidRPr="008D26CE" w:rsidRDefault="00CF3A6C" w:rsidP="00CF3A6C">
            <w:pPr>
              <w:pStyle w:val="wordvdtabletitle"/>
            </w:pPr>
            <w:r w:rsidRPr="008D26CE">
              <w:t>102.7</w:t>
            </w:r>
          </w:p>
        </w:tc>
        <w:tc>
          <w:tcPr>
            <w:tcW w:w="670" w:type="dxa"/>
            <w:vAlign w:val="center"/>
          </w:tcPr>
          <w:p w14:paraId="10BFFB33" w14:textId="77777777" w:rsidR="00CF3A6C" w:rsidRPr="008D26CE" w:rsidRDefault="00CF3A6C" w:rsidP="00CF3A6C">
            <w:pPr>
              <w:pStyle w:val="wordvdtabletitle"/>
            </w:pPr>
            <w:r w:rsidRPr="008D26CE">
              <w:t>532.8</w:t>
            </w:r>
          </w:p>
        </w:tc>
        <w:tc>
          <w:tcPr>
            <w:tcW w:w="670" w:type="dxa"/>
            <w:vAlign w:val="center"/>
          </w:tcPr>
          <w:p w14:paraId="3014928B" w14:textId="77777777" w:rsidR="00CF3A6C" w:rsidRPr="008D26CE" w:rsidRDefault="00CF3A6C" w:rsidP="00CF3A6C">
            <w:pPr>
              <w:pStyle w:val="wordvdtabletitle"/>
            </w:pPr>
            <w:r w:rsidRPr="008D26CE">
              <w:t>70.6</w:t>
            </w:r>
          </w:p>
        </w:tc>
        <w:tc>
          <w:tcPr>
            <w:tcW w:w="670" w:type="dxa"/>
            <w:vAlign w:val="center"/>
          </w:tcPr>
          <w:p w14:paraId="2046AF1F" w14:textId="77777777" w:rsidR="00CF3A6C" w:rsidRPr="008D26CE" w:rsidRDefault="00CF3A6C" w:rsidP="00CF3A6C">
            <w:pPr>
              <w:pStyle w:val="wordvdtabletitle"/>
            </w:pPr>
            <w:r w:rsidRPr="008D26CE">
              <w:t>73.9</w:t>
            </w:r>
          </w:p>
        </w:tc>
        <w:tc>
          <w:tcPr>
            <w:tcW w:w="670" w:type="dxa"/>
            <w:vAlign w:val="center"/>
          </w:tcPr>
          <w:p w14:paraId="52B8FCD2" w14:textId="77777777" w:rsidR="00CF3A6C" w:rsidRPr="008D26CE" w:rsidRDefault="00CF3A6C" w:rsidP="00CF3A6C">
            <w:pPr>
              <w:pStyle w:val="wordvdtabletitle"/>
            </w:pPr>
            <w:r w:rsidRPr="008D26CE">
              <w:t>72.1</w:t>
            </w:r>
          </w:p>
        </w:tc>
      </w:tr>
      <w:tr w:rsidR="00CF3A6C" w:rsidRPr="008D26CE" w14:paraId="05B30811" w14:textId="77777777" w:rsidTr="00CF3A6C">
        <w:trPr>
          <w:jc w:val="center"/>
        </w:trPr>
        <w:tc>
          <w:tcPr>
            <w:tcW w:w="1532" w:type="dxa"/>
            <w:vAlign w:val="center"/>
          </w:tcPr>
          <w:p w14:paraId="18C97C58" w14:textId="77777777" w:rsidR="00CF3A6C" w:rsidRPr="008D26CE" w:rsidRDefault="00CF3A6C" w:rsidP="00CF3A6C">
            <w:pPr>
              <w:pStyle w:val="wordvdtabletitle"/>
            </w:pPr>
            <w:r w:rsidRPr="008D26CE">
              <w:t>3Pt/HZSM5_550</w:t>
            </w:r>
          </w:p>
        </w:tc>
        <w:tc>
          <w:tcPr>
            <w:tcW w:w="669" w:type="dxa"/>
            <w:vAlign w:val="center"/>
          </w:tcPr>
          <w:p w14:paraId="04B3EC87" w14:textId="77777777" w:rsidR="00CF3A6C" w:rsidRPr="008D26CE" w:rsidRDefault="00CF3A6C" w:rsidP="00CF3A6C">
            <w:pPr>
              <w:pStyle w:val="wordvdtabletitle"/>
            </w:pPr>
            <w:r w:rsidRPr="008D26CE">
              <w:t>103.2</w:t>
            </w:r>
          </w:p>
        </w:tc>
        <w:tc>
          <w:tcPr>
            <w:tcW w:w="670" w:type="dxa"/>
            <w:vAlign w:val="center"/>
          </w:tcPr>
          <w:p w14:paraId="05859F22" w14:textId="77777777" w:rsidR="00CF3A6C" w:rsidRPr="008D26CE" w:rsidRDefault="00CF3A6C" w:rsidP="00CF3A6C">
            <w:pPr>
              <w:pStyle w:val="wordvdtabletitle"/>
            </w:pPr>
            <w:r w:rsidRPr="008D26CE">
              <w:t>533.2</w:t>
            </w:r>
          </w:p>
        </w:tc>
        <w:tc>
          <w:tcPr>
            <w:tcW w:w="670" w:type="dxa"/>
            <w:vAlign w:val="center"/>
          </w:tcPr>
          <w:p w14:paraId="723695A5" w14:textId="77777777" w:rsidR="00CF3A6C" w:rsidRPr="008D26CE" w:rsidRDefault="00CF3A6C" w:rsidP="00CF3A6C">
            <w:pPr>
              <w:pStyle w:val="wordvdtabletitle"/>
            </w:pPr>
            <w:r w:rsidRPr="008D26CE">
              <w:t>71.2</w:t>
            </w:r>
          </w:p>
        </w:tc>
        <w:tc>
          <w:tcPr>
            <w:tcW w:w="670" w:type="dxa"/>
            <w:vAlign w:val="center"/>
          </w:tcPr>
          <w:p w14:paraId="3317C0EC" w14:textId="77777777" w:rsidR="00CF3A6C" w:rsidRPr="008D26CE" w:rsidRDefault="00CF3A6C" w:rsidP="00CF3A6C">
            <w:pPr>
              <w:pStyle w:val="wordvdtabletitle"/>
            </w:pPr>
            <w:r w:rsidRPr="008D26CE">
              <w:t>74.6</w:t>
            </w:r>
          </w:p>
        </w:tc>
        <w:tc>
          <w:tcPr>
            <w:tcW w:w="670" w:type="dxa"/>
            <w:vAlign w:val="center"/>
          </w:tcPr>
          <w:p w14:paraId="3150D974" w14:textId="77777777" w:rsidR="00CF3A6C" w:rsidRPr="008D26CE" w:rsidRDefault="00CF3A6C" w:rsidP="00CF3A6C">
            <w:pPr>
              <w:pStyle w:val="wordvdtabletitle"/>
            </w:pPr>
            <w:r w:rsidRPr="008D26CE">
              <w:t>72.7</w:t>
            </w:r>
          </w:p>
        </w:tc>
      </w:tr>
      <w:tr w:rsidR="00CF3A6C" w:rsidRPr="008D26CE" w14:paraId="6014A525" w14:textId="77777777" w:rsidTr="00CF3A6C">
        <w:trPr>
          <w:jc w:val="center"/>
        </w:trPr>
        <w:tc>
          <w:tcPr>
            <w:tcW w:w="1532" w:type="dxa"/>
            <w:vAlign w:val="center"/>
          </w:tcPr>
          <w:p w14:paraId="40492E3F" w14:textId="77777777" w:rsidR="00CF3A6C" w:rsidRPr="008D26CE" w:rsidRDefault="00CF3A6C" w:rsidP="00CF3A6C">
            <w:pPr>
              <w:pStyle w:val="wordvdtabletitle"/>
            </w:pPr>
            <w:r w:rsidRPr="008D26CE">
              <w:t>3Pt/HZSM5_550_u</w:t>
            </w:r>
          </w:p>
        </w:tc>
        <w:tc>
          <w:tcPr>
            <w:tcW w:w="669" w:type="dxa"/>
            <w:vAlign w:val="center"/>
          </w:tcPr>
          <w:p w14:paraId="527FF7F5" w14:textId="77777777" w:rsidR="00CF3A6C" w:rsidRPr="008D26CE" w:rsidRDefault="00CF3A6C" w:rsidP="00CF3A6C">
            <w:pPr>
              <w:pStyle w:val="wordvdtabletitle"/>
            </w:pPr>
            <w:r w:rsidRPr="008D26CE">
              <w:t>102.8</w:t>
            </w:r>
          </w:p>
        </w:tc>
        <w:tc>
          <w:tcPr>
            <w:tcW w:w="670" w:type="dxa"/>
            <w:vAlign w:val="center"/>
          </w:tcPr>
          <w:p w14:paraId="12586060" w14:textId="77777777" w:rsidR="00CF3A6C" w:rsidRPr="008D26CE" w:rsidRDefault="00CF3A6C" w:rsidP="00CF3A6C">
            <w:pPr>
              <w:pStyle w:val="wordvdtabletitle"/>
            </w:pPr>
            <w:r w:rsidRPr="008D26CE">
              <w:t>532.8</w:t>
            </w:r>
          </w:p>
        </w:tc>
        <w:tc>
          <w:tcPr>
            <w:tcW w:w="670" w:type="dxa"/>
            <w:vAlign w:val="center"/>
          </w:tcPr>
          <w:p w14:paraId="63760BB4" w14:textId="77777777" w:rsidR="00CF3A6C" w:rsidRPr="008D26CE" w:rsidRDefault="00CF3A6C" w:rsidP="00CF3A6C">
            <w:pPr>
              <w:pStyle w:val="wordvdtabletitle"/>
            </w:pPr>
            <w:r w:rsidRPr="008D26CE">
              <w:t>70.5</w:t>
            </w:r>
          </w:p>
        </w:tc>
        <w:tc>
          <w:tcPr>
            <w:tcW w:w="670" w:type="dxa"/>
            <w:vAlign w:val="center"/>
          </w:tcPr>
          <w:p w14:paraId="42ABE782" w14:textId="77777777" w:rsidR="00CF3A6C" w:rsidRPr="008D26CE" w:rsidRDefault="00CF3A6C" w:rsidP="00CF3A6C">
            <w:pPr>
              <w:pStyle w:val="wordvdtabletitle"/>
            </w:pPr>
            <w:r w:rsidRPr="008D26CE">
              <w:t>73.8</w:t>
            </w:r>
          </w:p>
        </w:tc>
        <w:tc>
          <w:tcPr>
            <w:tcW w:w="670" w:type="dxa"/>
            <w:vAlign w:val="center"/>
          </w:tcPr>
          <w:p w14:paraId="57DD4E60" w14:textId="77777777" w:rsidR="00CF3A6C" w:rsidRPr="008D26CE" w:rsidRDefault="00CF3A6C" w:rsidP="00CF3A6C">
            <w:pPr>
              <w:pStyle w:val="wordvdtabletitle"/>
            </w:pPr>
            <w:r w:rsidRPr="008D26CE">
              <w:t>71.7</w:t>
            </w:r>
          </w:p>
        </w:tc>
      </w:tr>
    </w:tbl>
    <w:p w14:paraId="0E4E61B9" w14:textId="651C6CE9" w:rsidR="00444574" w:rsidRPr="008D26CE" w:rsidRDefault="006E25C6" w:rsidP="00EF3CF9">
      <w:pPr>
        <w:spacing w:before="24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Na Tabela 3 são apresentados os resultados para as reações de oxidação do glicerol em diferentes temperaturas utilizando os catalisadores frescos. </w:t>
      </w:r>
      <w:r w:rsidR="00600B13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Para 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ambos os </w:t>
      </w:r>
      <w:r w:rsidR="00600B13" w:rsidRPr="008D26CE">
        <w:rPr>
          <w:rFonts w:ascii="Times New Roman" w:hAnsi="Times New Roman" w:cs="Times New Roman"/>
          <w:sz w:val="20"/>
          <w:szCs w:val="20"/>
          <w:lang w:eastAsia="pt-BR"/>
        </w:rPr>
        <w:t>catalisador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es é </w:t>
      </w:r>
      <w:r w:rsidR="00600B13" w:rsidRPr="008D26CE">
        <w:rPr>
          <w:rFonts w:ascii="Times New Roman" w:hAnsi="Times New Roman" w:cs="Times New Roman"/>
          <w:sz w:val="20"/>
          <w:szCs w:val="20"/>
          <w:lang w:eastAsia="pt-BR"/>
        </w:rPr>
        <w:t>possível observar uma tendência de aumento nos valores de conversão com o aumento da temperatura</w:t>
      </w:r>
      <w:r w:rsidR="00322CF3" w:rsidRPr="008D26CE">
        <w:rPr>
          <w:rFonts w:ascii="Times New Roman" w:hAnsi="Times New Roman" w:cs="Times New Roman"/>
          <w:sz w:val="20"/>
          <w:szCs w:val="20"/>
          <w:lang w:eastAsia="pt-BR"/>
        </w:rPr>
        <w:t>, o que é recorrente nas reações de oxidação do glicerol</w:t>
      </w:r>
      <w:r w:rsidR="005E26A7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[1,2 e 6]</w:t>
      </w:r>
      <w:r w:rsidR="00600B13" w:rsidRPr="008D26CE">
        <w:rPr>
          <w:rFonts w:ascii="Times New Roman" w:hAnsi="Times New Roman" w:cs="Times New Roman"/>
          <w:sz w:val="20"/>
          <w:szCs w:val="20"/>
          <w:lang w:eastAsia="pt-BR"/>
        </w:rPr>
        <w:t>. O</w:t>
      </w:r>
      <w:r w:rsidR="00663790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s resultados do </w:t>
      </w:r>
      <w:r w:rsidR="00600B13" w:rsidRPr="008D26CE">
        <w:rPr>
          <w:rFonts w:ascii="Times New Roman" w:hAnsi="Times New Roman" w:cs="Times New Roman"/>
          <w:sz w:val="20"/>
          <w:szCs w:val="20"/>
          <w:lang w:eastAsia="pt-BR"/>
        </w:rPr>
        <w:t>balanço de carbono</w:t>
      </w:r>
      <w:r w:rsidR="00322CF3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(BC)</w:t>
      </w:r>
      <w:r w:rsidR="00600B13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das reações </w:t>
      </w:r>
      <w:r w:rsidR="00E847BE" w:rsidRPr="008D26CE">
        <w:rPr>
          <w:rFonts w:ascii="Times New Roman" w:hAnsi="Times New Roman" w:cs="Times New Roman"/>
          <w:sz w:val="20"/>
          <w:szCs w:val="20"/>
          <w:lang w:eastAsia="pt-BR"/>
        </w:rPr>
        <w:t>estão relacionados à</w:t>
      </w:r>
      <w:r w:rsidR="00600B13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elevada acidez total do</w:t>
      </w:r>
      <w:r w:rsidR="00E847BE" w:rsidRPr="008D26CE">
        <w:rPr>
          <w:rFonts w:ascii="Times New Roman" w:hAnsi="Times New Roman" w:cs="Times New Roman"/>
          <w:sz w:val="20"/>
          <w:szCs w:val="20"/>
          <w:lang w:eastAsia="pt-BR"/>
        </w:rPr>
        <w:t>s</w:t>
      </w:r>
      <w:r w:rsidR="00600B13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catalisador</w:t>
      </w:r>
      <w:r w:rsidR="00E847BE" w:rsidRPr="008D26CE">
        <w:rPr>
          <w:rFonts w:ascii="Times New Roman" w:hAnsi="Times New Roman" w:cs="Times New Roman"/>
          <w:sz w:val="20"/>
          <w:szCs w:val="20"/>
          <w:lang w:eastAsia="pt-BR"/>
        </w:rPr>
        <w:t>es</w:t>
      </w:r>
      <w:r w:rsidR="00322CF3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e também à elevada microporosidade do suporte </w:t>
      </w:r>
      <w:r w:rsidR="00600B13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(Tabela 1)</w:t>
      </w:r>
      <w:r w:rsidR="00322CF3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. A elevada acidez dos catalisadores </w:t>
      </w:r>
      <w:r w:rsidR="00E847BE" w:rsidRPr="008D26CE">
        <w:rPr>
          <w:rFonts w:ascii="Times New Roman" w:hAnsi="Times New Roman" w:cs="Times New Roman"/>
          <w:sz w:val="20"/>
          <w:szCs w:val="20"/>
          <w:lang w:eastAsia="pt-BR"/>
        </w:rPr>
        <w:t>nesse primeiro ciclo de reação favorece</w:t>
      </w:r>
      <w:r w:rsidR="00600B13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a</w:t>
      </w:r>
      <w:r w:rsidR="00322CF3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ocorrência de</w:t>
      </w:r>
      <w:r w:rsidR="00600B13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clivagem oxidativa da ligação C-C das moléculas de GLYALD formando GLYCA e posteriormente, CO</w:t>
      </w:r>
      <w:r w:rsidR="00600B13" w:rsidRPr="008D26CE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EF7EFA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[16].</w:t>
      </w:r>
      <w:r w:rsidR="00386674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Zhou e colaboradores [</w:t>
      </w:r>
      <w:r w:rsidR="00EF7B69" w:rsidRPr="008D26CE">
        <w:rPr>
          <w:rFonts w:ascii="Times New Roman" w:hAnsi="Times New Roman" w:cs="Times New Roman"/>
          <w:sz w:val="20"/>
          <w:szCs w:val="20"/>
          <w:lang w:eastAsia="pt-BR"/>
        </w:rPr>
        <w:t>17</w:t>
      </w:r>
      <w:r w:rsidR="00386674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] afirmam que catalisadores com predominância de microporos tendem, por limitações de transferência de massa, a promover um super oxidação do glicerol, levando a produtos C1 e C2. </w:t>
      </w:r>
      <w:r w:rsidR="00F115EF" w:rsidRPr="008D26CE">
        <w:rPr>
          <w:rFonts w:ascii="Times New Roman" w:hAnsi="Times New Roman" w:cs="Times New Roman"/>
          <w:sz w:val="20"/>
          <w:szCs w:val="20"/>
        </w:rPr>
        <w:t>Skrzynska e colaboradores</w:t>
      </w:r>
      <w:r w:rsidR="00EA67B7" w:rsidRPr="008D26CE">
        <w:rPr>
          <w:rFonts w:ascii="Times New Roman" w:hAnsi="Times New Roman" w:cs="Times New Roman"/>
          <w:sz w:val="20"/>
          <w:szCs w:val="20"/>
        </w:rPr>
        <w:t xml:space="preserve"> [18]</w:t>
      </w:r>
      <w:r w:rsidR="00F115EF" w:rsidRPr="008D26CE">
        <w:rPr>
          <w:rFonts w:ascii="Times New Roman" w:hAnsi="Times New Roman" w:cs="Times New Roman"/>
          <w:sz w:val="20"/>
          <w:szCs w:val="20"/>
        </w:rPr>
        <w:t xml:space="preserve"> associaram balanços de carbono inferiores a 80% a fatores como </w:t>
      </w:r>
      <w:r w:rsidR="00322CF3" w:rsidRPr="008D26CE">
        <w:rPr>
          <w:rFonts w:ascii="Times New Roman" w:hAnsi="Times New Roman" w:cs="Times New Roman"/>
          <w:sz w:val="20"/>
          <w:szCs w:val="20"/>
        </w:rPr>
        <w:t xml:space="preserve">elevada atividade catalítica </w:t>
      </w:r>
      <w:r w:rsidR="00CF3A6C" w:rsidRPr="008D26CE">
        <w:rPr>
          <w:rFonts w:ascii="Times New Roman" w:hAnsi="Times New Roman" w:cs="Times New Roman"/>
          <w:sz w:val="20"/>
          <w:szCs w:val="20"/>
        </w:rPr>
        <w:t xml:space="preserve">e </w:t>
      </w:r>
      <w:r w:rsidR="00F115EF" w:rsidRPr="008D26CE">
        <w:rPr>
          <w:rFonts w:ascii="Times New Roman" w:hAnsi="Times New Roman" w:cs="Times New Roman"/>
          <w:sz w:val="20"/>
          <w:szCs w:val="20"/>
        </w:rPr>
        <w:t xml:space="preserve">tempos de reação </w:t>
      </w:r>
      <w:r w:rsidR="00F115EF" w:rsidRPr="008D26CE">
        <w:rPr>
          <w:rFonts w:ascii="Times New Roman" w:hAnsi="Times New Roman" w:cs="Times New Roman"/>
          <w:sz w:val="20"/>
          <w:szCs w:val="20"/>
        </w:rPr>
        <w:lastRenderedPageBreak/>
        <w:t>superiores a 120 min</w:t>
      </w:r>
      <w:r w:rsidR="00C41902" w:rsidRPr="008D26CE">
        <w:rPr>
          <w:rFonts w:ascii="Times New Roman" w:hAnsi="Times New Roman" w:cs="Times New Roman"/>
          <w:sz w:val="20"/>
          <w:szCs w:val="20"/>
        </w:rPr>
        <w:t xml:space="preserve">, </w:t>
      </w:r>
      <w:r w:rsidR="00F115EF" w:rsidRPr="008D26CE">
        <w:rPr>
          <w:rFonts w:ascii="Times New Roman" w:hAnsi="Times New Roman" w:cs="Times New Roman"/>
          <w:sz w:val="20"/>
          <w:szCs w:val="20"/>
        </w:rPr>
        <w:t>e</w:t>
      </w:r>
      <w:r w:rsidR="00CF3A6C" w:rsidRPr="008D26CE">
        <w:rPr>
          <w:rFonts w:ascii="Times New Roman" w:hAnsi="Times New Roman" w:cs="Times New Roman"/>
          <w:sz w:val="20"/>
          <w:szCs w:val="20"/>
        </w:rPr>
        <w:t>m</w:t>
      </w:r>
      <w:r w:rsidR="00F115EF" w:rsidRPr="008D26CE">
        <w:rPr>
          <w:rFonts w:ascii="Times New Roman" w:hAnsi="Times New Roman" w:cs="Times New Roman"/>
          <w:sz w:val="20"/>
          <w:szCs w:val="20"/>
        </w:rPr>
        <w:t xml:space="preserve"> ausência de base; </w:t>
      </w:r>
      <w:r w:rsidR="00513BCB" w:rsidRPr="008D26CE">
        <w:rPr>
          <w:rFonts w:ascii="Times New Roman" w:hAnsi="Times New Roman" w:cs="Times New Roman"/>
          <w:sz w:val="20"/>
          <w:szCs w:val="20"/>
        </w:rPr>
        <w:t>sugerindo</w:t>
      </w:r>
      <w:r w:rsidR="00F115EF" w:rsidRPr="008D26CE">
        <w:rPr>
          <w:rFonts w:ascii="Times New Roman" w:hAnsi="Times New Roman" w:cs="Times New Roman"/>
          <w:sz w:val="20"/>
          <w:szCs w:val="20"/>
        </w:rPr>
        <w:t xml:space="preserve"> que em um ambiente </w:t>
      </w:r>
      <w:r w:rsidR="00CF3A6C" w:rsidRPr="008D26CE">
        <w:rPr>
          <w:rFonts w:ascii="Times New Roman" w:hAnsi="Times New Roman" w:cs="Times New Roman"/>
          <w:sz w:val="20"/>
          <w:szCs w:val="20"/>
        </w:rPr>
        <w:t>alcalino</w:t>
      </w:r>
      <w:r w:rsidR="00F115EF" w:rsidRPr="008D26CE">
        <w:rPr>
          <w:rFonts w:ascii="Times New Roman" w:hAnsi="Times New Roman" w:cs="Times New Roman"/>
          <w:sz w:val="20"/>
          <w:szCs w:val="20"/>
        </w:rPr>
        <w:t xml:space="preserve">, </w:t>
      </w:r>
      <w:r w:rsidR="00CF3A6C" w:rsidRPr="008D26CE">
        <w:rPr>
          <w:rFonts w:ascii="Times New Roman" w:hAnsi="Times New Roman" w:cs="Times New Roman"/>
          <w:sz w:val="20"/>
          <w:szCs w:val="20"/>
        </w:rPr>
        <w:t xml:space="preserve">produtos como </w:t>
      </w:r>
      <w:r w:rsidR="00F115EF" w:rsidRPr="008D26CE">
        <w:rPr>
          <w:rFonts w:ascii="Times New Roman" w:hAnsi="Times New Roman" w:cs="Times New Roman"/>
          <w:sz w:val="20"/>
          <w:szCs w:val="20"/>
        </w:rPr>
        <w:t xml:space="preserve">ácido </w:t>
      </w:r>
      <w:r w:rsidR="00C41902" w:rsidRPr="008D26CE">
        <w:rPr>
          <w:rFonts w:ascii="Times New Roman" w:hAnsi="Times New Roman" w:cs="Times New Roman"/>
          <w:sz w:val="20"/>
          <w:szCs w:val="20"/>
        </w:rPr>
        <w:t>não sofreria decomposição.</w:t>
      </w:r>
    </w:p>
    <w:p w14:paraId="2935662D" w14:textId="03B1A5DD" w:rsidR="004A374E" w:rsidRPr="008D26CE" w:rsidRDefault="004A374E" w:rsidP="007D5912">
      <w:pPr>
        <w:rPr>
          <w:rFonts w:ascii="Times New Roman" w:hAnsi="Times New Roman" w:cs="Times New Roman"/>
          <w:sz w:val="20"/>
          <w:szCs w:val="20"/>
          <w:lang w:eastAsia="pt-BR"/>
        </w:rPr>
      </w:pPr>
      <w:r w:rsidRPr="008D26CE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Tab</w:t>
      </w:r>
      <w:r w:rsidR="009E047E" w:rsidRPr="008D26CE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ela</w:t>
      </w:r>
      <w:r w:rsidR="00CA3D89" w:rsidRPr="008D26CE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 xml:space="preserve"> 3</w:t>
      </w:r>
      <w:r w:rsidRPr="008D26CE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.</w:t>
      </w:r>
      <w:r w:rsidR="00DF415A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Resultados das reações realizadas em diferentes temperaturas com os catalisadores</w:t>
      </w:r>
      <w:r w:rsidR="001C427B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frescos</w:t>
      </w:r>
      <w:r w:rsidR="00DF415A" w:rsidRPr="008D26CE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tbl>
      <w:tblPr>
        <w:tblStyle w:val="Tabelacomgrade"/>
        <w:tblW w:w="4815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709"/>
        <w:gridCol w:w="992"/>
        <w:gridCol w:w="851"/>
      </w:tblGrid>
      <w:tr w:rsidR="006D690A" w:rsidRPr="008D26CE" w14:paraId="22263494" w14:textId="77777777" w:rsidTr="00785401">
        <w:tc>
          <w:tcPr>
            <w:tcW w:w="562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1FA6730" w14:textId="77777777" w:rsidR="006D690A" w:rsidRPr="008D26CE" w:rsidRDefault="006D690A" w:rsidP="00785401">
            <w:pPr>
              <w:pStyle w:val="wordvdtabletitle"/>
              <w:spacing w:line="360" w:lineRule="auto"/>
            </w:pPr>
            <w:r w:rsidRPr="008D26CE">
              <w:t>*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E559C57" w14:textId="77777777" w:rsidR="006D690A" w:rsidRPr="008D26CE" w:rsidRDefault="006D690A" w:rsidP="00785401">
            <w:pPr>
              <w:pStyle w:val="wordvdtabletitle"/>
              <w:spacing w:line="360" w:lineRule="auto"/>
              <w:rPr>
                <w:lang w:val="en-US"/>
              </w:rPr>
            </w:pPr>
            <w:r w:rsidRPr="008D26CE">
              <w:rPr>
                <w:lang w:val="en-US"/>
              </w:rPr>
              <w:t>T</w:t>
            </w:r>
          </w:p>
          <w:p w14:paraId="255B91D8" w14:textId="77777777" w:rsidR="006D690A" w:rsidRPr="008D26CE" w:rsidRDefault="006D690A" w:rsidP="00785401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(°C)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4F6D5F3" w14:textId="77777777" w:rsidR="006D690A" w:rsidRPr="008D26CE" w:rsidRDefault="006D690A" w:rsidP="00785401">
            <w:pPr>
              <w:pStyle w:val="wordvdtabletitle"/>
              <w:spacing w:line="360" w:lineRule="auto"/>
              <w:rPr>
                <w:lang w:val="en-US"/>
              </w:rPr>
            </w:pPr>
            <w:r w:rsidRPr="008D26CE">
              <w:rPr>
                <w:lang w:val="en-US"/>
              </w:rPr>
              <w:t>C</w:t>
            </w:r>
          </w:p>
          <w:p w14:paraId="4C7A93E2" w14:textId="77777777" w:rsidR="006D690A" w:rsidRPr="008D26CE" w:rsidRDefault="006D690A" w:rsidP="00785401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( %)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15881F51" w14:textId="77777777" w:rsidR="006D690A" w:rsidRPr="008D26CE" w:rsidRDefault="006D690A" w:rsidP="00785401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(%)</w:t>
            </w:r>
          </w:p>
        </w:tc>
      </w:tr>
      <w:tr w:rsidR="006D690A" w:rsidRPr="008D26CE" w14:paraId="695A86BA" w14:textId="77777777" w:rsidTr="00785401">
        <w:tc>
          <w:tcPr>
            <w:tcW w:w="562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EBBD68D" w14:textId="77777777" w:rsidR="006D690A" w:rsidRPr="008D26CE" w:rsidRDefault="006D690A" w:rsidP="00785401">
            <w:pPr>
              <w:pStyle w:val="wordvdtabletitle"/>
              <w:spacing w:line="360" w:lineRule="auto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722AF51" w14:textId="77777777" w:rsidR="006D690A" w:rsidRPr="008D26CE" w:rsidRDefault="006D690A" w:rsidP="00785401">
            <w:pPr>
              <w:pStyle w:val="wordvdtabletitle"/>
              <w:spacing w:line="360" w:lineRule="auto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8ACBD4D" w14:textId="77777777" w:rsidR="006D690A" w:rsidRPr="008D26CE" w:rsidRDefault="006D690A" w:rsidP="00785401">
            <w:pPr>
              <w:pStyle w:val="wordvdtabletitle"/>
              <w:spacing w:line="360" w:lineRule="auto"/>
            </w:pPr>
          </w:p>
        </w:tc>
        <w:tc>
          <w:tcPr>
            <w:tcW w:w="567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5E6E4A6" w14:textId="77777777" w:rsidR="006D690A" w:rsidRPr="008D26CE" w:rsidRDefault="006D690A" w:rsidP="00785401">
            <w:pPr>
              <w:pStyle w:val="wordvdtabletitle"/>
              <w:spacing w:line="360" w:lineRule="auto"/>
            </w:pPr>
            <w:r w:rsidRPr="008D26CE">
              <w:t>DHA</w:t>
            </w:r>
          </w:p>
        </w:tc>
        <w:tc>
          <w:tcPr>
            <w:tcW w:w="709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5DE9E8D" w14:textId="77777777" w:rsidR="006D690A" w:rsidRPr="008D26CE" w:rsidRDefault="006D690A" w:rsidP="00785401">
            <w:pPr>
              <w:pStyle w:val="wordvdtabletitle"/>
              <w:spacing w:line="360" w:lineRule="auto"/>
            </w:pPr>
            <w:r w:rsidRPr="008D26CE">
              <w:t>GLYA</w:t>
            </w:r>
          </w:p>
        </w:tc>
        <w:tc>
          <w:tcPr>
            <w:tcW w:w="992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87576CB" w14:textId="77777777" w:rsidR="006D690A" w:rsidRPr="008D26CE" w:rsidRDefault="006D690A" w:rsidP="00785401">
            <w:pPr>
              <w:pStyle w:val="wordvdtabletitle"/>
              <w:spacing w:line="360" w:lineRule="auto"/>
            </w:pPr>
            <w:r w:rsidRPr="008D26CE">
              <w:t>GLYALD</w:t>
            </w:r>
          </w:p>
        </w:tc>
        <w:tc>
          <w:tcPr>
            <w:tcW w:w="851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D5B0EFB" w14:textId="77777777" w:rsidR="006D690A" w:rsidRPr="008D26CE" w:rsidRDefault="006D690A" w:rsidP="00785401">
            <w:pPr>
              <w:pStyle w:val="wordvdtabletitle"/>
              <w:spacing w:line="360" w:lineRule="auto"/>
            </w:pPr>
            <w:r w:rsidRPr="008D26CE">
              <w:t>BC</w:t>
            </w:r>
          </w:p>
        </w:tc>
      </w:tr>
      <w:tr w:rsidR="006D690A" w:rsidRPr="008D26CE" w14:paraId="59951E2E" w14:textId="77777777" w:rsidTr="00785401">
        <w:tc>
          <w:tcPr>
            <w:tcW w:w="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0EF7BB7" w14:textId="1D7B2F36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E69F5C6" w14:textId="303C4F9E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2065BB0" w14:textId="364C3349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29.9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18F82F9A" w14:textId="6BAEC2A9" w:rsidR="006D690A" w:rsidRPr="008D26CE" w:rsidRDefault="006D690A" w:rsidP="006D690A">
            <w:pPr>
              <w:pStyle w:val="wordvdtabletitle"/>
              <w:spacing w:line="360" w:lineRule="auto"/>
              <w:jc w:val="left"/>
            </w:pPr>
            <w:r w:rsidRPr="008D26CE">
              <w:rPr>
                <w:lang w:val="en-US"/>
              </w:rPr>
              <w:t>32.7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0446F76C" w14:textId="74CFDAFC" w:rsidR="006D690A" w:rsidRPr="008D26CE" w:rsidRDefault="006D690A" w:rsidP="006D690A">
            <w:pPr>
              <w:pStyle w:val="wordvdtabletitle"/>
              <w:spacing w:line="360" w:lineRule="auto"/>
              <w:jc w:val="left"/>
            </w:pPr>
            <w:r w:rsidRPr="008D26CE">
              <w:rPr>
                <w:lang w:val="en-US"/>
              </w:rPr>
              <w:t>15.2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18EA0DC" w14:textId="56743B49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17.0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7BDDB5B" w14:textId="340A47E0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72,3</w:t>
            </w:r>
          </w:p>
        </w:tc>
      </w:tr>
      <w:tr w:rsidR="006D690A" w:rsidRPr="008D26CE" w14:paraId="3C5256BE" w14:textId="77777777" w:rsidTr="007854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8B3A8AC" w14:textId="47E6A975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5A9FC8" w14:textId="4E0AE714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B09891" w14:textId="784538E8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39.6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D9D582" w14:textId="60D5AEBA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29.9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E0A61B" w14:textId="21BE681E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16.0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513765" w14:textId="29C2D2E2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13.9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C6F284" w14:textId="34591E8F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71,9</w:t>
            </w:r>
          </w:p>
        </w:tc>
      </w:tr>
      <w:tr w:rsidR="006D690A" w:rsidRPr="008D26CE" w14:paraId="518F6E3B" w14:textId="77777777" w:rsidTr="007854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DD697FB" w14:textId="54545F79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9153AB" w14:textId="7018C964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43BF02" w14:textId="60A30631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44.0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037B2E" w14:textId="283D0797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30.8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996A2E" w14:textId="15068B59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15.5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8B31B7" w14:textId="5BC209FE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15.4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FF0C81" w14:textId="0F97AE35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74,0</w:t>
            </w:r>
          </w:p>
        </w:tc>
      </w:tr>
      <w:tr w:rsidR="006D690A" w:rsidRPr="008D26CE" w14:paraId="345414A8" w14:textId="77777777" w:rsidTr="007854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6849E36" w14:textId="109626B1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B629C0" w14:textId="04BB3001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6C8410" w14:textId="0F9C189C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49.0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13476F" w14:textId="3A4CD564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30.3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A83D46" w14:textId="7E495828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23.7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437901" w14:textId="35493EF6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785D549" w14:textId="0995C06B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76,0</w:t>
            </w:r>
          </w:p>
        </w:tc>
      </w:tr>
      <w:tr w:rsidR="006D690A" w:rsidRPr="008D26CE" w14:paraId="3C97AC8B" w14:textId="77777777" w:rsidTr="007854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8A94148" w14:textId="103BB7AF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3A2F3D" w14:textId="2007CDBF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3306F5" w14:textId="79E0ABE8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34.1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9ED001" w14:textId="3681C5DE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35.4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9E7886" w14:textId="6741D03F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20.2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82956E" w14:textId="1CDE27B3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4.5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0AB7441" w14:textId="1D358C6D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73,3</w:t>
            </w:r>
          </w:p>
        </w:tc>
      </w:tr>
      <w:tr w:rsidR="006D690A" w:rsidRPr="008D26CE" w14:paraId="56C4A65A" w14:textId="77777777" w:rsidTr="007854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1C31C8D" w14:textId="2FCEB646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2B0EB6" w14:textId="56C26549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E02C83" w14:textId="782CB2C1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40.9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1899FA" w14:textId="5BF166C2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28.5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D7AD03" w14:textId="3460F08A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17.6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1537D7" w14:textId="30BC8862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5.0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A0BEE60" w14:textId="730F19D2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62,0</w:t>
            </w:r>
          </w:p>
        </w:tc>
      </w:tr>
      <w:tr w:rsidR="006D690A" w:rsidRPr="008D26CE" w14:paraId="13E11548" w14:textId="77777777" w:rsidTr="007854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12E9D7E" w14:textId="353665AA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5CB99A" w14:textId="73495785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48FFB7" w14:textId="698C9AF9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42.7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870738" w14:textId="05225911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17.8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2CAD02" w14:textId="7B4C9824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14.4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F6125F" w14:textId="6F9B3F6A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5.5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2BAEE3" w14:textId="7C0FDAA7" w:rsidR="006D690A" w:rsidRPr="008D26CE" w:rsidRDefault="006D690A" w:rsidP="006D690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62,9</w:t>
            </w:r>
          </w:p>
        </w:tc>
      </w:tr>
      <w:tr w:rsidR="006D690A" w:rsidRPr="008D26CE" w14:paraId="159004EE" w14:textId="77777777" w:rsidTr="00785401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A2454" w14:textId="5FAB304E" w:rsidR="006D690A" w:rsidRPr="008D26CE" w:rsidRDefault="006D690A" w:rsidP="006D690A">
            <w:pPr>
              <w:pStyle w:val="wordvdtabletitle"/>
              <w:spacing w:line="360" w:lineRule="auto"/>
              <w:rPr>
                <w:lang w:val="en-US"/>
              </w:rPr>
            </w:pPr>
            <w:r w:rsidRPr="008D26CE">
              <w:rPr>
                <w:lang w:val="en-US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074B1" w14:textId="6AB95AD5" w:rsidR="006D690A" w:rsidRPr="008D26CE" w:rsidRDefault="006D690A" w:rsidP="006D690A">
            <w:pPr>
              <w:pStyle w:val="wordvdtabletitle"/>
              <w:spacing w:line="360" w:lineRule="auto"/>
              <w:rPr>
                <w:lang w:val="en-US"/>
              </w:rPr>
            </w:pPr>
            <w:r w:rsidRPr="008D26CE">
              <w:rPr>
                <w:lang w:val="en-US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9A3C3" w14:textId="6B1733EA" w:rsidR="006D690A" w:rsidRPr="008D26CE" w:rsidRDefault="006D690A" w:rsidP="006D690A">
            <w:pPr>
              <w:pStyle w:val="wordvdtabletitle"/>
              <w:spacing w:line="360" w:lineRule="auto"/>
              <w:rPr>
                <w:lang w:val="en-US"/>
              </w:rPr>
            </w:pPr>
            <w:r w:rsidRPr="008D26CE">
              <w:rPr>
                <w:lang w:val="en-US"/>
              </w:rPr>
              <w:t>45.1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C342D" w14:textId="5FE3CD77" w:rsidR="006D690A" w:rsidRPr="008D26CE" w:rsidRDefault="006D690A" w:rsidP="006D690A">
            <w:pPr>
              <w:pStyle w:val="wordvdtabletitle"/>
              <w:spacing w:line="360" w:lineRule="auto"/>
              <w:rPr>
                <w:lang w:val="en-US"/>
              </w:rPr>
            </w:pPr>
            <w:r w:rsidRPr="008D26CE">
              <w:rPr>
                <w:lang w:val="en-US"/>
              </w:rPr>
              <w:t>25.5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A6F00" w14:textId="705DF572" w:rsidR="006D690A" w:rsidRPr="008D26CE" w:rsidRDefault="006D690A" w:rsidP="006D690A">
            <w:pPr>
              <w:pStyle w:val="wordvdtabletitle"/>
              <w:spacing w:line="360" w:lineRule="auto"/>
              <w:rPr>
                <w:lang w:val="en-US"/>
              </w:rPr>
            </w:pPr>
            <w:r w:rsidRPr="008D26CE">
              <w:rPr>
                <w:lang w:val="en-US"/>
              </w:rPr>
              <w:t>12.4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125DE" w14:textId="4F4F37B7" w:rsidR="006D690A" w:rsidRPr="008D26CE" w:rsidRDefault="006D690A" w:rsidP="006D690A">
            <w:pPr>
              <w:pStyle w:val="wordvdtabletitle"/>
              <w:spacing w:line="360" w:lineRule="auto"/>
              <w:rPr>
                <w:lang w:val="en-US"/>
              </w:rPr>
            </w:pPr>
            <w:r w:rsidRPr="008D26CE">
              <w:rPr>
                <w:lang w:val="en-US"/>
              </w:rPr>
              <w:t>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6B1CD" w14:textId="3AF4AF18" w:rsidR="006D690A" w:rsidRPr="008D26CE" w:rsidRDefault="006D690A" w:rsidP="006D690A">
            <w:pPr>
              <w:pStyle w:val="wordvdtabletitle"/>
              <w:spacing w:line="360" w:lineRule="auto"/>
              <w:rPr>
                <w:lang w:val="en-US"/>
              </w:rPr>
            </w:pPr>
            <w:r w:rsidRPr="008D26CE">
              <w:rPr>
                <w:lang w:val="en-US"/>
              </w:rPr>
              <w:t>64,4</w:t>
            </w:r>
          </w:p>
        </w:tc>
      </w:tr>
    </w:tbl>
    <w:p w14:paraId="19CA1352" w14:textId="77777777" w:rsidR="006D690A" w:rsidRPr="008D26CE" w:rsidRDefault="006D690A" w:rsidP="006D690A">
      <w:pPr>
        <w:rPr>
          <w:rFonts w:ascii="Times New Roman" w:hAnsi="Times New Roman" w:cs="Times New Roman"/>
          <w:sz w:val="16"/>
          <w:szCs w:val="16"/>
          <w:lang w:eastAsia="pt-BR"/>
        </w:rPr>
      </w:pPr>
      <w:r w:rsidRPr="008D26CE">
        <w:rPr>
          <w:rFonts w:ascii="Times New Roman" w:hAnsi="Times New Roman" w:cs="Times New Roman"/>
          <w:sz w:val="16"/>
          <w:szCs w:val="16"/>
          <w:lang w:eastAsia="pt-BR"/>
        </w:rPr>
        <w:t>*150:3Pt/HZSM-5_150 e 550:3Pt/HZSM-5_550.</w:t>
      </w:r>
    </w:p>
    <w:p w14:paraId="2AB55257" w14:textId="6EB7F321" w:rsidR="00CA3D89" w:rsidRPr="008D26CE" w:rsidRDefault="00115D29" w:rsidP="00E662CF">
      <w:pPr>
        <w:ind w:firstLine="284"/>
        <w:jc w:val="both"/>
        <w:rPr>
          <w:rFonts w:ascii="Times New Roman" w:hAnsi="Times New Roman" w:cs="Times New Roman"/>
          <w:sz w:val="16"/>
          <w:szCs w:val="16"/>
          <w:lang w:eastAsia="pt-BR"/>
        </w:rPr>
      </w:pPr>
      <w:r w:rsidRPr="008D26CE">
        <w:rPr>
          <w:rFonts w:ascii="Times New Roman" w:hAnsi="Times New Roman" w:cs="Times New Roman"/>
          <w:sz w:val="20"/>
          <w:szCs w:val="20"/>
          <w:lang w:eastAsia="pt-BR"/>
        </w:rPr>
        <w:t>Após o primeiro ciclo de oxidação do glicerol, os catalisadores foram submetidos a outra reação de oxidação. Surpreendentemente, conversões mais altas foram alcançadas em todas as temperaturas testadas. De acordo com os resultados de caracterização acima mencionados, a principal diferença entre catalisadores novos e usados ​​reside no tamanho de partícula de Pt e</w:t>
      </w:r>
      <w:r w:rsidR="00E1006E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sua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distribuição na superfície do catalisador e sistemas de poros</w:t>
      </w:r>
      <w:r w:rsidR="00E1006E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, além da redução da acidez total dos catalisadores após o uso, e também </w:t>
      </w:r>
      <w:r w:rsidR="00EA058D" w:rsidRPr="008D26CE">
        <w:rPr>
          <w:rFonts w:ascii="Times New Roman" w:hAnsi="Times New Roman" w:cs="Times New Roman"/>
          <w:sz w:val="20"/>
          <w:szCs w:val="20"/>
          <w:lang w:eastAsia="pt-BR"/>
        </w:rPr>
        <w:t>n</w:t>
      </w:r>
      <w:r w:rsidR="00E1006E" w:rsidRPr="008D26CE">
        <w:rPr>
          <w:rFonts w:ascii="Times New Roman" w:hAnsi="Times New Roman" w:cs="Times New Roman"/>
          <w:sz w:val="20"/>
          <w:szCs w:val="20"/>
          <w:lang w:eastAsia="pt-BR"/>
        </w:rPr>
        <w:t>a distribuição dos perfis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de acidez</w:t>
      </w:r>
      <w:r w:rsidR="00E1006E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(Tabela 1)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. Além disso, os catalisadores usados ​​mostram maior concentração relativa de oxigênio de superfície (Tabela </w:t>
      </w:r>
      <w:r w:rsidR="00E1006E" w:rsidRPr="008D26CE">
        <w:rPr>
          <w:rFonts w:ascii="Times New Roman" w:hAnsi="Times New Roman" w:cs="Times New Roman"/>
          <w:sz w:val="20"/>
          <w:szCs w:val="20"/>
          <w:lang w:eastAsia="pt-BR"/>
        </w:rPr>
        <w:t>2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>)</w:t>
      </w:r>
      <w:r w:rsidR="00E1006E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, o que 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>promove</w:t>
      </w:r>
      <w:r w:rsidR="00E1006E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maior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transferência de elétrons de grupos de oxigênio de superfície para </w:t>
      </w:r>
      <w:r w:rsidR="00372B9D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a 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Pt. Essa transferência de elétrons é necessária para que ocorra a oxidação. </w:t>
      </w:r>
      <w:r w:rsidR="00CE0DAE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A 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concentração relativa de </w:t>
      </w:r>
      <w:r w:rsidR="00CE0DAE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oxigênio na 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>superfície</w:t>
      </w:r>
      <w:r w:rsidR="00CE0DAE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>é muito maior</w:t>
      </w:r>
      <w:r w:rsidR="00CE0DAE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no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3Pt/HZSM-5_150_u</w:t>
      </w:r>
      <w:r w:rsidR="00CE0DAE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, justificando sua maior atividade. </w:t>
      </w:r>
      <w:r w:rsidR="009F3661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Carretin </w:t>
      </w:r>
      <w:r w:rsidR="00444574" w:rsidRPr="008D26CE">
        <w:rPr>
          <w:rFonts w:ascii="Times New Roman" w:hAnsi="Times New Roman" w:cs="Times New Roman"/>
          <w:sz w:val="20"/>
          <w:szCs w:val="20"/>
          <w:lang w:eastAsia="pt-BR"/>
        </w:rPr>
        <w:t>e colaboradores</w:t>
      </w:r>
      <w:r w:rsidR="009F3661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[</w:t>
      </w:r>
      <w:r w:rsidR="00444574" w:rsidRPr="008D26CE">
        <w:rPr>
          <w:rFonts w:ascii="Times New Roman" w:hAnsi="Times New Roman" w:cs="Times New Roman"/>
          <w:sz w:val="20"/>
          <w:szCs w:val="20"/>
          <w:lang w:eastAsia="pt-BR"/>
        </w:rPr>
        <w:t>1</w:t>
      </w:r>
      <w:r w:rsidR="009F3661" w:rsidRPr="008D26CE">
        <w:rPr>
          <w:rFonts w:ascii="Times New Roman" w:hAnsi="Times New Roman" w:cs="Times New Roman"/>
          <w:sz w:val="20"/>
          <w:szCs w:val="20"/>
          <w:lang w:eastAsia="pt-BR"/>
        </w:rPr>
        <w:t>9]</w:t>
      </w:r>
      <w:r w:rsidR="00444574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9F3661" w:rsidRPr="008D26CE">
        <w:rPr>
          <w:rFonts w:ascii="Times New Roman" w:hAnsi="Times New Roman" w:cs="Times New Roman"/>
          <w:sz w:val="20"/>
          <w:szCs w:val="20"/>
          <w:lang w:eastAsia="pt-BR"/>
        </w:rPr>
        <w:t>atribuíram  o baixo BC para a oxidação do glicerol a três possíveis causas: (a) a polimerização dos produtos da reação em polímeros não observáveis ​​pelo método analítico HPLC, (b) a adsorção dos produtos da reação nos suportes do catalisador ou (c) a superoxidação dos produtos de oxidação C3 e C2 a CO</w:t>
      </w:r>
      <w:r w:rsidR="009F3661" w:rsidRPr="008D26CE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9F3661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e ácido fórmico. Após alguns experimentos, os autores confirmaram que o CO</w:t>
      </w:r>
      <w:r w:rsidR="009F3661" w:rsidRPr="008D26CE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9F3661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constitui um fator importante do balanço de carbono para essas reações de oxidação.</w:t>
      </w:r>
    </w:p>
    <w:p w14:paraId="5E5998B9" w14:textId="46B4D561" w:rsidR="001C427B" w:rsidRPr="008D26CE" w:rsidRDefault="001C427B" w:rsidP="001C427B">
      <w:pPr>
        <w:rPr>
          <w:rFonts w:ascii="Times New Roman" w:hAnsi="Times New Roman" w:cs="Times New Roman"/>
          <w:sz w:val="20"/>
          <w:szCs w:val="20"/>
          <w:lang w:eastAsia="pt-BR"/>
        </w:rPr>
      </w:pPr>
      <w:r w:rsidRPr="008D26CE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 xml:space="preserve">Tabela </w:t>
      </w:r>
      <w:r w:rsidR="00CA3D89" w:rsidRPr="008D26CE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4</w:t>
      </w:r>
      <w:r w:rsidRPr="008D26CE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.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Resultados das reações realizadas em diferentes temperaturas com os catalisadores usados.</w:t>
      </w:r>
    </w:p>
    <w:tbl>
      <w:tblPr>
        <w:tblStyle w:val="Tabelacomgrade"/>
        <w:tblW w:w="4815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709"/>
        <w:gridCol w:w="992"/>
        <w:gridCol w:w="851"/>
      </w:tblGrid>
      <w:tr w:rsidR="001C427B" w:rsidRPr="008D26CE" w14:paraId="70D06FF0" w14:textId="77777777" w:rsidTr="00AE7AEA">
        <w:tc>
          <w:tcPr>
            <w:tcW w:w="562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E44CB46" w14:textId="77777777" w:rsidR="001C427B" w:rsidRPr="008D26CE" w:rsidRDefault="001C427B" w:rsidP="00AE7AEA">
            <w:pPr>
              <w:pStyle w:val="wordvdtabletitle"/>
              <w:spacing w:line="360" w:lineRule="auto"/>
            </w:pPr>
            <w:r w:rsidRPr="008D26CE">
              <w:t>*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88712F7" w14:textId="77777777" w:rsidR="001C427B" w:rsidRPr="008D26CE" w:rsidRDefault="001C427B" w:rsidP="00AE7AEA">
            <w:pPr>
              <w:pStyle w:val="wordvdtabletitle"/>
              <w:spacing w:line="360" w:lineRule="auto"/>
              <w:rPr>
                <w:lang w:val="en-US"/>
              </w:rPr>
            </w:pPr>
            <w:r w:rsidRPr="008D26CE">
              <w:rPr>
                <w:lang w:val="en-US"/>
              </w:rPr>
              <w:t>T</w:t>
            </w:r>
          </w:p>
          <w:p w14:paraId="70EF8371" w14:textId="77777777" w:rsidR="001C427B" w:rsidRPr="008D26CE" w:rsidRDefault="001C427B" w:rsidP="00AE7AE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(°C)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F926DAE" w14:textId="77777777" w:rsidR="001C427B" w:rsidRPr="008D26CE" w:rsidRDefault="001C427B" w:rsidP="00AE7AEA">
            <w:pPr>
              <w:pStyle w:val="wordvdtabletitle"/>
              <w:spacing w:line="360" w:lineRule="auto"/>
              <w:rPr>
                <w:lang w:val="en-US"/>
              </w:rPr>
            </w:pPr>
            <w:r w:rsidRPr="008D26CE">
              <w:rPr>
                <w:lang w:val="en-US"/>
              </w:rPr>
              <w:t>C</w:t>
            </w:r>
          </w:p>
          <w:p w14:paraId="1F8667C8" w14:textId="77777777" w:rsidR="001C427B" w:rsidRPr="008D26CE" w:rsidRDefault="001C427B" w:rsidP="00AE7AEA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( %)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24FF4A41" w14:textId="77777777" w:rsidR="001C427B" w:rsidRPr="008D26CE" w:rsidRDefault="001C427B" w:rsidP="00785401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(%)</w:t>
            </w:r>
          </w:p>
        </w:tc>
      </w:tr>
      <w:tr w:rsidR="001C427B" w:rsidRPr="008D26CE" w14:paraId="53A25DD7" w14:textId="77777777" w:rsidTr="00AE7AEA">
        <w:tc>
          <w:tcPr>
            <w:tcW w:w="562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763303E" w14:textId="77777777" w:rsidR="001C427B" w:rsidRPr="008D26CE" w:rsidRDefault="001C427B" w:rsidP="00785401">
            <w:pPr>
              <w:pStyle w:val="wordvdtabletitle"/>
              <w:spacing w:line="360" w:lineRule="auto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33E7D4A" w14:textId="77777777" w:rsidR="001C427B" w:rsidRPr="008D26CE" w:rsidRDefault="001C427B" w:rsidP="00785401">
            <w:pPr>
              <w:pStyle w:val="wordvdtabletitle"/>
              <w:spacing w:line="360" w:lineRule="auto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F592D4B" w14:textId="77777777" w:rsidR="001C427B" w:rsidRPr="008D26CE" w:rsidRDefault="001C427B" w:rsidP="00785401">
            <w:pPr>
              <w:pStyle w:val="wordvdtabletitle"/>
              <w:spacing w:line="360" w:lineRule="auto"/>
            </w:pPr>
          </w:p>
        </w:tc>
        <w:tc>
          <w:tcPr>
            <w:tcW w:w="567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B2B4C92" w14:textId="77777777" w:rsidR="001C427B" w:rsidRPr="008D26CE" w:rsidRDefault="001C427B" w:rsidP="00AE7AEA">
            <w:pPr>
              <w:pStyle w:val="wordvdtabletitle"/>
              <w:spacing w:line="360" w:lineRule="auto"/>
            </w:pPr>
            <w:r w:rsidRPr="008D26CE">
              <w:t>DHA</w:t>
            </w:r>
          </w:p>
        </w:tc>
        <w:tc>
          <w:tcPr>
            <w:tcW w:w="709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72561F7" w14:textId="77777777" w:rsidR="001C427B" w:rsidRPr="008D26CE" w:rsidRDefault="001C427B" w:rsidP="00AE7AEA">
            <w:pPr>
              <w:pStyle w:val="wordvdtabletitle"/>
              <w:spacing w:line="360" w:lineRule="auto"/>
            </w:pPr>
            <w:r w:rsidRPr="008D26CE">
              <w:t>GLYA</w:t>
            </w:r>
          </w:p>
        </w:tc>
        <w:tc>
          <w:tcPr>
            <w:tcW w:w="992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02C3458" w14:textId="77777777" w:rsidR="001C427B" w:rsidRPr="008D26CE" w:rsidRDefault="001C427B" w:rsidP="00AE7AEA">
            <w:pPr>
              <w:pStyle w:val="wordvdtabletitle"/>
              <w:spacing w:line="360" w:lineRule="auto"/>
            </w:pPr>
            <w:r w:rsidRPr="008D26CE">
              <w:t>GLYALD</w:t>
            </w:r>
          </w:p>
        </w:tc>
        <w:tc>
          <w:tcPr>
            <w:tcW w:w="851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AE0F84C" w14:textId="2EB7C802" w:rsidR="001C427B" w:rsidRPr="008D26CE" w:rsidRDefault="00852558" w:rsidP="00AE7AEA">
            <w:pPr>
              <w:pStyle w:val="wordvdtabletitle"/>
              <w:spacing w:line="360" w:lineRule="auto"/>
            </w:pPr>
            <w:r w:rsidRPr="008D26CE">
              <w:t>BC</w:t>
            </w:r>
          </w:p>
        </w:tc>
      </w:tr>
      <w:tr w:rsidR="009C531F" w:rsidRPr="008D26CE" w14:paraId="14F07FC6" w14:textId="77777777" w:rsidTr="00785401">
        <w:tc>
          <w:tcPr>
            <w:tcW w:w="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6F6E00B" w14:textId="77777777" w:rsidR="009C531F" w:rsidRPr="008D26CE" w:rsidRDefault="009C531F" w:rsidP="009C531F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7FDBECB" w14:textId="77777777" w:rsidR="009C531F" w:rsidRPr="008D26CE" w:rsidRDefault="009C531F" w:rsidP="009C531F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C8D3F72" w14:textId="2FDD5AA0" w:rsidR="009C531F" w:rsidRPr="008D26CE" w:rsidRDefault="009C531F" w:rsidP="009C531F">
            <w:pPr>
              <w:pStyle w:val="wordvdtabletitle"/>
              <w:spacing w:line="360" w:lineRule="auto"/>
            </w:pPr>
            <w:r w:rsidRPr="008D26CE">
              <w:t>84,4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51C7E01D" w14:textId="2864DA1C" w:rsidR="009C531F" w:rsidRPr="008D26CE" w:rsidRDefault="00F87662" w:rsidP="009A5034">
            <w:pPr>
              <w:pStyle w:val="wordvdtabletitle"/>
              <w:spacing w:line="360" w:lineRule="auto"/>
              <w:jc w:val="left"/>
            </w:pPr>
            <w:r w:rsidRPr="008D26CE">
              <w:t>34,0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7BEDA15B" w14:textId="3ADACB7E" w:rsidR="009C531F" w:rsidRPr="008D26CE" w:rsidRDefault="00F87662" w:rsidP="00F87662">
            <w:pPr>
              <w:pStyle w:val="wordvdtabletitle"/>
              <w:spacing w:line="360" w:lineRule="auto"/>
              <w:jc w:val="left"/>
            </w:pPr>
            <w:r w:rsidRPr="008D26CE">
              <w:t xml:space="preserve"> </w:t>
            </w:r>
            <w:r w:rsidR="00B81B41" w:rsidRPr="008D26CE">
              <w:t xml:space="preserve"> </w:t>
            </w:r>
            <w:r w:rsidRPr="008D26CE">
              <w:t>25,3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665424AE" w14:textId="0F1547EF" w:rsidR="009C531F" w:rsidRPr="008D26CE" w:rsidRDefault="00F87662" w:rsidP="009C531F">
            <w:pPr>
              <w:pStyle w:val="wordvdtabletitle"/>
              <w:spacing w:line="360" w:lineRule="auto"/>
            </w:pPr>
            <w:r w:rsidRPr="008D26CE">
              <w:t>5,5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5101488" w14:textId="53115782" w:rsidR="009C531F" w:rsidRPr="008D26CE" w:rsidRDefault="007D216F" w:rsidP="009C531F">
            <w:pPr>
              <w:pStyle w:val="wordvdtabletitle"/>
              <w:spacing w:line="360" w:lineRule="auto"/>
            </w:pPr>
            <w:r w:rsidRPr="008D26CE">
              <w:t>81,0</w:t>
            </w:r>
          </w:p>
        </w:tc>
      </w:tr>
      <w:tr w:rsidR="00F87662" w:rsidRPr="008D26CE" w14:paraId="0D193BA2" w14:textId="77777777" w:rsidTr="007854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96284A7" w14:textId="77777777" w:rsidR="00F87662" w:rsidRPr="008D26CE" w:rsidRDefault="00F87662" w:rsidP="00F87662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87DD94" w14:textId="77777777" w:rsidR="00F87662" w:rsidRPr="008D26CE" w:rsidRDefault="00F87662" w:rsidP="00F87662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4C2141" w14:textId="3AEEC241" w:rsidR="00F87662" w:rsidRPr="008D26CE" w:rsidRDefault="00F87662" w:rsidP="00F87662">
            <w:pPr>
              <w:pStyle w:val="wordvdtabletitle"/>
              <w:spacing w:line="360" w:lineRule="auto"/>
            </w:pPr>
            <w:r w:rsidRPr="008D26CE">
              <w:t>85,7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A46DB8" w14:textId="75154AE2" w:rsidR="00F87662" w:rsidRPr="008D26CE" w:rsidRDefault="00F87662" w:rsidP="00F87662">
            <w:pPr>
              <w:pStyle w:val="wordvdtabletitle"/>
              <w:spacing w:line="360" w:lineRule="auto"/>
            </w:pPr>
            <w:r w:rsidRPr="008D26CE">
              <w:t>24,1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11DAAC" w14:textId="4CE6B92F" w:rsidR="00F87662" w:rsidRPr="008D26CE" w:rsidRDefault="00F87662" w:rsidP="00F87662">
            <w:pPr>
              <w:pStyle w:val="wordvdtabletitle"/>
              <w:spacing w:line="360" w:lineRule="auto"/>
            </w:pPr>
            <w:r w:rsidRPr="008D26CE">
              <w:t>22,6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FEE67B" w14:textId="4A5B2E4B" w:rsidR="00F87662" w:rsidRPr="008D26CE" w:rsidRDefault="00F87662" w:rsidP="00F87662">
            <w:pPr>
              <w:pStyle w:val="wordvdtabletitle"/>
              <w:spacing w:line="360" w:lineRule="auto"/>
            </w:pPr>
            <w:r w:rsidRPr="008D26CE"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CDCC90A" w14:textId="33B4EE71" w:rsidR="00F87662" w:rsidRPr="008D26CE" w:rsidRDefault="007D216F" w:rsidP="00F87662">
            <w:pPr>
              <w:pStyle w:val="wordvdtabletitle"/>
              <w:spacing w:line="360" w:lineRule="auto"/>
            </w:pPr>
            <w:r w:rsidRPr="008D26CE">
              <w:t>66,1</w:t>
            </w:r>
          </w:p>
        </w:tc>
      </w:tr>
      <w:tr w:rsidR="00CA3D89" w:rsidRPr="008D26CE" w14:paraId="57A17EF0" w14:textId="77777777" w:rsidTr="007854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C1175C5" w14:textId="77777777" w:rsidR="00CA3D89" w:rsidRPr="008D26CE" w:rsidRDefault="00CA3D89" w:rsidP="00CA3D89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DFB7B8" w14:textId="77777777" w:rsidR="00CA3D89" w:rsidRPr="008D26CE" w:rsidRDefault="00CA3D89" w:rsidP="00CA3D89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97EDAD" w14:textId="448BF343" w:rsidR="00CA3D89" w:rsidRPr="008D26CE" w:rsidRDefault="00CA3D89" w:rsidP="00CA3D89">
            <w:pPr>
              <w:pStyle w:val="wordvdtabletitle"/>
              <w:spacing w:line="360" w:lineRule="auto"/>
            </w:pPr>
            <w:r w:rsidRPr="008D26CE">
              <w:t>81,8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85EBE6" w14:textId="37D9814A" w:rsidR="00CA3D89" w:rsidRPr="008D26CE" w:rsidRDefault="009A5034" w:rsidP="00CA3D89">
            <w:pPr>
              <w:pStyle w:val="wordvdtabletitle"/>
              <w:spacing w:line="360" w:lineRule="auto"/>
            </w:pPr>
            <w:r w:rsidRPr="008D26CE">
              <w:t>21,7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B7BFAF" w14:textId="0E8583BD" w:rsidR="00CA3D89" w:rsidRPr="008D26CE" w:rsidRDefault="009A5034" w:rsidP="00CA3D89">
            <w:pPr>
              <w:pStyle w:val="wordvdtabletitle"/>
              <w:spacing w:line="360" w:lineRule="auto"/>
            </w:pPr>
            <w:r w:rsidRPr="008D26CE"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4149FC" w14:textId="762C2953" w:rsidR="00CA3D89" w:rsidRPr="008D26CE" w:rsidRDefault="009A5034" w:rsidP="00CA3D89">
            <w:pPr>
              <w:pStyle w:val="wordvdtabletitle"/>
              <w:spacing w:line="360" w:lineRule="auto"/>
            </w:pPr>
            <w:r w:rsidRPr="008D26CE">
              <w:t>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BFFEDE" w14:textId="437B17AD" w:rsidR="00CA3D89" w:rsidRPr="008D26CE" w:rsidRDefault="007D216F" w:rsidP="00CA3D89">
            <w:pPr>
              <w:pStyle w:val="wordvdtabletitle"/>
              <w:spacing w:line="360" w:lineRule="auto"/>
            </w:pPr>
            <w:r w:rsidRPr="008D26CE">
              <w:t>59,6</w:t>
            </w:r>
          </w:p>
        </w:tc>
      </w:tr>
      <w:tr w:rsidR="00CA3D89" w:rsidRPr="008D26CE" w14:paraId="2DA3FEE9" w14:textId="77777777" w:rsidTr="000C600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98FA1D0" w14:textId="77777777" w:rsidR="00CA3D89" w:rsidRPr="008D26CE" w:rsidRDefault="00CA3D89" w:rsidP="00CA3D89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3FA698" w14:textId="77777777" w:rsidR="00CA3D89" w:rsidRPr="008D26CE" w:rsidRDefault="00CA3D89" w:rsidP="00CA3D89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E6DCA1" w14:textId="500B9FD4" w:rsidR="00CA3D89" w:rsidRPr="008D26CE" w:rsidRDefault="00CA3D89" w:rsidP="00CA3D89">
            <w:pPr>
              <w:pStyle w:val="wordvdtabletitle"/>
              <w:spacing w:line="360" w:lineRule="auto"/>
            </w:pPr>
            <w:r w:rsidRPr="008D26CE">
              <w:t>9</w:t>
            </w:r>
            <w:r w:rsidR="005E288D" w:rsidRPr="008D26CE"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AAC3F0" w14:textId="2876D474" w:rsidR="00CA3D89" w:rsidRPr="008D26CE" w:rsidRDefault="005E288D" w:rsidP="00CA3D89">
            <w:pPr>
              <w:pStyle w:val="wordvdtabletitle"/>
              <w:spacing w:line="360" w:lineRule="auto"/>
            </w:pPr>
            <w:r w:rsidRPr="008D26CE">
              <w:t>21,5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2B918C" w14:textId="063A5033" w:rsidR="00CA3D89" w:rsidRPr="008D26CE" w:rsidRDefault="005E288D" w:rsidP="00CA3D89">
            <w:pPr>
              <w:pStyle w:val="wordvdtabletitle"/>
              <w:spacing w:line="360" w:lineRule="auto"/>
            </w:pPr>
            <w:r w:rsidRPr="008D26CE"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7B8D04" w14:textId="56B7A88D" w:rsidR="00CA3D89" w:rsidRPr="008D26CE" w:rsidRDefault="005E288D" w:rsidP="00CA3D89">
            <w:pPr>
              <w:pStyle w:val="wordvdtabletitle"/>
              <w:spacing w:line="360" w:lineRule="auto"/>
            </w:pPr>
            <w:r w:rsidRPr="008D26CE">
              <w:t>3,1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BDD8E2B" w14:textId="39282C9D" w:rsidR="00CA3D89" w:rsidRPr="008D26CE" w:rsidRDefault="007D216F" w:rsidP="00CA3D89">
            <w:pPr>
              <w:pStyle w:val="wordvdtabletitle"/>
              <w:spacing w:line="360" w:lineRule="auto"/>
            </w:pPr>
            <w:r w:rsidRPr="008D26CE">
              <w:t>53,0</w:t>
            </w:r>
          </w:p>
        </w:tc>
      </w:tr>
      <w:tr w:rsidR="001C427B" w:rsidRPr="008D26CE" w14:paraId="019ABD8E" w14:textId="77777777" w:rsidTr="007854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776EAB8" w14:textId="77777777" w:rsidR="001C427B" w:rsidRPr="008D26CE" w:rsidRDefault="001C427B" w:rsidP="00785401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173F8D" w14:textId="77777777" w:rsidR="001C427B" w:rsidRPr="008D26CE" w:rsidRDefault="001C427B" w:rsidP="00785401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EDF298" w14:textId="10555682" w:rsidR="001C427B" w:rsidRPr="008D26CE" w:rsidRDefault="005F6D22" w:rsidP="00785401">
            <w:pPr>
              <w:pStyle w:val="wordvdtabletitle"/>
              <w:spacing w:line="360" w:lineRule="auto"/>
            </w:pPr>
            <w:r w:rsidRPr="008D26CE">
              <w:t>55,1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807A1F" w14:textId="569B7196" w:rsidR="001C427B" w:rsidRPr="008D26CE" w:rsidRDefault="00971E7A" w:rsidP="00785401">
            <w:pPr>
              <w:pStyle w:val="wordvdtabletitle"/>
              <w:spacing w:line="360" w:lineRule="auto"/>
            </w:pPr>
            <w:r w:rsidRPr="008D26CE">
              <w:t>31,5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D9ED59" w14:textId="770C7CD5" w:rsidR="001C427B" w:rsidRPr="008D26CE" w:rsidRDefault="00AA691B" w:rsidP="00785401">
            <w:pPr>
              <w:pStyle w:val="wordvdtabletitle"/>
              <w:spacing w:line="360" w:lineRule="auto"/>
            </w:pPr>
            <w:r w:rsidRPr="008D26CE"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73535C" w14:textId="22740EB5" w:rsidR="001C427B" w:rsidRPr="008D26CE" w:rsidRDefault="00971E7A" w:rsidP="00785401">
            <w:pPr>
              <w:pStyle w:val="wordvdtabletitle"/>
              <w:spacing w:line="360" w:lineRule="auto"/>
            </w:pPr>
            <w:r w:rsidRPr="008D26CE">
              <w:t>8,6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51DD12" w14:textId="2EEC3DA1" w:rsidR="001C427B" w:rsidRPr="008D26CE" w:rsidRDefault="003460EE" w:rsidP="00785401">
            <w:pPr>
              <w:pStyle w:val="wordvdtabletitle"/>
              <w:spacing w:line="360" w:lineRule="auto"/>
            </w:pPr>
            <w:r w:rsidRPr="008D26CE">
              <w:t>90,7</w:t>
            </w:r>
          </w:p>
        </w:tc>
      </w:tr>
      <w:tr w:rsidR="001C427B" w:rsidRPr="008D26CE" w14:paraId="5F3CADCD" w14:textId="77777777" w:rsidTr="007854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866A50A" w14:textId="77777777" w:rsidR="001C427B" w:rsidRPr="008D26CE" w:rsidRDefault="001C427B" w:rsidP="00785401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D629CF" w14:textId="77777777" w:rsidR="001C427B" w:rsidRPr="008D26CE" w:rsidRDefault="001C427B" w:rsidP="00785401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0E9985" w14:textId="208DCE7D" w:rsidR="001C427B" w:rsidRPr="008D26CE" w:rsidRDefault="005F6D22" w:rsidP="00785401">
            <w:pPr>
              <w:pStyle w:val="wordvdtabletitle"/>
              <w:spacing w:line="360" w:lineRule="auto"/>
            </w:pPr>
            <w:r w:rsidRPr="008D26CE">
              <w:t>60,7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243EB2" w14:textId="2EB517C9" w:rsidR="001C427B" w:rsidRPr="008D26CE" w:rsidRDefault="00971E7A" w:rsidP="00785401">
            <w:pPr>
              <w:pStyle w:val="wordvdtabletitle"/>
              <w:spacing w:line="360" w:lineRule="auto"/>
            </w:pPr>
            <w:r w:rsidRPr="008D26CE">
              <w:t>22,0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861DC6" w14:textId="13B4DD74" w:rsidR="001C427B" w:rsidRPr="008D26CE" w:rsidRDefault="00AA691B" w:rsidP="00785401">
            <w:pPr>
              <w:pStyle w:val="wordvdtabletitle"/>
              <w:spacing w:line="360" w:lineRule="auto"/>
            </w:pPr>
            <w:r w:rsidRPr="008D26CE">
              <w:t>28,4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3114C4" w14:textId="71155464" w:rsidR="001C427B" w:rsidRPr="008D26CE" w:rsidRDefault="00971E7A" w:rsidP="00785401">
            <w:pPr>
              <w:pStyle w:val="wordvdtabletitle"/>
              <w:spacing w:line="360" w:lineRule="auto"/>
            </w:pPr>
            <w:r w:rsidRPr="008D26CE">
              <w:t>19,7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F662E5" w14:textId="3678E941" w:rsidR="001C427B" w:rsidRPr="008D26CE" w:rsidRDefault="003460EE" w:rsidP="00785401">
            <w:pPr>
              <w:pStyle w:val="wordvdtabletitle"/>
              <w:spacing w:line="360" w:lineRule="auto"/>
            </w:pPr>
            <w:r w:rsidRPr="008D26CE">
              <w:t>80,3</w:t>
            </w:r>
          </w:p>
        </w:tc>
      </w:tr>
      <w:tr w:rsidR="001C427B" w:rsidRPr="008D26CE" w14:paraId="14177956" w14:textId="77777777" w:rsidTr="007854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5E47DAC" w14:textId="77777777" w:rsidR="001C427B" w:rsidRPr="008D26CE" w:rsidRDefault="001C427B" w:rsidP="00785401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B5EE0D" w14:textId="77777777" w:rsidR="001C427B" w:rsidRPr="008D26CE" w:rsidRDefault="001C427B" w:rsidP="00785401">
            <w:pPr>
              <w:pStyle w:val="wordvdtabletitle"/>
              <w:spacing w:line="360" w:lineRule="auto"/>
            </w:pPr>
            <w:r w:rsidRPr="008D26CE">
              <w:rPr>
                <w:lang w:val="en-US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7A35E5" w14:textId="6ABB20A3" w:rsidR="001C427B" w:rsidRPr="008D26CE" w:rsidRDefault="005F6D22" w:rsidP="00785401">
            <w:pPr>
              <w:pStyle w:val="wordvdtabletitle"/>
              <w:spacing w:line="360" w:lineRule="auto"/>
            </w:pPr>
            <w:r w:rsidRPr="008D26CE">
              <w:t>70,2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7295D7" w14:textId="5284AC78" w:rsidR="001C427B" w:rsidRPr="008D26CE" w:rsidRDefault="00971E7A" w:rsidP="00785401">
            <w:pPr>
              <w:pStyle w:val="wordvdtabletitle"/>
              <w:spacing w:line="360" w:lineRule="auto"/>
            </w:pPr>
            <w:r w:rsidRPr="008D26CE">
              <w:t>28,9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EB387D" w14:textId="1CBDD54E" w:rsidR="001C427B" w:rsidRPr="008D26CE" w:rsidRDefault="00AA691B" w:rsidP="00785401">
            <w:pPr>
              <w:pStyle w:val="wordvdtabletitle"/>
              <w:spacing w:line="360" w:lineRule="auto"/>
            </w:pPr>
            <w:r w:rsidRPr="008D26CE">
              <w:t>29,6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E2F605" w14:textId="5947BC49" w:rsidR="001C427B" w:rsidRPr="008D26CE" w:rsidRDefault="00971E7A" w:rsidP="00785401">
            <w:pPr>
              <w:pStyle w:val="wordvdtabletitle"/>
              <w:spacing w:line="360" w:lineRule="auto"/>
            </w:pPr>
            <w:r w:rsidRPr="008D26CE">
              <w:t>6,1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04D2CB" w14:textId="31E9A827" w:rsidR="001C427B" w:rsidRPr="008D26CE" w:rsidRDefault="003460EE" w:rsidP="00785401">
            <w:pPr>
              <w:pStyle w:val="wordvdtabletitle"/>
              <w:spacing w:line="360" w:lineRule="auto"/>
            </w:pPr>
            <w:r w:rsidRPr="008D26CE">
              <w:t>83,5</w:t>
            </w:r>
          </w:p>
        </w:tc>
      </w:tr>
      <w:tr w:rsidR="001C427B" w:rsidRPr="008D26CE" w14:paraId="436207CE" w14:textId="77777777" w:rsidTr="00785401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68592" w14:textId="77777777" w:rsidR="001C427B" w:rsidRPr="008D26CE" w:rsidRDefault="001C427B" w:rsidP="00785401">
            <w:pPr>
              <w:pStyle w:val="wordvdtabletitle"/>
              <w:spacing w:line="360" w:lineRule="auto"/>
              <w:rPr>
                <w:lang w:val="en-US"/>
              </w:rPr>
            </w:pPr>
            <w:r w:rsidRPr="008D26CE">
              <w:rPr>
                <w:lang w:val="en-US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F2E1F" w14:textId="77777777" w:rsidR="001C427B" w:rsidRPr="008D26CE" w:rsidRDefault="001C427B" w:rsidP="00785401">
            <w:pPr>
              <w:pStyle w:val="wordvdtabletitle"/>
              <w:spacing w:line="360" w:lineRule="auto"/>
              <w:rPr>
                <w:lang w:val="en-US"/>
              </w:rPr>
            </w:pPr>
            <w:r w:rsidRPr="008D26CE">
              <w:rPr>
                <w:lang w:val="en-US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92D4F" w14:textId="3981B09A" w:rsidR="001C427B" w:rsidRPr="008D26CE" w:rsidRDefault="005F6D22" w:rsidP="00785401">
            <w:pPr>
              <w:pStyle w:val="wordvdtabletitle"/>
              <w:spacing w:line="360" w:lineRule="auto"/>
              <w:rPr>
                <w:lang w:val="en-US"/>
              </w:rPr>
            </w:pPr>
            <w:r w:rsidRPr="008D26CE">
              <w:rPr>
                <w:lang w:val="en-US"/>
              </w:rPr>
              <w:t>85,0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C0592" w14:textId="478A6ABF" w:rsidR="001C427B" w:rsidRPr="008D26CE" w:rsidRDefault="00971E7A" w:rsidP="00785401">
            <w:pPr>
              <w:pStyle w:val="wordvdtabletitle"/>
              <w:spacing w:line="360" w:lineRule="auto"/>
              <w:rPr>
                <w:lang w:val="en-US"/>
              </w:rPr>
            </w:pPr>
            <w:r w:rsidRPr="008D26CE">
              <w:rPr>
                <w:lang w:val="en-US"/>
              </w:rPr>
              <w:t>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E6BA8" w14:textId="17976820" w:rsidR="001C427B" w:rsidRPr="008D26CE" w:rsidRDefault="00AA691B" w:rsidP="00785401">
            <w:pPr>
              <w:pStyle w:val="wordvdtabletitle"/>
              <w:spacing w:line="360" w:lineRule="auto"/>
              <w:rPr>
                <w:lang w:val="en-US"/>
              </w:rPr>
            </w:pPr>
            <w:r w:rsidRPr="008D26CE">
              <w:rPr>
                <w:lang w:val="en-US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50006" w14:textId="68EC6CC6" w:rsidR="001C427B" w:rsidRPr="008D26CE" w:rsidRDefault="00971E7A" w:rsidP="00785401">
            <w:pPr>
              <w:pStyle w:val="wordvdtabletitle"/>
              <w:spacing w:line="360" w:lineRule="auto"/>
              <w:rPr>
                <w:lang w:val="en-US"/>
              </w:rPr>
            </w:pPr>
            <w:r w:rsidRPr="008D26CE">
              <w:rPr>
                <w:lang w:val="en-US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EA08E" w14:textId="797737D1" w:rsidR="001C427B" w:rsidRPr="008D26CE" w:rsidRDefault="003460EE" w:rsidP="00785401">
            <w:pPr>
              <w:pStyle w:val="wordvdtabletitle"/>
              <w:spacing w:line="360" w:lineRule="auto"/>
              <w:rPr>
                <w:lang w:val="en-US"/>
              </w:rPr>
            </w:pPr>
            <w:r w:rsidRPr="008D26CE">
              <w:rPr>
                <w:lang w:val="en-US"/>
              </w:rPr>
              <w:t>73,3</w:t>
            </w:r>
          </w:p>
        </w:tc>
      </w:tr>
    </w:tbl>
    <w:p w14:paraId="22D247B9" w14:textId="0311C2FA" w:rsidR="001C427B" w:rsidRPr="008D26CE" w:rsidRDefault="001C427B" w:rsidP="001C427B">
      <w:pPr>
        <w:rPr>
          <w:rFonts w:ascii="Times New Roman" w:hAnsi="Times New Roman" w:cs="Times New Roman"/>
          <w:sz w:val="16"/>
          <w:szCs w:val="16"/>
          <w:lang w:eastAsia="pt-BR"/>
        </w:rPr>
      </w:pPr>
      <w:r w:rsidRPr="008D26CE">
        <w:rPr>
          <w:rFonts w:ascii="Times New Roman" w:hAnsi="Times New Roman" w:cs="Times New Roman"/>
          <w:sz w:val="16"/>
          <w:szCs w:val="16"/>
          <w:lang w:eastAsia="pt-BR"/>
        </w:rPr>
        <w:t>*150:3Pt/HZSM-5_150_u  e 550:3Pt/HZSM-5_550_u.</w:t>
      </w:r>
    </w:p>
    <w:p w14:paraId="7EF4D7F8" w14:textId="21F732AD" w:rsidR="009F3661" w:rsidRPr="008D26CE" w:rsidRDefault="009F3661" w:rsidP="00E662CF">
      <w:pPr>
        <w:ind w:firstLine="28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8D26CE">
        <w:rPr>
          <w:rFonts w:ascii="Times New Roman" w:hAnsi="Times New Roman" w:cs="Times New Roman"/>
          <w:sz w:val="20"/>
          <w:szCs w:val="20"/>
          <w:lang w:eastAsia="pt-BR"/>
        </w:rPr>
        <w:t>O potencial de reaproveitamento de um catalisador heterogêneo é um aspecto muito importante a ser avaliado, pois denota a estabilidade do catalisador.</w:t>
      </w:r>
      <w:r w:rsidR="00635C6A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Desta forma, 3Pt/HZSM-5_150 foi testado em 5 reações </w:t>
      </w:r>
      <w:r w:rsidR="008017E6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consecutivas. O catalisador foi separado do meio reacional por centrifugação e seco em estufa por 12h a 100°C após cada reação. 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>As reações de recicl</w:t>
      </w:r>
      <w:r w:rsidR="008017E6" w:rsidRPr="008D26CE">
        <w:rPr>
          <w:rFonts w:ascii="Times New Roman" w:hAnsi="Times New Roman" w:cs="Times New Roman"/>
          <w:sz w:val="20"/>
          <w:szCs w:val="20"/>
          <w:lang w:eastAsia="pt-BR"/>
        </w:rPr>
        <w:t>o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foram realizadas com o catalisador recuperado do ciclo anterior e testado em um novo experimento sem qualquer limpeza ou regeneração. </w:t>
      </w:r>
      <w:r w:rsidR="008017E6" w:rsidRPr="008D26CE">
        <w:rPr>
          <w:rFonts w:ascii="Times New Roman" w:hAnsi="Times New Roman" w:cs="Times New Roman"/>
          <w:sz w:val="20"/>
          <w:szCs w:val="20"/>
          <w:lang w:eastAsia="pt-BR"/>
        </w:rPr>
        <w:t>Como já apresentado, o catalisador foi mais ativo no segundo ciclo de reação</w:t>
      </w:r>
      <w:r w:rsidR="00EA058D" w:rsidRPr="008D26CE">
        <w:rPr>
          <w:rFonts w:ascii="Times New Roman" w:hAnsi="Times New Roman" w:cs="Times New Roman"/>
          <w:sz w:val="20"/>
          <w:szCs w:val="20"/>
          <w:lang w:eastAsia="pt-BR"/>
        </w:rPr>
        <w:t>, e isso já foi extensivamente discutido. As reações foram todas realizadas a 60°C</w:t>
      </w:r>
      <w:r w:rsidR="001C6C5C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e seguindo as mesmas condições das demais reações. </w:t>
      </w:r>
      <w:r w:rsidR="008017E6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Porém, como esperado, esse comportamento não se repetiu nas reações seguintes. </w:t>
      </w:r>
      <w:r w:rsidR="006A7CA5" w:rsidRPr="008D26CE">
        <w:rPr>
          <w:rFonts w:ascii="Times New Roman" w:hAnsi="Times New Roman" w:cs="Times New Roman"/>
          <w:sz w:val="20"/>
          <w:szCs w:val="20"/>
          <w:lang w:eastAsia="pt-BR"/>
        </w:rPr>
        <w:t>A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conversão</w:t>
      </w:r>
      <w:r w:rsidR="006A7CA5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do glicerol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diminui de 85</w:t>
      </w:r>
      <w:r w:rsidR="00372B9D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%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no segundo ciclo, para 77,5% no terceiro; 70% no quarto ciclo e para 56% na última reação testada. Após alguns ciclos de reação é natural a adsorção de alguns </w:t>
      </w:r>
      <w:r w:rsidR="006A7CA5" w:rsidRPr="008D26CE">
        <w:rPr>
          <w:rFonts w:ascii="Times New Roman" w:hAnsi="Times New Roman" w:cs="Times New Roman"/>
          <w:sz w:val="20"/>
          <w:szCs w:val="20"/>
          <w:lang w:eastAsia="pt-BR"/>
        </w:rPr>
        <w:t>produtos de reação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EA058D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no 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catalisador, dificultando o acesso dos reagentes aos sítios ativos. Além disso, pode ocorrer a desativação dos sítios ativos causada pela deposição </w:t>
      </w:r>
      <w:r w:rsidR="006A7CA5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de produtos de reação 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>que não se difundem para a superfície e, então, para a mistura líquida de reação [</w:t>
      </w:r>
      <w:r w:rsidR="000F393D" w:rsidRPr="008D26CE">
        <w:rPr>
          <w:rFonts w:ascii="Times New Roman" w:hAnsi="Times New Roman" w:cs="Times New Roman"/>
          <w:sz w:val="20"/>
          <w:szCs w:val="20"/>
          <w:lang w:eastAsia="pt-BR"/>
        </w:rPr>
        <w:t>6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>]. Além disso, os sítios ativos de Pt sofrem com envenenamento por oxigênio (formação de PtOx) [</w:t>
      </w:r>
      <w:r w:rsidR="000F393D" w:rsidRPr="008D26CE">
        <w:rPr>
          <w:rFonts w:ascii="Times New Roman" w:hAnsi="Times New Roman" w:cs="Times New Roman"/>
          <w:sz w:val="20"/>
          <w:szCs w:val="20"/>
          <w:lang w:eastAsia="pt-BR"/>
        </w:rPr>
        <w:t>1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>,</w:t>
      </w:r>
      <w:r w:rsidR="000F393D" w:rsidRPr="008D26CE">
        <w:rPr>
          <w:rFonts w:ascii="Times New Roman" w:hAnsi="Times New Roman" w:cs="Times New Roman"/>
          <w:sz w:val="20"/>
          <w:szCs w:val="20"/>
          <w:lang w:eastAsia="pt-BR"/>
        </w:rPr>
        <w:t>13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>]. Quanto à seletividade, as principais diferenças foram observadas para DHA e GLYALD. As seletividades de DHA diminuíram após o terceiro ciclo, enquanto a seletividade de GLYALD aumentou</w:t>
      </w:r>
      <w:r w:rsidR="00462C9A" w:rsidRPr="008D26CE">
        <w:rPr>
          <w:rFonts w:ascii="Times New Roman" w:hAnsi="Times New Roman" w:cs="Times New Roman"/>
          <w:sz w:val="20"/>
          <w:szCs w:val="20"/>
          <w:lang w:eastAsia="pt-BR"/>
        </w:rPr>
        <w:t>; a seletividade a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GLYA permaneceu quase estável. O balanço de carbono aumentou progressivamente da primeira reação (72,3%) para a última (93,3%). Isso sugere que os produtos de alto valor agregado, </w:t>
      </w:r>
      <w:r w:rsidRPr="008D26CE">
        <w:rPr>
          <w:rFonts w:ascii="Times New Roman" w:hAnsi="Times New Roman" w:cs="Times New Roman"/>
          <w:sz w:val="20"/>
          <w:szCs w:val="20"/>
          <w:lang w:eastAsia="pt-BR"/>
        </w:rPr>
        <w:lastRenderedPageBreak/>
        <w:t>DHA, GLYA e GLYALD, estão sendo dessorvidos na fase líquida, em vez de sofrer oxidação adicional em moléculas menores.</w:t>
      </w:r>
      <w:r w:rsidR="009B6620" w:rsidRPr="008D26CE">
        <w:rPr>
          <w:rFonts w:ascii="Times New Roman" w:hAnsi="Times New Roman" w:cs="Times New Roman"/>
          <w:sz w:val="20"/>
          <w:szCs w:val="20"/>
          <w:lang w:eastAsia="pt-BR"/>
        </w:rPr>
        <w:t xml:space="preserve"> Esses resultados reforçam o que foi anteriormente discutido, associando catalisadores muito ativos a mais baixos balanços de carbono. </w:t>
      </w:r>
    </w:p>
    <w:p w14:paraId="5E7E845B" w14:textId="63B461BE" w:rsidR="00846EA9" w:rsidRPr="008D26CE" w:rsidRDefault="001C518E" w:rsidP="00846EA9">
      <w:pPr>
        <w:rPr>
          <w:b/>
          <w:bCs/>
          <w:lang w:eastAsia="pt-BR"/>
        </w:rPr>
      </w:pPr>
      <w:r w:rsidRPr="008D26CE">
        <w:rPr>
          <w:noProof/>
        </w:rPr>
        <w:drawing>
          <wp:inline distT="0" distB="0" distL="0" distR="0" wp14:anchorId="6990AC85" wp14:editId="11EEE987">
            <wp:extent cx="3005455" cy="225397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9" t="10567" r="10469" b="7353"/>
                    <a:stretch/>
                  </pic:blipFill>
                  <pic:spPr bwMode="auto">
                    <a:xfrm>
                      <a:off x="0" y="0"/>
                      <a:ext cx="3021799" cy="226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0FA195" w14:textId="77777777" w:rsidR="00EF3CF9" w:rsidRPr="008D26CE" w:rsidRDefault="00DB3409" w:rsidP="000C2C3F">
      <w:pPr>
        <w:pStyle w:val="VDTableTitle"/>
        <w:spacing w:before="120" w:after="120" w:line="360" w:lineRule="auto"/>
        <w:jc w:val="both"/>
        <w:rPr>
          <w:rFonts w:cs="Times"/>
          <w:sz w:val="20"/>
          <w:lang w:val="pt-BR"/>
        </w:rPr>
      </w:pPr>
      <w:r w:rsidRPr="008D26CE">
        <w:rPr>
          <w:rFonts w:cs="Times"/>
          <w:b/>
          <w:bCs/>
          <w:lang w:val="pt-BR"/>
        </w:rPr>
        <w:t>Figura 3.</w:t>
      </w:r>
      <w:r w:rsidRPr="008D26CE">
        <w:rPr>
          <w:rFonts w:cs="Times"/>
          <w:lang w:val="pt-BR"/>
        </w:rPr>
        <w:t xml:space="preserve"> Avaliação da estabilidade do catalisador </w:t>
      </w:r>
      <w:r w:rsidRPr="008D26CE">
        <w:rPr>
          <w:rFonts w:cs="Times"/>
          <w:sz w:val="20"/>
          <w:lang w:val="pt-BR"/>
        </w:rPr>
        <w:t>3Pt/HZSM-5_150.</w:t>
      </w:r>
    </w:p>
    <w:p w14:paraId="20AA905D" w14:textId="2766E298" w:rsidR="00EA4E1B" w:rsidRPr="008D26CE" w:rsidRDefault="00EA4E1B" w:rsidP="000C2C3F">
      <w:pPr>
        <w:pStyle w:val="VDTableTitle"/>
        <w:spacing w:after="0" w:line="360" w:lineRule="auto"/>
        <w:jc w:val="center"/>
        <w:rPr>
          <w:rFonts w:ascii="Helvetica" w:hAnsi="Helvetica" w:cs="Helvetica"/>
          <w:sz w:val="24"/>
          <w:szCs w:val="24"/>
          <w:lang w:val="pt-BR"/>
        </w:rPr>
      </w:pPr>
      <w:r w:rsidRPr="008D26CE">
        <w:rPr>
          <w:rFonts w:ascii="Helvetica" w:hAnsi="Helvetica" w:cs="Helvetica"/>
          <w:sz w:val="24"/>
          <w:szCs w:val="24"/>
          <w:lang w:val="pt-BR"/>
        </w:rPr>
        <w:t>Conclusões</w:t>
      </w:r>
    </w:p>
    <w:p w14:paraId="07E78ABB" w14:textId="69238599" w:rsidR="00635C6A" w:rsidRPr="008D26CE" w:rsidRDefault="005179D5" w:rsidP="000C2C3F">
      <w:pPr>
        <w:pStyle w:val="TAMainText"/>
        <w:spacing w:line="276" w:lineRule="auto"/>
        <w:ind w:firstLine="187"/>
        <w:rPr>
          <w:rFonts w:ascii="Times New Roman" w:hAnsi="Times New Roman"/>
          <w:lang w:val="pt-BR"/>
        </w:rPr>
      </w:pPr>
      <w:r w:rsidRPr="008D26CE">
        <w:rPr>
          <w:rFonts w:ascii="Times New Roman" w:hAnsi="Times New Roman"/>
          <w:lang w:val="pt-BR"/>
        </w:rPr>
        <w:t xml:space="preserve">Foram estudados </w:t>
      </w:r>
      <w:r w:rsidR="00E1688A" w:rsidRPr="008D26CE">
        <w:rPr>
          <w:rFonts w:ascii="Times New Roman" w:hAnsi="Times New Roman"/>
          <w:lang w:val="pt-BR"/>
        </w:rPr>
        <w:t xml:space="preserve">catalisadores de </w:t>
      </w:r>
      <w:r w:rsidRPr="008D26CE">
        <w:rPr>
          <w:rFonts w:ascii="Times New Roman" w:hAnsi="Times New Roman"/>
          <w:lang w:val="pt-BR"/>
        </w:rPr>
        <w:t>Pt suportad</w:t>
      </w:r>
      <w:r w:rsidR="00E1688A" w:rsidRPr="008D26CE">
        <w:rPr>
          <w:rFonts w:ascii="Times New Roman" w:hAnsi="Times New Roman"/>
          <w:lang w:val="pt-BR"/>
        </w:rPr>
        <w:t>a</w:t>
      </w:r>
      <w:r w:rsidRPr="008D26CE">
        <w:rPr>
          <w:rFonts w:ascii="Times New Roman" w:hAnsi="Times New Roman"/>
          <w:lang w:val="pt-BR"/>
        </w:rPr>
        <w:t xml:space="preserve"> na zeólita HZSM-5</w:t>
      </w:r>
      <w:r w:rsidR="00E1688A" w:rsidRPr="008D26CE">
        <w:rPr>
          <w:rFonts w:ascii="Times New Roman" w:hAnsi="Times New Roman"/>
          <w:lang w:val="pt-BR"/>
        </w:rPr>
        <w:t xml:space="preserve">. </w:t>
      </w:r>
      <w:r w:rsidR="004336F9" w:rsidRPr="008D26CE">
        <w:rPr>
          <w:rFonts w:ascii="Times New Roman" w:hAnsi="Times New Roman"/>
          <w:lang w:val="pt-BR"/>
        </w:rPr>
        <w:t>O procedimento de</w:t>
      </w:r>
      <w:r w:rsidR="00E1688A" w:rsidRPr="008D26CE">
        <w:rPr>
          <w:rFonts w:ascii="Times New Roman" w:hAnsi="Times New Roman"/>
          <w:lang w:val="pt-BR"/>
        </w:rPr>
        <w:t xml:space="preserve"> impregnação de Pt nos catalisadores foi </w:t>
      </w:r>
      <w:r w:rsidR="004336F9" w:rsidRPr="008D26CE">
        <w:rPr>
          <w:rFonts w:ascii="Times New Roman" w:hAnsi="Times New Roman"/>
          <w:lang w:val="pt-BR"/>
        </w:rPr>
        <w:t>o</w:t>
      </w:r>
      <w:r w:rsidR="00E1688A" w:rsidRPr="008D26CE">
        <w:rPr>
          <w:rFonts w:ascii="Times New Roman" w:hAnsi="Times New Roman"/>
          <w:lang w:val="pt-BR"/>
        </w:rPr>
        <w:t xml:space="preserve"> mesm</w:t>
      </w:r>
      <w:r w:rsidR="004336F9" w:rsidRPr="008D26CE">
        <w:rPr>
          <w:rFonts w:ascii="Times New Roman" w:hAnsi="Times New Roman"/>
          <w:lang w:val="pt-BR"/>
        </w:rPr>
        <w:t>o</w:t>
      </w:r>
      <w:r w:rsidR="00E1688A" w:rsidRPr="008D26CE">
        <w:rPr>
          <w:rFonts w:ascii="Times New Roman" w:hAnsi="Times New Roman"/>
          <w:lang w:val="pt-BR"/>
        </w:rPr>
        <w:t xml:space="preserve">, porém as diferentes temperaturas de decomposição do precursor de Pt geraram catalisadores distintos, especialmente no que tange à distribuição da Pt na superfície e sistema de poros </w:t>
      </w:r>
      <w:r w:rsidR="004336F9" w:rsidRPr="008D26CE">
        <w:rPr>
          <w:rFonts w:ascii="Times New Roman" w:hAnsi="Times New Roman"/>
          <w:lang w:val="pt-BR"/>
        </w:rPr>
        <w:t xml:space="preserve">e acidez </w:t>
      </w:r>
      <w:r w:rsidR="00E1688A" w:rsidRPr="008D26CE">
        <w:rPr>
          <w:rFonts w:ascii="Times New Roman" w:hAnsi="Times New Roman"/>
          <w:lang w:val="pt-BR"/>
        </w:rPr>
        <w:t>dos catalisadores</w:t>
      </w:r>
      <w:r w:rsidR="004336F9" w:rsidRPr="008D26CE">
        <w:rPr>
          <w:rFonts w:ascii="Times New Roman" w:hAnsi="Times New Roman"/>
          <w:lang w:val="pt-BR"/>
        </w:rPr>
        <w:t>.</w:t>
      </w:r>
      <w:r w:rsidR="00860BFB" w:rsidRPr="008D26CE">
        <w:rPr>
          <w:rFonts w:ascii="Times New Roman" w:hAnsi="Times New Roman"/>
          <w:lang w:val="pt-BR"/>
        </w:rPr>
        <w:t xml:space="preserve"> </w:t>
      </w:r>
      <w:r w:rsidR="001C6CDD" w:rsidRPr="008D26CE">
        <w:rPr>
          <w:rFonts w:ascii="Times New Roman" w:hAnsi="Times New Roman"/>
          <w:lang w:val="pt-BR"/>
        </w:rPr>
        <w:t>Os catalisadores frescos foram moderadamente ativos, porém pouco seletivos aos produtos de interesse, uma vez que devido à elevada acidez destes</w:t>
      </w:r>
      <w:r w:rsidR="004336F9" w:rsidRPr="008D26CE">
        <w:rPr>
          <w:rFonts w:ascii="Times New Roman" w:hAnsi="Times New Roman"/>
          <w:lang w:val="pt-BR"/>
        </w:rPr>
        <w:t xml:space="preserve">, associada à microporosidade </w:t>
      </w:r>
      <w:r w:rsidR="00372B9D" w:rsidRPr="008D26CE">
        <w:rPr>
          <w:rFonts w:ascii="Times New Roman" w:hAnsi="Times New Roman"/>
          <w:lang w:val="pt-BR"/>
        </w:rPr>
        <w:t>do</w:t>
      </w:r>
      <w:r w:rsidR="004336F9" w:rsidRPr="008D26CE">
        <w:rPr>
          <w:rFonts w:ascii="Times New Roman" w:hAnsi="Times New Roman"/>
          <w:lang w:val="pt-BR"/>
        </w:rPr>
        <w:t xml:space="preserve"> suporte</w:t>
      </w:r>
      <w:r w:rsidR="001C6CDD" w:rsidRPr="008D26CE">
        <w:rPr>
          <w:rFonts w:ascii="Times New Roman" w:hAnsi="Times New Roman"/>
          <w:lang w:val="pt-BR"/>
        </w:rPr>
        <w:t xml:space="preserve">, a clivagem C-C foi inevitável, gerando </w:t>
      </w:r>
      <w:r w:rsidR="00635C6A" w:rsidRPr="008D26CE">
        <w:rPr>
          <w:rFonts w:ascii="Times New Roman" w:hAnsi="Times New Roman"/>
          <w:lang w:val="pt-BR"/>
        </w:rPr>
        <w:t>BC</w:t>
      </w:r>
      <w:r w:rsidR="001C6CDD" w:rsidRPr="008D26CE">
        <w:rPr>
          <w:rFonts w:ascii="Times New Roman" w:hAnsi="Times New Roman"/>
          <w:lang w:val="pt-BR"/>
        </w:rPr>
        <w:t xml:space="preserve"> inferiores a 80%. </w:t>
      </w:r>
      <w:r w:rsidR="00635C6A" w:rsidRPr="008D26CE">
        <w:rPr>
          <w:rFonts w:ascii="Times New Roman" w:hAnsi="Times New Roman"/>
          <w:lang w:val="pt-BR"/>
        </w:rPr>
        <w:t xml:space="preserve">Num segundo ciclo de reação, observou-se uma redispersão dos aglomerados de Pt formados na superfície e nos poros dos catalisadores, o que promoveu um aumento da atividade destes, </w:t>
      </w:r>
      <w:r w:rsidR="00372B9D" w:rsidRPr="008D26CE">
        <w:rPr>
          <w:rFonts w:ascii="Times New Roman" w:hAnsi="Times New Roman"/>
          <w:lang w:val="pt-BR"/>
        </w:rPr>
        <w:t>com</w:t>
      </w:r>
      <w:r w:rsidR="00860BFB" w:rsidRPr="008D26CE">
        <w:rPr>
          <w:rFonts w:ascii="Times New Roman" w:hAnsi="Times New Roman"/>
          <w:lang w:val="pt-BR"/>
        </w:rPr>
        <w:t xml:space="preserve"> aumento nos valores de conversão do</w:t>
      </w:r>
      <w:r w:rsidR="00635C6A" w:rsidRPr="008D26CE">
        <w:rPr>
          <w:rFonts w:ascii="Times New Roman" w:hAnsi="Times New Roman"/>
          <w:lang w:val="pt-BR"/>
        </w:rPr>
        <w:t xml:space="preserve"> glicerol</w:t>
      </w:r>
      <w:r w:rsidR="00860BFB" w:rsidRPr="008D26CE">
        <w:rPr>
          <w:rFonts w:ascii="Times New Roman" w:hAnsi="Times New Roman"/>
          <w:lang w:val="pt-BR"/>
        </w:rPr>
        <w:t xml:space="preserve"> para ambos os catalisadores, nas diferentes temperaturas</w:t>
      </w:r>
      <w:r w:rsidR="004336F9" w:rsidRPr="008D26CE">
        <w:rPr>
          <w:rFonts w:ascii="Times New Roman" w:hAnsi="Times New Roman"/>
          <w:lang w:val="pt-BR"/>
        </w:rPr>
        <w:t>.</w:t>
      </w:r>
      <w:r w:rsidR="00635C6A" w:rsidRPr="008D26CE">
        <w:rPr>
          <w:rFonts w:ascii="Times New Roman" w:hAnsi="Times New Roman"/>
          <w:lang w:val="pt-BR"/>
        </w:rPr>
        <w:t xml:space="preserve"> Porém, a estrutura microporosa e</w:t>
      </w:r>
      <w:r w:rsidR="00860BFB" w:rsidRPr="008D26CE">
        <w:rPr>
          <w:rFonts w:ascii="Times New Roman" w:hAnsi="Times New Roman"/>
          <w:lang w:val="pt-BR"/>
        </w:rPr>
        <w:t>,</w:t>
      </w:r>
      <w:r w:rsidR="00635C6A" w:rsidRPr="008D26CE">
        <w:rPr>
          <w:rFonts w:ascii="Times New Roman" w:hAnsi="Times New Roman"/>
          <w:lang w:val="pt-BR"/>
        </w:rPr>
        <w:t xml:space="preserve"> a ainda elevada acidez dos catalisadores, </w:t>
      </w:r>
      <w:r w:rsidR="00361CEB" w:rsidRPr="008D26CE">
        <w:rPr>
          <w:rFonts w:ascii="Times New Roman" w:hAnsi="Times New Roman"/>
          <w:lang w:val="pt-BR"/>
        </w:rPr>
        <w:t>impactou negativamente o</w:t>
      </w:r>
      <w:r w:rsidR="00635C6A" w:rsidRPr="008D26CE">
        <w:rPr>
          <w:rFonts w:ascii="Times New Roman" w:hAnsi="Times New Roman"/>
          <w:lang w:val="pt-BR"/>
        </w:rPr>
        <w:t xml:space="preserve"> BC</w:t>
      </w:r>
      <w:r w:rsidR="00361CEB" w:rsidRPr="008D26CE">
        <w:rPr>
          <w:rFonts w:ascii="Times New Roman" w:hAnsi="Times New Roman"/>
          <w:lang w:val="pt-BR"/>
        </w:rPr>
        <w:t xml:space="preserve"> das reações</w:t>
      </w:r>
      <w:r w:rsidR="004336F9" w:rsidRPr="008D26CE">
        <w:rPr>
          <w:rFonts w:ascii="Times New Roman" w:hAnsi="Times New Roman"/>
          <w:lang w:val="pt-BR"/>
        </w:rPr>
        <w:t>, especialmente em temperaturas mais altas</w:t>
      </w:r>
      <w:r w:rsidR="00361CEB" w:rsidRPr="008D26CE">
        <w:rPr>
          <w:rFonts w:ascii="Times New Roman" w:hAnsi="Times New Roman"/>
          <w:lang w:val="pt-BR"/>
        </w:rPr>
        <w:t>. Porém, bons resultados de conversão do glicerol e seletividade aos produtos de interesse foram obtido</w:t>
      </w:r>
      <w:r w:rsidR="004336F9" w:rsidRPr="008D26CE">
        <w:rPr>
          <w:rFonts w:ascii="Times New Roman" w:hAnsi="Times New Roman"/>
          <w:lang w:val="pt-BR"/>
        </w:rPr>
        <w:t>s</w:t>
      </w:r>
      <w:r w:rsidR="00361CEB" w:rsidRPr="008D26CE">
        <w:rPr>
          <w:rFonts w:ascii="Times New Roman" w:hAnsi="Times New Roman"/>
          <w:lang w:val="pt-BR"/>
        </w:rPr>
        <w:t xml:space="preserve"> com o catalisador 3Pt/HZSM-5_150_u</w:t>
      </w:r>
      <w:r w:rsidR="00372B9D" w:rsidRPr="008D26CE">
        <w:rPr>
          <w:rFonts w:ascii="Times New Roman" w:hAnsi="Times New Roman"/>
          <w:lang w:val="pt-BR"/>
        </w:rPr>
        <w:t>.</w:t>
      </w:r>
      <w:r w:rsidR="004336F9" w:rsidRPr="008D26CE">
        <w:rPr>
          <w:rFonts w:ascii="Times New Roman" w:hAnsi="Times New Roman"/>
          <w:lang w:val="pt-BR"/>
        </w:rPr>
        <w:t xml:space="preserve"> Além disso, a</w:t>
      </w:r>
      <w:r w:rsidR="00361CEB" w:rsidRPr="008D26CE">
        <w:rPr>
          <w:rFonts w:ascii="Times New Roman" w:hAnsi="Times New Roman"/>
          <w:lang w:val="pt-BR"/>
        </w:rPr>
        <w:t xml:space="preserve">s reações de reciclo demonstram relativa estabilidade do catalisador. </w:t>
      </w:r>
    </w:p>
    <w:p w14:paraId="6BE32F7B" w14:textId="4F456A38" w:rsidR="00EA4E1B" w:rsidRPr="008D26CE" w:rsidRDefault="00EA4E1B" w:rsidP="000C2C3F">
      <w:pPr>
        <w:pStyle w:val="Ttulo2"/>
        <w:spacing w:before="120" w:after="120"/>
        <w:rPr>
          <w:rFonts w:ascii="Helvetica" w:hAnsi="Helvetica" w:cs="Helvetica"/>
          <w:sz w:val="24"/>
          <w:szCs w:val="24"/>
        </w:rPr>
      </w:pPr>
      <w:r w:rsidRPr="008D26CE">
        <w:rPr>
          <w:rFonts w:ascii="Helvetica" w:hAnsi="Helvetica" w:cs="Helvetica"/>
          <w:sz w:val="24"/>
          <w:szCs w:val="24"/>
        </w:rPr>
        <w:t>Agradecimentos</w:t>
      </w:r>
    </w:p>
    <w:p w14:paraId="2046B5CE" w14:textId="53BC1C93" w:rsidR="00025F01" w:rsidRPr="008D26CE" w:rsidRDefault="00DA4799" w:rsidP="000C2C3F">
      <w:pPr>
        <w:pStyle w:val="TAMainText"/>
        <w:spacing w:before="120" w:after="120"/>
        <w:rPr>
          <w:rFonts w:ascii="Times New Roman" w:hAnsi="Times New Roman"/>
          <w:lang w:val="pt-BR"/>
        </w:rPr>
      </w:pPr>
      <w:r w:rsidRPr="008D26CE">
        <w:rPr>
          <w:rFonts w:ascii="Times New Roman" w:hAnsi="Times New Roman"/>
          <w:lang w:val="pt-BR"/>
        </w:rPr>
        <w:t xml:space="preserve">Os autores agradecem ao </w:t>
      </w:r>
      <w:r w:rsidR="00B35D27" w:rsidRPr="008D26CE">
        <w:rPr>
          <w:rFonts w:ascii="Times New Roman" w:hAnsi="Times New Roman"/>
          <w:lang w:val="pt-BR"/>
        </w:rPr>
        <w:t>CENANO</w:t>
      </w:r>
      <w:r w:rsidRPr="008D26CE">
        <w:rPr>
          <w:rFonts w:ascii="Times New Roman" w:hAnsi="Times New Roman"/>
          <w:lang w:val="pt-BR"/>
        </w:rPr>
        <w:t xml:space="preserve"> e CENABIO pelas análises de MET; ao </w:t>
      </w:r>
      <w:r w:rsidR="00025F01" w:rsidRPr="008D26CE">
        <w:rPr>
          <w:rFonts w:ascii="Times New Roman" w:hAnsi="Times New Roman"/>
          <w:lang w:val="pt-BR"/>
        </w:rPr>
        <w:t xml:space="preserve">Dep. Física da </w:t>
      </w:r>
      <w:r w:rsidR="00031A52" w:rsidRPr="008D26CE">
        <w:rPr>
          <w:rFonts w:ascii="Times New Roman" w:hAnsi="Times New Roman"/>
          <w:lang w:val="pt-BR"/>
        </w:rPr>
        <w:t>PUC</w:t>
      </w:r>
      <w:r w:rsidR="00025F01" w:rsidRPr="008D26CE">
        <w:rPr>
          <w:rFonts w:ascii="Times New Roman" w:hAnsi="Times New Roman"/>
          <w:lang w:val="pt-BR"/>
        </w:rPr>
        <w:t xml:space="preserve">-Rio pelas análises de XPS e ao GREENTEC/UFRJ pelas análises texturais. </w:t>
      </w:r>
      <w:r w:rsidR="0011559F">
        <w:rPr>
          <w:rFonts w:ascii="Times New Roman" w:hAnsi="Times New Roman"/>
          <w:lang w:val="pt-BR"/>
        </w:rPr>
        <w:t xml:space="preserve">Os autores agradecem à FAPERJ e CNPq pelo suporte financeiro. </w:t>
      </w:r>
    </w:p>
    <w:p w14:paraId="1EAAA287" w14:textId="53B97015" w:rsidR="00EA4E1B" w:rsidRPr="0011559F" w:rsidRDefault="00EA4E1B" w:rsidP="000C2C3F">
      <w:pPr>
        <w:pStyle w:val="TAMainText"/>
        <w:jc w:val="center"/>
        <w:rPr>
          <w:rFonts w:ascii="Helvetica" w:hAnsi="Helvetica" w:cs="Helvetica"/>
          <w:sz w:val="24"/>
          <w:szCs w:val="24"/>
          <w:lang w:val="pt-BR"/>
        </w:rPr>
      </w:pPr>
      <w:r w:rsidRPr="0011559F">
        <w:rPr>
          <w:rFonts w:ascii="Helvetica" w:hAnsi="Helvetica" w:cs="Helvetica"/>
          <w:sz w:val="24"/>
          <w:szCs w:val="24"/>
          <w:lang w:val="pt-BR"/>
        </w:rPr>
        <w:t>Referências</w:t>
      </w:r>
    </w:p>
    <w:p w14:paraId="02AF6AC5" w14:textId="76456513" w:rsidR="00B5332F" w:rsidRPr="008D26CE" w:rsidRDefault="00B5332F" w:rsidP="000C2C3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" w:hAnsi="Times" w:cs="Times"/>
          <w:noProof/>
          <w:sz w:val="20"/>
          <w:szCs w:val="20"/>
        </w:rPr>
      </w:pPr>
      <w:r w:rsidRPr="008D26CE">
        <w:rPr>
          <w:rFonts w:ascii="Times" w:hAnsi="Times" w:cs="Times"/>
          <w:noProof/>
          <w:sz w:val="20"/>
          <w:szCs w:val="20"/>
        </w:rPr>
        <w:t>G. Dodekatos</w:t>
      </w:r>
      <w:r w:rsidR="002555D1" w:rsidRPr="008D26CE">
        <w:rPr>
          <w:rFonts w:ascii="Times" w:hAnsi="Times" w:cs="Times"/>
          <w:noProof/>
          <w:sz w:val="20"/>
          <w:szCs w:val="20"/>
        </w:rPr>
        <w:t xml:space="preserve">; </w:t>
      </w:r>
      <w:r w:rsidRPr="008D26CE">
        <w:rPr>
          <w:rFonts w:ascii="Times" w:hAnsi="Times" w:cs="Times"/>
          <w:noProof/>
          <w:sz w:val="20"/>
          <w:szCs w:val="20"/>
        </w:rPr>
        <w:t>S. Schünemann</w:t>
      </w:r>
      <w:r w:rsidR="002555D1" w:rsidRPr="008D26CE">
        <w:rPr>
          <w:rFonts w:ascii="Times" w:hAnsi="Times" w:cs="Times"/>
          <w:noProof/>
          <w:sz w:val="20"/>
          <w:szCs w:val="20"/>
        </w:rPr>
        <w:t>;</w:t>
      </w:r>
      <w:r w:rsidRPr="008D26CE">
        <w:rPr>
          <w:rFonts w:ascii="Times" w:hAnsi="Times" w:cs="Times"/>
          <w:noProof/>
          <w:sz w:val="20"/>
          <w:szCs w:val="20"/>
        </w:rPr>
        <w:t xml:space="preserve"> H. Tüysüz</w:t>
      </w:r>
      <w:r w:rsidR="002555D1" w:rsidRPr="008D26CE">
        <w:rPr>
          <w:rFonts w:ascii="Times" w:hAnsi="Times" w:cs="Times"/>
          <w:noProof/>
          <w:sz w:val="20"/>
          <w:szCs w:val="20"/>
        </w:rPr>
        <w:t xml:space="preserve">, </w:t>
      </w:r>
      <w:r w:rsidRPr="008D26CE">
        <w:rPr>
          <w:rFonts w:ascii="Times" w:hAnsi="Times" w:cs="Times"/>
          <w:noProof/>
          <w:sz w:val="20"/>
          <w:szCs w:val="20"/>
        </w:rPr>
        <w:t xml:space="preserve"> </w:t>
      </w:r>
      <w:r w:rsidRPr="008D26CE">
        <w:rPr>
          <w:rFonts w:ascii="Times" w:hAnsi="Times" w:cs="Times"/>
          <w:i/>
          <w:iCs/>
          <w:noProof/>
          <w:sz w:val="20"/>
          <w:szCs w:val="20"/>
        </w:rPr>
        <w:t>ACS Catal.</w:t>
      </w:r>
      <w:r w:rsidRPr="008D26CE">
        <w:rPr>
          <w:rFonts w:ascii="Times" w:hAnsi="Times" w:cs="Times"/>
          <w:noProof/>
          <w:sz w:val="20"/>
          <w:szCs w:val="20"/>
        </w:rPr>
        <w:t xml:space="preserve"> </w:t>
      </w:r>
      <w:r w:rsidRPr="008D26CE">
        <w:rPr>
          <w:rFonts w:ascii="Times" w:hAnsi="Times" w:cs="Times"/>
          <w:b/>
          <w:bCs/>
          <w:noProof/>
          <w:sz w:val="20"/>
          <w:szCs w:val="20"/>
        </w:rPr>
        <w:t>2018</w:t>
      </w:r>
      <w:r w:rsidRPr="008D26CE">
        <w:rPr>
          <w:rFonts w:ascii="Times" w:hAnsi="Times" w:cs="Times"/>
          <w:noProof/>
          <w:sz w:val="20"/>
          <w:szCs w:val="20"/>
        </w:rPr>
        <w:t>, 8,  6301–6333.</w:t>
      </w:r>
    </w:p>
    <w:p w14:paraId="71764902" w14:textId="09AB0F9A" w:rsidR="0079641A" w:rsidRPr="008D26CE" w:rsidRDefault="0079641A" w:rsidP="00B5332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"/>
          <w:noProof/>
          <w:sz w:val="20"/>
          <w:szCs w:val="20"/>
        </w:rPr>
      </w:pPr>
      <w:r w:rsidRPr="008D26CE">
        <w:rPr>
          <w:rFonts w:ascii="Times" w:hAnsi="Times" w:cs="Times"/>
          <w:noProof/>
          <w:sz w:val="20"/>
          <w:szCs w:val="20"/>
        </w:rPr>
        <w:t>P.M. Walgode</w:t>
      </w:r>
      <w:r w:rsidR="002555D1" w:rsidRPr="008D26CE">
        <w:rPr>
          <w:rFonts w:ascii="Times" w:hAnsi="Times" w:cs="Times"/>
          <w:noProof/>
          <w:sz w:val="20"/>
          <w:szCs w:val="20"/>
        </w:rPr>
        <w:t>;</w:t>
      </w:r>
      <w:r w:rsidRPr="008D26CE">
        <w:rPr>
          <w:rFonts w:ascii="Times" w:hAnsi="Times" w:cs="Times"/>
          <w:noProof/>
          <w:sz w:val="20"/>
          <w:szCs w:val="20"/>
        </w:rPr>
        <w:t xml:space="preserve"> R.P.V. Faria</w:t>
      </w:r>
      <w:r w:rsidR="002555D1" w:rsidRPr="008D26CE">
        <w:rPr>
          <w:rFonts w:ascii="Times" w:hAnsi="Times" w:cs="Times"/>
          <w:noProof/>
          <w:sz w:val="20"/>
          <w:szCs w:val="20"/>
        </w:rPr>
        <w:t>;</w:t>
      </w:r>
      <w:r w:rsidRPr="008D26CE">
        <w:rPr>
          <w:rFonts w:ascii="Times" w:hAnsi="Times" w:cs="Times"/>
          <w:noProof/>
          <w:sz w:val="20"/>
          <w:szCs w:val="20"/>
        </w:rPr>
        <w:t xml:space="preserve"> A.E. Rodrigues</w:t>
      </w:r>
      <w:r w:rsidR="002555D1" w:rsidRPr="008D26CE">
        <w:rPr>
          <w:rFonts w:ascii="Times" w:hAnsi="Times" w:cs="Times"/>
          <w:noProof/>
          <w:sz w:val="20"/>
          <w:szCs w:val="20"/>
        </w:rPr>
        <w:t>;</w:t>
      </w:r>
      <w:r w:rsidRPr="008D26CE">
        <w:rPr>
          <w:rFonts w:ascii="Times" w:hAnsi="Times" w:cs="Times"/>
          <w:noProof/>
          <w:sz w:val="20"/>
          <w:szCs w:val="20"/>
        </w:rPr>
        <w:t xml:space="preserve"> </w:t>
      </w:r>
      <w:r w:rsidRPr="008D26CE">
        <w:rPr>
          <w:rFonts w:ascii="Times" w:hAnsi="Times" w:cs="Times"/>
          <w:i/>
          <w:iCs/>
          <w:noProof/>
          <w:sz w:val="20"/>
          <w:szCs w:val="20"/>
        </w:rPr>
        <w:t xml:space="preserve">Catal. Rev. </w:t>
      </w:r>
      <w:r w:rsidRPr="008D26CE">
        <w:rPr>
          <w:rFonts w:ascii="Times" w:hAnsi="Times" w:cs="Times"/>
          <w:b/>
          <w:bCs/>
          <w:noProof/>
          <w:sz w:val="20"/>
          <w:szCs w:val="20"/>
        </w:rPr>
        <w:t>2021</w:t>
      </w:r>
      <w:r w:rsidRPr="008D26CE">
        <w:rPr>
          <w:rFonts w:ascii="Times" w:hAnsi="Times" w:cs="Times"/>
          <w:i/>
          <w:iCs/>
          <w:noProof/>
          <w:sz w:val="20"/>
          <w:szCs w:val="20"/>
        </w:rPr>
        <w:t xml:space="preserve">, </w:t>
      </w:r>
      <w:r w:rsidRPr="008D26CE">
        <w:rPr>
          <w:rFonts w:ascii="Times" w:hAnsi="Times" w:cs="Times"/>
          <w:noProof/>
          <w:sz w:val="20"/>
          <w:szCs w:val="20"/>
        </w:rPr>
        <w:t>63</w:t>
      </w:r>
      <w:r w:rsidRPr="008D26CE">
        <w:rPr>
          <w:rFonts w:ascii="Times" w:hAnsi="Times" w:cs="Times"/>
          <w:i/>
          <w:iCs/>
          <w:noProof/>
          <w:sz w:val="20"/>
          <w:szCs w:val="20"/>
        </w:rPr>
        <w:t>,</w:t>
      </w:r>
      <w:r w:rsidRPr="008D26CE">
        <w:rPr>
          <w:rFonts w:ascii="Times" w:hAnsi="Times" w:cs="Times"/>
          <w:noProof/>
          <w:sz w:val="20"/>
          <w:szCs w:val="20"/>
        </w:rPr>
        <w:t xml:space="preserve"> 422-511.</w:t>
      </w:r>
    </w:p>
    <w:p w14:paraId="003843DC" w14:textId="15FB245B" w:rsidR="00FC708E" w:rsidRPr="008D26CE" w:rsidRDefault="002555D1" w:rsidP="00B5332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"/>
          <w:noProof/>
          <w:sz w:val="20"/>
          <w:szCs w:val="20"/>
          <w:lang w:val="en-US"/>
        </w:rPr>
      </w:pPr>
      <w:r w:rsidRPr="008D26CE">
        <w:rPr>
          <w:rFonts w:ascii="Times" w:hAnsi="Times" w:cs="Times"/>
          <w:sz w:val="20"/>
          <w:szCs w:val="20"/>
          <w:lang w:val="en-US"/>
        </w:rPr>
        <w:t xml:space="preserve">A. </w:t>
      </w:r>
      <w:r w:rsidR="00FC708E" w:rsidRPr="008D26CE">
        <w:rPr>
          <w:rFonts w:ascii="Times" w:hAnsi="Times" w:cs="Times"/>
          <w:sz w:val="20"/>
          <w:szCs w:val="20"/>
          <w:lang w:val="en-US"/>
        </w:rPr>
        <w:t>Villa</w:t>
      </w:r>
      <w:r w:rsidRPr="008D26CE">
        <w:rPr>
          <w:rFonts w:ascii="Times" w:hAnsi="Times" w:cs="Times"/>
          <w:sz w:val="20"/>
          <w:szCs w:val="20"/>
          <w:lang w:val="en-US"/>
        </w:rPr>
        <w:t>;</w:t>
      </w:r>
      <w:r w:rsidR="00FC708E" w:rsidRPr="008D26CE">
        <w:rPr>
          <w:rFonts w:ascii="Times" w:hAnsi="Times" w:cs="Times"/>
          <w:sz w:val="20"/>
          <w:szCs w:val="20"/>
          <w:lang w:val="en-US"/>
        </w:rPr>
        <w:t xml:space="preserve"> </w:t>
      </w:r>
      <w:r w:rsidRPr="008D26CE">
        <w:rPr>
          <w:rFonts w:ascii="Times" w:hAnsi="Times" w:cs="Times"/>
          <w:sz w:val="20"/>
          <w:szCs w:val="20"/>
          <w:lang w:val="en-US"/>
        </w:rPr>
        <w:t xml:space="preserve">G.M. </w:t>
      </w:r>
      <w:r w:rsidR="00FC708E" w:rsidRPr="008D26CE">
        <w:rPr>
          <w:rFonts w:ascii="Times" w:hAnsi="Times" w:cs="Times"/>
          <w:sz w:val="20"/>
          <w:szCs w:val="20"/>
          <w:lang w:val="en-US"/>
        </w:rPr>
        <w:t>Veith</w:t>
      </w:r>
      <w:r w:rsidRPr="008D26CE">
        <w:rPr>
          <w:rFonts w:ascii="Times" w:hAnsi="Times" w:cs="Times"/>
          <w:sz w:val="20"/>
          <w:szCs w:val="20"/>
          <w:lang w:val="en-US"/>
        </w:rPr>
        <w:t>;</w:t>
      </w:r>
      <w:r w:rsidR="00FC708E" w:rsidRPr="008D26CE">
        <w:rPr>
          <w:rFonts w:ascii="Times" w:hAnsi="Times" w:cs="Times"/>
          <w:sz w:val="20"/>
          <w:szCs w:val="20"/>
          <w:lang w:val="en-US"/>
        </w:rPr>
        <w:t xml:space="preserve"> L</w:t>
      </w:r>
      <w:r w:rsidRPr="008D26CE">
        <w:rPr>
          <w:rFonts w:ascii="Times" w:hAnsi="Times" w:cs="Times"/>
          <w:sz w:val="20"/>
          <w:szCs w:val="20"/>
          <w:lang w:val="en-US"/>
        </w:rPr>
        <w:t>.</w:t>
      </w:r>
      <w:r w:rsidR="00FC708E" w:rsidRPr="008D26CE">
        <w:rPr>
          <w:rFonts w:ascii="Times" w:hAnsi="Times" w:cs="Times"/>
          <w:sz w:val="20"/>
          <w:szCs w:val="20"/>
          <w:lang w:val="en-US"/>
        </w:rPr>
        <w:t xml:space="preserve"> Prati</w:t>
      </w:r>
      <w:r w:rsidRPr="008D26CE">
        <w:rPr>
          <w:rFonts w:ascii="Times" w:hAnsi="Times" w:cs="Times"/>
          <w:sz w:val="20"/>
          <w:szCs w:val="20"/>
          <w:lang w:val="en-US"/>
        </w:rPr>
        <w:t>;</w:t>
      </w:r>
      <w:r w:rsidR="00FC708E" w:rsidRPr="008D26CE">
        <w:rPr>
          <w:rFonts w:ascii="Times" w:hAnsi="Times" w:cs="Times"/>
          <w:sz w:val="20"/>
          <w:szCs w:val="20"/>
          <w:lang w:val="en-US"/>
        </w:rPr>
        <w:t xml:space="preserve"> </w:t>
      </w:r>
      <w:r w:rsidRPr="008D26CE">
        <w:rPr>
          <w:rFonts w:ascii="Times" w:hAnsi="Times" w:cs="Times"/>
          <w:i/>
          <w:iCs/>
          <w:sz w:val="20"/>
          <w:szCs w:val="20"/>
          <w:lang w:val="en-US"/>
        </w:rPr>
        <w:t>Angew. Chem. Int. Ed</w:t>
      </w:r>
      <w:r w:rsidRPr="008D26CE">
        <w:rPr>
          <w:rFonts w:ascii="Times" w:hAnsi="Times" w:cs="Times"/>
          <w:sz w:val="20"/>
          <w:szCs w:val="20"/>
          <w:lang w:val="en-US"/>
        </w:rPr>
        <w:t xml:space="preserve">. </w:t>
      </w:r>
      <w:r w:rsidRPr="008D26CE">
        <w:rPr>
          <w:rFonts w:ascii="Times" w:hAnsi="Times" w:cs="Times"/>
          <w:b/>
          <w:bCs/>
          <w:sz w:val="20"/>
          <w:szCs w:val="20"/>
          <w:lang w:val="en-US"/>
        </w:rPr>
        <w:t>2010</w:t>
      </w:r>
      <w:r w:rsidRPr="008D26CE">
        <w:rPr>
          <w:rFonts w:ascii="Times" w:hAnsi="Times" w:cs="Times"/>
          <w:sz w:val="20"/>
          <w:szCs w:val="20"/>
          <w:lang w:val="en-US"/>
        </w:rPr>
        <w:t xml:space="preserve">, 49, 4499 –4502. </w:t>
      </w:r>
    </w:p>
    <w:p w14:paraId="5EAE73F9" w14:textId="2131BAA8" w:rsidR="002876D8" w:rsidRPr="008D26CE" w:rsidRDefault="002876D8" w:rsidP="00B5332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"/>
          <w:noProof/>
          <w:sz w:val="20"/>
          <w:szCs w:val="20"/>
        </w:rPr>
      </w:pPr>
      <w:r w:rsidRPr="008D26CE">
        <w:rPr>
          <w:rFonts w:ascii="Times" w:hAnsi="Times" w:cs="Times"/>
          <w:sz w:val="20"/>
          <w:szCs w:val="20"/>
        </w:rPr>
        <w:t>G</w:t>
      </w:r>
      <w:r w:rsidR="00953521" w:rsidRPr="008D26CE">
        <w:rPr>
          <w:rFonts w:ascii="Times" w:hAnsi="Times" w:cs="Times"/>
          <w:sz w:val="20"/>
          <w:szCs w:val="20"/>
        </w:rPr>
        <w:t>.</w:t>
      </w:r>
      <w:r w:rsidRPr="008D26CE">
        <w:rPr>
          <w:rFonts w:ascii="Times" w:hAnsi="Times" w:cs="Times"/>
          <w:sz w:val="20"/>
          <w:szCs w:val="20"/>
        </w:rPr>
        <w:t>M. Lari</w:t>
      </w:r>
      <w:r w:rsidR="00953521" w:rsidRPr="008D26CE">
        <w:rPr>
          <w:rFonts w:ascii="Times" w:hAnsi="Times" w:cs="Times"/>
          <w:sz w:val="20"/>
          <w:szCs w:val="20"/>
        </w:rPr>
        <w:t>;</w:t>
      </w:r>
      <w:r w:rsidRPr="008D26CE">
        <w:rPr>
          <w:rFonts w:ascii="Times" w:hAnsi="Times" w:cs="Times"/>
          <w:sz w:val="20"/>
          <w:szCs w:val="20"/>
        </w:rPr>
        <w:t xml:space="preserve"> C</w:t>
      </w:r>
      <w:r w:rsidR="00953521" w:rsidRPr="008D26CE">
        <w:rPr>
          <w:rFonts w:ascii="Times" w:hAnsi="Times" w:cs="Times"/>
          <w:sz w:val="20"/>
          <w:szCs w:val="20"/>
        </w:rPr>
        <w:t>.</w:t>
      </w:r>
      <w:r w:rsidRPr="008D26CE">
        <w:rPr>
          <w:rFonts w:ascii="Times" w:hAnsi="Times" w:cs="Times"/>
          <w:sz w:val="20"/>
          <w:szCs w:val="20"/>
        </w:rPr>
        <w:t xml:space="preserve"> Mondelli</w:t>
      </w:r>
      <w:r w:rsidR="00953521" w:rsidRPr="008D26CE">
        <w:rPr>
          <w:rFonts w:ascii="Times" w:hAnsi="Times" w:cs="Times"/>
          <w:sz w:val="20"/>
          <w:szCs w:val="20"/>
        </w:rPr>
        <w:t>;</w:t>
      </w:r>
      <w:r w:rsidRPr="008D26CE">
        <w:rPr>
          <w:rFonts w:ascii="Times" w:hAnsi="Times" w:cs="Times"/>
          <w:sz w:val="20"/>
          <w:szCs w:val="20"/>
        </w:rPr>
        <w:t xml:space="preserve"> J</w:t>
      </w:r>
      <w:r w:rsidR="00953521" w:rsidRPr="008D26CE">
        <w:rPr>
          <w:rFonts w:ascii="Times" w:hAnsi="Times" w:cs="Times"/>
          <w:sz w:val="20"/>
          <w:szCs w:val="20"/>
        </w:rPr>
        <w:t xml:space="preserve">. </w:t>
      </w:r>
      <w:r w:rsidRPr="008D26CE">
        <w:rPr>
          <w:rFonts w:ascii="Times" w:hAnsi="Times" w:cs="Times"/>
          <w:sz w:val="20"/>
          <w:szCs w:val="20"/>
        </w:rPr>
        <w:t>Per</w:t>
      </w:r>
      <w:r w:rsidR="00953521" w:rsidRPr="008D26CE">
        <w:rPr>
          <w:rFonts w:ascii="Times" w:hAnsi="Times" w:cs="Times"/>
          <w:sz w:val="20"/>
          <w:szCs w:val="20"/>
        </w:rPr>
        <w:t>é</w:t>
      </w:r>
      <w:r w:rsidRPr="008D26CE">
        <w:rPr>
          <w:rFonts w:ascii="Times" w:hAnsi="Times" w:cs="Times"/>
          <w:sz w:val="20"/>
          <w:szCs w:val="20"/>
        </w:rPr>
        <w:t>z-Ram</w:t>
      </w:r>
      <w:r w:rsidR="00953521" w:rsidRPr="008D26CE">
        <w:rPr>
          <w:rFonts w:ascii="Times" w:hAnsi="Times" w:cs="Times"/>
          <w:sz w:val="20"/>
          <w:szCs w:val="20"/>
        </w:rPr>
        <w:t>írez</w:t>
      </w:r>
      <w:r w:rsidRPr="008D26CE">
        <w:rPr>
          <w:rFonts w:ascii="Times" w:eastAsia="AdvOT8608a8d1+03" w:hAnsi="Times" w:cs="Times"/>
          <w:sz w:val="20"/>
          <w:szCs w:val="20"/>
        </w:rPr>
        <w:t xml:space="preserve">, </w:t>
      </w:r>
      <w:r w:rsidRPr="008D26CE">
        <w:rPr>
          <w:rFonts w:ascii="Times" w:hAnsi="Times" w:cs="Times"/>
          <w:i/>
          <w:iCs/>
          <w:sz w:val="20"/>
          <w:szCs w:val="20"/>
        </w:rPr>
        <w:t>ACS Catal.</w:t>
      </w:r>
      <w:r w:rsidRPr="008D26CE">
        <w:rPr>
          <w:rFonts w:ascii="Times" w:hAnsi="Times" w:cs="Times"/>
          <w:sz w:val="20"/>
          <w:szCs w:val="20"/>
        </w:rPr>
        <w:t xml:space="preserve"> </w:t>
      </w:r>
      <w:r w:rsidRPr="008D26CE">
        <w:rPr>
          <w:rFonts w:ascii="Times" w:hAnsi="Times" w:cs="Times"/>
          <w:b/>
          <w:bCs/>
          <w:sz w:val="20"/>
          <w:szCs w:val="20"/>
        </w:rPr>
        <w:t>2015</w:t>
      </w:r>
      <w:r w:rsidRPr="008D26CE">
        <w:rPr>
          <w:rFonts w:ascii="Times" w:hAnsi="Times" w:cs="Times"/>
          <w:sz w:val="20"/>
          <w:szCs w:val="20"/>
        </w:rPr>
        <w:t>, 5, 1453</w:t>
      </w:r>
      <w:r w:rsidRPr="008D26CE">
        <w:rPr>
          <w:rFonts w:ascii="Times" w:eastAsia="AdvOT8608a8d1+22" w:hAnsi="Times" w:cs="Times"/>
          <w:sz w:val="20"/>
          <w:szCs w:val="20"/>
        </w:rPr>
        <w:t>−</w:t>
      </w:r>
      <w:r w:rsidRPr="008D26CE">
        <w:rPr>
          <w:rFonts w:ascii="Times" w:hAnsi="Times" w:cs="Times"/>
          <w:sz w:val="20"/>
          <w:szCs w:val="20"/>
        </w:rPr>
        <w:t>1461.</w:t>
      </w:r>
    </w:p>
    <w:p w14:paraId="5D14D154" w14:textId="31EEC416" w:rsidR="00B5332F" w:rsidRPr="008D26CE" w:rsidRDefault="002876D8" w:rsidP="003D1B81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"/>
          <w:sz w:val="20"/>
          <w:szCs w:val="20"/>
        </w:rPr>
      </w:pPr>
      <w:r w:rsidRPr="008D26CE">
        <w:rPr>
          <w:rFonts w:ascii="Times" w:hAnsi="Times" w:cs="Times"/>
          <w:noProof/>
          <w:sz w:val="20"/>
          <w:szCs w:val="20"/>
        </w:rPr>
        <w:t>G</w:t>
      </w:r>
      <w:r w:rsidR="00953521" w:rsidRPr="008D26CE">
        <w:rPr>
          <w:rFonts w:ascii="Times" w:hAnsi="Times" w:cs="Times"/>
          <w:noProof/>
          <w:sz w:val="20"/>
          <w:szCs w:val="20"/>
        </w:rPr>
        <w:t>.</w:t>
      </w:r>
      <w:r w:rsidRPr="008D26CE">
        <w:rPr>
          <w:rFonts w:ascii="Times" w:hAnsi="Times" w:cs="Times"/>
          <w:noProof/>
          <w:sz w:val="20"/>
          <w:szCs w:val="20"/>
        </w:rPr>
        <w:t>M.</w:t>
      </w:r>
      <w:r w:rsidR="00953521" w:rsidRPr="008D26CE">
        <w:rPr>
          <w:rFonts w:ascii="Times" w:hAnsi="Times" w:cs="Times"/>
          <w:noProof/>
          <w:sz w:val="20"/>
          <w:szCs w:val="20"/>
        </w:rPr>
        <w:t xml:space="preserve"> </w:t>
      </w:r>
      <w:r w:rsidRPr="008D26CE">
        <w:rPr>
          <w:rFonts w:ascii="Times" w:hAnsi="Times" w:cs="Times"/>
          <w:noProof/>
          <w:sz w:val="20"/>
          <w:szCs w:val="20"/>
        </w:rPr>
        <w:t>Lari</w:t>
      </w:r>
      <w:r w:rsidR="00953521" w:rsidRPr="008D26CE">
        <w:rPr>
          <w:rFonts w:ascii="Times" w:hAnsi="Times" w:cs="Times"/>
          <w:noProof/>
          <w:sz w:val="20"/>
          <w:szCs w:val="20"/>
        </w:rPr>
        <w:t>; C.</w:t>
      </w:r>
      <w:r w:rsidRPr="008D26CE">
        <w:rPr>
          <w:rFonts w:ascii="Times" w:hAnsi="Times" w:cs="Times"/>
          <w:noProof/>
          <w:sz w:val="20"/>
          <w:szCs w:val="20"/>
        </w:rPr>
        <w:t xml:space="preserve"> Mondelli</w:t>
      </w:r>
      <w:r w:rsidR="00953521" w:rsidRPr="008D26CE">
        <w:rPr>
          <w:rFonts w:ascii="Times" w:hAnsi="Times" w:cs="Times"/>
          <w:noProof/>
          <w:sz w:val="20"/>
          <w:szCs w:val="20"/>
        </w:rPr>
        <w:t xml:space="preserve">; </w:t>
      </w:r>
      <w:r w:rsidRPr="008D26CE">
        <w:rPr>
          <w:rFonts w:ascii="Times" w:hAnsi="Times" w:cs="Times"/>
          <w:noProof/>
          <w:sz w:val="20"/>
          <w:szCs w:val="20"/>
        </w:rPr>
        <w:t>S</w:t>
      </w:r>
      <w:r w:rsidR="00953521" w:rsidRPr="008D26CE">
        <w:rPr>
          <w:rFonts w:ascii="Times" w:hAnsi="Times" w:cs="Times"/>
          <w:noProof/>
          <w:sz w:val="20"/>
          <w:szCs w:val="20"/>
        </w:rPr>
        <w:t>.</w:t>
      </w:r>
      <w:r w:rsidRPr="008D26CE">
        <w:rPr>
          <w:rFonts w:ascii="Times" w:hAnsi="Times" w:cs="Times"/>
          <w:noProof/>
          <w:sz w:val="20"/>
          <w:szCs w:val="20"/>
        </w:rPr>
        <w:t xml:space="preserve"> Papadokonstantakis</w:t>
      </w:r>
      <w:r w:rsidR="00953521" w:rsidRPr="008D26CE">
        <w:rPr>
          <w:rFonts w:ascii="Times" w:hAnsi="Times" w:cs="Times"/>
          <w:noProof/>
          <w:sz w:val="20"/>
          <w:szCs w:val="20"/>
        </w:rPr>
        <w:t xml:space="preserve">; </w:t>
      </w:r>
      <w:r w:rsidRPr="008D26CE">
        <w:rPr>
          <w:rFonts w:ascii="Times" w:hAnsi="Times" w:cs="Times"/>
          <w:noProof/>
          <w:sz w:val="20"/>
          <w:szCs w:val="20"/>
        </w:rPr>
        <w:t xml:space="preserve"> M</w:t>
      </w:r>
      <w:r w:rsidR="00953521" w:rsidRPr="008D26CE">
        <w:rPr>
          <w:rFonts w:ascii="Times" w:hAnsi="Times" w:cs="Times"/>
          <w:noProof/>
          <w:sz w:val="20"/>
          <w:szCs w:val="20"/>
        </w:rPr>
        <w:t>.</w:t>
      </w:r>
      <w:r w:rsidRPr="008D26CE">
        <w:rPr>
          <w:rFonts w:ascii="Times" w:hAnsi="Times" w:cs="Times"/>
          <w:noProof/>
          <w:sz w:val="20"/>
          <w:szCs w:val="20"/>
        </w:rPr>
        <w:t xml:space="preserve"> Morales</w:t>
      </w:r>
      <w:r w:rsidR="00953521" w:rsidRPr="008D26CE">
        <w:rPr>
          <w:rFonts w:ascii="Times" w:hAnsi="Times" w:cs="Times"/>
          <w:noProof/>
          <w:sz w:val="20"/>
          <w:szCs w:val="20"/>
        </w:rPr>
        <w:t xml:space="preserve">; </w:t>
      </w:r>
      <w:r w:rsidRPr="008D26CE">
        <w:rPr>
          <w:rFonts w:ascii="Times" w:hAnsi="Times" w:cs="Times"/>
          <w:noProof/>
          <w:sz w:val="20"/>
          <w:szCs w:val="20"/>
        </w:rPr>
        <w:t>K</w:t>
      </w:r>
      <w:r w:rsidR="00953521" w:rsidRPr="008D26CE">
        <w:rPr>
          <w:rFonts w:ascii="Times" w:hAnsi="Times" w:cs="Times"/>
          <w:noProof/>
          <w:sz w:val="20"/>
          <w:szCs w:val="20"/>
        </w:rPr>
        <w:t xml:space="preserve">. </w:t>
      </w:r>
      <w:r w:rsidRPr="008D26CE">
        <w:rPr>
          <w:rFonts w:ascii="Times" w:hAnsi="Times" w:cs="Times"/>
          <w:noProof/>
          <w:sz w:val="20"/>
          <w:szCs w:val="20"/>
        </w:rPr>
        <w:t>Hungerbühlera</w:t>
      </w:r>
      <w:r w:rsidR="00953521" w:rsidRPr="008D26CE">
        <w:rPr>
          <w:rFonts w:ascii="Times" w:hAnsi="Times" w:cs="Times"/>
          <w:noProof/>
          <w:sz w:val="20"/>
          <w:szCs w:val="20"/>
        </w:rPr>
        <w:t>;</w:t>
      </w:r>
      <w:r w:rsidRPr="008D26CE">
        <w:rPr>
          <w:rFonts w:ascii="Times" w:hAnsi="Times" w:cs="Times"/>
          <w:noProof/>
          <w:sz w:val="20"/>
          <w:szCs w:val="20"/>
        </w:rPr>
        <w:t xml:space="preserve"> J</w:t>
      </w:r>
      <w:r w:rsidR="00953521" w:rsidRPr="008D26CE">
        <w:rPr>
          <w:rFonts w:ascii="Times" w:hAnsi="Times" w:cs="Times"/>
          <w:noProof/>
          <w:sz w:val="20"/>
          <w:szCs w:val="20"/>
        </w:rPr>
        <w:t>.</w:t>
      </w:r>
      <w:r w:rsidRPr="008D26CE">
        <w:rPr>
          <w:rFonts w:ascii="Times" w:hAnsi="Times" w:cs="Times"/>
          <w:noProof/>
          <w:sz w:val="20"/>
          <w:szCs w:val="20"/>
        </w:rPr>
        <w:t xml:space="preserve"> Pérez-Ramírez, </w:t>
      </w:r>
      <w:r w:rsidR="00953521" w:rsidRPr="008D26CE">
        <w:rPr>
          <w:rStyle w:val="Forte"/>
          <w:rFonts w:ascii="Times" w:hAnsi="Times" w:cs="Times"/>
          <w:b w:val="0"/>
          <w:bCs w:val="0"/>
          <w:i/>
          <w:iCs/>
          <w:sz w:val="20"/>
          <w:szCs w:val="20"/>
          <w:shd w:val="clear" w:color="auto" w:fill="FFFFFF"/>
        </w:rPr>
        <w:t>React. Chem. Eng</w:t>
      </w:r>
      <w:r w:rsidR="00953521" w:rsidRPr="008D26CE">
        <w:rPr>
          <w:rStyle w:val="Forte"/>
          <w:rFonts w:ascii="Times" w:hAnsi="Times" w:cs="Times"/>
          <w:i/>
          <w:iCs/>
          <w:sz w:val="20"/>
          <w:szCs w:val="20"/>
          <w:shd w:val="clear" w:color="auto" w:fill="FFFFFF"/>
        </w:rPr>
        <w:t>.</w:t>
      </w:r>
      <w:r w:rsidR="00953521" w:rsidRPr="008D26CE">
        <w:rPr>
          <w:rFonts w:ascii="Times" w:hAnsi="Times" w:cs="Times"/>
          <w:sz w:val="20"/>
          <w:szCs w:val="20"/>
          <w:shd w:val="clear" w:color="auto" w:fill="FFFFFF"/>
        </w:rPr>
        <w:t xml:space="preserve">, </w:t>
      </w:r>
      <w:r w:rsidR="00953521" w:rsidRPr="008D26CE">
        <w:rPr>
          <w:rFonts w:ascii="Times" w:hAnsi="Times" w:cs="Times"/>
          <w:b/>
          <w:bCs/>
          <w:sz w:val="20"/>
          <w:szCs w:val="20"/>
          <w:shd w:val="clear" w:color="auto" w:fill="FFFFFF"/>
        </w:rPr>
        <w:t>2016</w:t>
      </w:r>
      <w:r w:rsidR="00953521" w:rsidRPr="008D26CE">
        <w:rPr>
          <w:rFonts w:ascii="Times" w:hAnsi="Times" w:cs="Times"/>
          <w:sz w:val="20"/>
          <w:szCs w:val="20"/>
          <w:shd w:val="clear" w:color="auto" w:fill="FFFFFF"/>
        </w:rPr>
        <w:t xml:space="preserve">, </w:t>
      </w:r>
      <w:r w:rsidR="00953521" w:rsidRPr="008D26CE">
        <w:rPr>
          <w:rStyle w:val="Forte"/>
          <w:rFonts w:ascii="Times" w:hAnsi="Times" w:cs="Times"/>
          <w:b w:val="0"/>
          <w:bCs w:val="0"/>
          <w:sz w:val="20"/>
          <w:szCs w:val="20"/>
          <w:shd w:val="clear" w:color="auto" w:fill="FFFFFF"/>
        </w:rPr>
        <w:t>1</w:t>
      </w:r>
      <w:r w:rsidR="00953521" w:rsidRPr="008D26CE">
        <w:rPr>
          <w:rStyle w:val="Forte"/>
          <w:rFonts w:ascii="Times" w:hAnsi="Times" w:cs="Times"/>
          <w:sz w:val="20"/>
          <w:szCs w:val="20"/>
          <w:shd w:val="clear" w:color="auto" w:fill="FFFFFF"/>
        </w:rPr>
        <w:t xml:space="preserve"> </w:t>
      </w:r>
      <w:r w:rsidR="00953521" w:rsidRPr="008D26CE">
        <w:rPr>
          <w:rFonts w:ascii="Times" w:hAnsi="Times" w:cs="Times"/>
          <w:sz w:val="20"/>
          <w:szCs w:val="20"/>
          <w:shd w:val="clear" w:color="auto" w:fill="FFFFFF"/>
        </w:rPr>
        <w:t>, 106-118.</w:t>
      </w:r>
    </w:p>
    <w:p w14:paraId="2FE54574" w14:textId="173FCF70" w:rsidR="00953521" w:rsidRPr="008D26CE" w:rsidRDefault="00954F68" w:rsidP="003D1B81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"/>
          <w:sz w:val="20"/>
          <w:szCs w:val="20"/>
          <w:lang w:val="en-US"/>
        </w:rPr>
      </w:pPr>
      <w:r w:rsidRPr="008D26CE">
        <w:rPr>
          <w:rFonts w:ascii="Times" w:hAnsi="Times" w:cs="Times"/>
          <w:sz w:val="20"/>
          <w:szCs w:val="20"/>
          <w:lang w:val="en-US"/>
        </w:rPr>
        <w:t xml:space="preserve">E. Diguilio; E.D. Galarza; M.E. Domine, L.B. Pierella; M. S. Renzinia , </w:t>
      </w:r>
      <w:r w:rsidRPr="008D26CE">
        <w:rPr>
          <w:rStyle w:val="Forte"/>
          <w:rFonts w:ascii="Times" w:hAnsi="Times" w:cs="Times"/>
          <w:b w:val="0"/>
          <w:bCs w:val="0"/>
          <w:i/>
          <w:iCs/>
          <w:sz w:val="20"/>
          <w:szCs w:val="20"/>
          <w:shd w:val="clear" w:color="auto" w:fill="FFFFFF"/>
          <w:lang w:val="en-US"/>
        </w:rPr>
        <w:t>New J. Chem</w:t>
      </w:r>
      <w:r w:rsidRPr="008D26CE">
        <w:rPr>
          <w:rStyle w:val="Forte"/>
          <w:rFonts w:ascii="Times" w:hAnsi="Times" w:cs="Times"/>
          <w:i/>
          <w:iCs/>
          <w:sz w:val="20"/>
          <w:szCs w:val="20"/>
          <w:shd w:val="clear" w:color="auto" w:fill="FFFFFF"/>
          <w:lang w:val="en-US"/>
        </w:rPr>
        <w:t>.</w:t>
      </w:r>
      <w:r w:rsidRPr="008D26CE">
        <w:rPr>
          <w:rFonts w:ascii="Times" w:hAnsi="Times" w:cs="Times"/>
          <w:sz w:val="20"/>
          <w:szCs w:val="20"/>
          <w:shd w:val="clear" w:color="auto" w:fill="FFFFFF"/>
          <w:lang w:val="en-US"/>
        </w:rPr>
        <w:t xml:space="preserve">, </w:t>
      </w:r>
      <w:r w:rsidRPr="008D26CE">
        <w:rPr>
          <w:rFonts w:ascii="Times" w:hAnsi="Times" w:cs="Times"/>
          <w:b/>
          <w:bCs/>
          <w:sz w:val="20"/>
          <w:szCs w:val="20"/>
          <w:shd w:val="clear" w:color="auto" w:fill="FFFFFF"/>
          <w:lang w:val="en-US"/>
        </w:rPr>
        <w:t>2020</w:t>
      </w:r>
      <w:r w:rsidRPr="008D26CE">
        <w:rPr>
          <w:rFonts w:ascii="Times" w:hAnsi="Times" w:cs="Times"/>
          <w:sz w:val="20"/>
          <w:szCs w:val="20"/>
          <w:shd w:val="clear" w:color="auto" w:fill="FFFFFF"/>
          <w:lang w:val="en-US"/>
        </w:rPr>
        <w:t>,</w:t>
      </w:r>
      <w:r w:rsidRPr="008D26CE">
        <w:rPr>
          <w:rStyle w:val="Forte"/>
          <w:rFonts w:ascii="Times" w:hAnsi="Times" w:cs="Times"/>
          <w:b w:val="0"/>
          <w:bCs w:val="0"/>
          <w:sz w:val="20"/>
          <w:szCs w:val="20"/>
          <w:shd w:val="clear" w:color="auto" w:fill="FFFFFF"/>
          <w:lang w:val="en-US"/>
        </w:rPr>
        <w:t>44</w:t>
      </w:r>
      <w:r w:rsidRPr="008D26CE">
        <w:rPr>
          <w:rFonts w:ascii="Times" w:hAnsi="Times" w:cs="Times"/>
          <w:sz w:val="20"/>
          <w:szCs w:val="20"/>
          <w:shd w:val="clear" w:color="auto" w:fill="FFFFFF"/>
          <w:lang w:val="en-US"/>
        </w:rPr>
        <w:t>, 4363-4375.</w:t>
      </w:r>
    </w:p>
    <w:p w14:paraId="0605BC81" w14:textId="0F2346DE" w:rsidR="00827059" w:rsidRPr="008D26CE" w:rsidRDefault="00827059" w:rsidP="003D1B81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"/>
          <w:sz w:val="20"/>
          <w:szCs w:val="20"/>
          <w:lang w:val="en-US"/>
        </w:rPr>
      </w:pPr>
      <w:r w:rsidRPr="008D26CE">
        <w:rPr>
          <w:rFonts w:ascii="Times" w:hAnsi="Times" w:cs="Times"/>
          <w:sz w:val="20"/>
          <w:szCs w:val="20"/>
          <w:lang w:val="en-US"/>
        </w:rPr>
        <w:t xml:space="preserve">D. Radivojević; K. Sesha; L. Lefferts, </w:t>
      </w:r>
      <w:r w:rsidRPr="008D26CE">
        <w:rPr>
          <w:rFonts w:ascii="Times" w:hAnsi="Times" w:cs="Times"/>
          <w:i/>
          <w:iCs/>
          <w:sz w:val="20"/>
          <w:szCs w:val="20"/>
          <w:lang w:val="en-US"/>
        </w:rPr>
        <w:t>Appl. Catal. A</w:t>
      </w:r>
      <w:r w:rsidRPr="008D26CE">
        <w:rPr>
          <w:rFonts w:ascii="Times" w:hAnsi="Times" w:cs="Times"/>
          <w:sz w:val="20"/>
          <w:szCs w:val="20"/>
          <w:lang w:val="en-US"/>
        </w:rPr>
        <w:t xml:space="preserve"> Gen. </w:t>
      </w:r>
      <w:r w:rsidRPr="008D26CE">
        <w:rPr>
          <w:rFonts w:ascii="Times" w:hAnsi="Times" w:cs="Times"/>
          <w:b/>
          <w:bCs/>
          <w:sz w:val="20"/>
          <w:szCs w:val="20"/>
          <w:lang w:val="en-US"/>
        </w:rPr>
        <w:t>2006</w:t>
      </w:r>
      <w:r w:rsidRPr="008D26CE">
        <w:rPr>
          <w:rFonts w:ascii="Times" w:hAnsi="Times" w:cs="Times"/>
          <w:sz w:val="20"/>
          <w:szCs w:val="20"/>
          <w:lang w:val="en-US"/>
        </w:rPr>
        <w:t>, 301, 51–58.</w:t>
      </w:r>
    </w:p>
    <w:p w14:paraId="6B2D93F4" w14:textId="42F30A1F" w:rsidR="001F2B20" w:rsidRPr="008D26CE" w:rsidRDefault="001F2B20" w:rsidP="001F2B20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"/>
          <w:sz w:val="20"/>
          <w:szCs w:val="20"/>
          <w:lang w:val="en-US"/>
        </w:rPr>
      </w:pPr>
      <w:r w:rsidRPr="008D26CE">
        <w:rPr>
          <w:rFonts w:ascii="Times" w:hAnsi="Times" w:cs="Times"/>
          <w:sz w:val="20"/>
          <w:szCs w:val="20"/>
          <w:lang w:val="en-US"/>
        </w:rPr>
        <w:t xml:space="preserve">D. Cahen; J.A. Ibers; J.B. Wagner, </w:t>
      </w:r>
      <w:r w:rsidRPr="008D26CE">
        <w:rPr>
          <w:rFonts w:ascii="Times" w:hAnsi="Times" w:cs="Times"/>
          <w:i/>
          <w:iCs/>
          <w:sz w:val="20"/>
          <w:szCs w:val="20"/>
          <w:lang w:val="en-US"/>
        </w:rPr>
        <w:t>Inorg. Chem.</w:t>
      </w:r>
      <w:r w:rsidRPr="008D26CE">
        <w:rPr>
          <w:rFonts w:ascii="Times" w:hAnsi="Times" w:cs="Times"/>
          <w:sz w:val="20"/>
          <w:szCs w:val="20"/>
          <w:lang w:val="en-US"/>
        </w:rPr>
        <w:t xml:space="preserve"> </w:t>
      </w:r>
      <w:r w:rsidRPr="008D26CE">
        <w:rPr>
          <w:rFonts w:ascii="Times" w:hAnsi="Times" w:cs="Times"/>
          <w:b/>
          <w:bCs/>
          <w:sz w:val="20"/>
          <w:szCs w:val="20"/>
          <w:lang w:val="en-US"/>
        </w:rPr>
        <w:t>1974,</w:t>
      </w:r>
      <w:r w:rsidRPr="008D26CE">
        <w:rPr>
          <w:rFonts w:ascii="Times" w:hAnsi="Times" w:cs="Times"/>
          <w:sz w:val="20"/>
          <w:szCs w:val="20"/>
          <w:lang w:val="en-US"/>
        </w:rPr>
        <w:t xml:space="preserve">  13,1377–1388.</w:t>
      </w:r>
    </w:p>
    <w:p w14:paraId="57625BB5" w14:textId="12C050DE" w:rsidR="001F2B20" w:rsidRPr="008D26CE" w:rsidRDefault="001F2B20" w:rsidP="001F2B20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"/>
          <w:sz w:val="20"/>
          <w:szCs w:val="20"/>
          <w:lang w:val="en-US"/>
        </w:rPr>
      </w:pPr>
      <w:r w:rsidRPr="008D26CE">
        <w:rPr>
          <w:rFonts w:ascii="Times" w:hAnsi="Times" w:cs="Times"/>
          <w:sz w:val="20"/>
          <w:szCs w:val="20"/>
          <w:lang w:val="en-US"/>
        </w:rPr>
        <w:t xml:space="preserve">F. Grasset; P. Alphonse; C. Labrugère; J. Darriet; A. Rousset, </w:t>
      </w:r>
      <w:r w:rsidRPr="008D26CE">
        <w:rPr>
          <w:rFonts w:ascii="Times" w:hAnsi="Times" w:cs="Times"/>
          <w:i/>
          <w:iCs/>
          <w:sz w:val="20"/>
          <w:szCs w:val="20"/>
          <w:lang w:val="en-US"/>
        </w:rPr>
        <w:t>Mater. Res. Bull</w:t>
      </w:r>
      <w:r w:rsidRPr="008D26CE">
        <w:rPr>
          <w:rFonts w:ascii="Times" w:hAnsi="Times" w:cs="Times"/>
          <w:sz w:val="20"/>
          <w:szCs w:val="20"/>
          <w:lang w:val="en-US"/>
        </w:rPr>
        <w:t xml:space="preserve">. </w:t>
      </w:r>
      <w:r w:rsidRPr="008D26CE">
        <w:rPr>
          <w:rFonts w:ascii="Times" w:hAnsi="Times" w:cs="Times"/>
          <w:b/>
          <w:bCs/>
          <w:sz w:val="20"/>
          <w:szCs w:val="20"/>
          <w:lang w:val="en-US"/>
        </w:rPr>
        <w:t>1999,</w:t>
      </w:r>
      <w:r w:rsidRPr="008D26CE">
        <w:rPr>
          <w:rFonts w:ascii="Times" w:hAnsi="Times" w:cs="Times"/>
          <w:sz w:val="20"/>
          <w:szCs w:val="20"/>
          <w:lang w:val="en-US"/>
        </w:rPr>
        <w:t xml:space="preserve"> 34, 2101–2108.</w:t>
      </w:r>
    </w:p>
    <w:p w14:paraId="76EB13BC" w14:textId="1EAA7B3A" w:rsidR="0007150A" w:rsidRPr="008D26CE" w:rsidRDefault="0007150A" w:rsidP="001F2B20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"/>
          <w:sz w:val="20"/>
          <w:szCs w:val="20"/>
          <w:lang w:val="en-US"/>
        </w:rPr>
      </w:pPr>
      <w:r w:rsidRPr="008D26CE">
        <w:rPr>
          <w:rFonts w:ascii="Times" w:hAnsi="Times" w:cs="Times"/>
          <w:sz w:val="20"/>
          <w:szCs w:val="20"/>
          <w:lang w:val="en-US"/>
        </w:rPr>
        <w:t xml:space="preserve">L. Nie; J. Yu; X. Li; B. Cheng; G. Liu; M. Jaroniec, </w:t>
      </w:r>
      <w:r w:rsidRPr="008D26CE">
        <w:rPr>
          <w:rFonts w:ascii="Times" w:hAnsi="Times" w:cs="Times"/>
          <w:i/>
          <w:iCs/>
          <w:sz w:val="20"/>
          <w:szCs w:val="20"/>
          <w:lang w:val="en-US"/>
        </w:rPr>
        <w:t>Environ. Sci. Technol</w:t>
      </w:r>
      <w:r w:rsidRPr="008D26CE">
        <w:rPr>
          <w:rFonts w:ascii="Times" w:hAnsi="Times" w:cs="Times"/>
          <w:sz w:val="20"/>
          <w:szCs w:val="20"/>
          <w:lang w:val="en-US"/>
        </w:rPr>
        <w:t>.</w:t>
      </w:r>
      <w:r w:rsidRPr="008D26CE">
        <w:rPr>
          <w:rFonts w:ascii="Times" w:hAnsi="Times" w:cs="Times"/>
          <w:b/>
          <w:bCs/>
          <w:sz w:val="20"/>
          <w:szCs w:val="20"/>
          <w:lang w:val="en-US"/>
        </w:rPr>
        <w:t>2013</w:t>
      </w:r>
      <w:r w:rsidRPr="008D26CE">
        <w:rPr>
          <w:rFonts w:ascii="Times" w:hAnsi="Times" w:cs="Times"/>
          <w:sz w:val="20"/>
          <w:szCs w:val="20"/>
          <w:lang w:val="en-US"/>
        </w:rPr>
        <w:t>, 47, 2777–2783.</w:t>
      </w:r>
    </w:p>
    <w:p w14:paraId="0D461D97" w14:textId="04E0BDBD" w:rsidR="00B32901" w:rsidRPr="008D26CE" w:rsidRDefault="00B32901" w:rsidP="001F2B20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"/>
          <w:sz w:val="20"/>
          <w:szCs w:val="20"/>
          <w:lang w:val="en-US"/>
        </w:rPr>
      </w:pPr>
      <w:r w:rsidRPr="008D26CE">
        <w:rPr>
          <w:rFonts w:ascii="Times" w:hAnsi="Times" w:cs="Times"/>
          <w:sz w:val="20"/>
          <w:szCs w:val="20"/>
          <w:lang w:val="en-US"/>
        </w:rPr>
        <w:t xml:space="preserve">M. Bäumer; H.J. Freund, </w:t>
      </w:r>
      <w:r w:rsidRPr="008D26CE">
        <w:rPr>
          <w:rFonts w:ascii="Times" w:hAnsi="Times" w:cs="Times"/>
          <w:i/>
          <w:iCs/>
          <w:sz w:val="20"/>
          <w:szCs w:val="20"/>
          <w:lang w:val="en-US"/>
        </w:rPr>
        <w:t>Prog. Surf. Sci.</w:t>
      </w:r>
      <w:r w:rsidRPr="008D26CE">
        <w:rPr>
          <w:rFonts w:ascii="Times" w:hAnsi="Times" w:cs="Times"/>
          <w:sz w:val="20"/>
          <w:szCs w:val="20"/>
          <w:lang w:val="en-US"/>
        </w:rPr>
        <w:t xml:space="preserve"> </w:t>
      </w:r>
      <w:r w:rsidRPr="008D26CE">
        <w:rPr>
          <w:rFonts w:ascii="Times" w:hAnsi="Times" w:cs="Times"/>
          <w:b/>
          <w:bCs/>
          <w:sz w:val="20"/>
          <w:szCs w:val="20"/>
          <w:lang w:val="en-US"/>
        </w:rPr>
        <w:t>1999</w:t>
      </w:r>
      <w:r w:rsidRPr="008D26CE">
        <w:rPr>
          <w:rFonts w:ascii="Times" w:hAnsi="Times" w:cs="Times"/>
          <w:sz w:val="20"/>
          <w:szCs w:val="20"/>
          <w:lang w:val="en-US"/>
        </w:rPr>
        <w:t xml:space="preserve">, 61, 127-198. </w:t>
      </w:r>
    </w:p>
    <w:p w14:paraId="3CDBA88B" w14:textId="7B7E270F" w:rsidR="00275920" w:rsidRPr="008D26CE" w:rsidRDefault="00275920" w:rsidP="001F2B20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"/>
          <w:sz w:val="20"/>
          <w:szCs w:val="20"/>
          <w:lang w:val="en-US"/>
        </w:rPr>
      </w:pPr>
      <w:r w:rsidRPr="008D26CE">
        <w:rPr>
          <w:rFonts w:ascii="Times" w:hAnsi="Times" w:cs="Times"/>
          <w:sz w:val="20"/>
          <w:szCs w:val="20"/>
          <w:lang w:val="en-US"/>
        </w:rPr>
        <w:t xml:space="preserve">J. Lei; X. Duan; G. Qian; X. Zhou; D. Chen, </w:t>
      </w:r>
      <w:r w:rsidRPr="008D26CE">
        <w:rPr>
          <w:rFonts w:ascii="Times" w:hAnsi="Times" w:cs="Times"/>
          <w:i/>
          <w:iCs/>
          <w:sz w:val="20"/>
          <w:szCs w:val="20"/>
          <w:lang w:val="en-US"/>
        </w:rPr>
        <w:t>Ind. Eng. Chem. Res</w:t>
      </w:r>
      <w:r w:rsidRPr="008D26CE">
        <w:rPr>
          <w:rFonts w:ascii="Times" w:hAnsi="Times" w:cs="Times"/>
          <w:sz w:val="20"/>
          <w:szCs w:val="20"/>
          <w:lang w:val="en-US"/>
        </w:rPr>
        <w:t xml:space="preserve">. </w:t>
      </w:r>
      <w:r w:rsidRPr="008D26CE">
        <w:rPr>
          <w:rFonts w:ascii="Times" w:hAnsi="Times" w:cs="Times"/>
          <w:b/>
          <w:bCs/>
          <w:sz w:val="20"/>
          <w:szCs w:val="20"/>
          <w:lang w:val="en-US"/>
        </w:rPr>
        <w:t xml:space="preserve">2014, </w:t>
      </w:r>
      <w:r w:rsidRPr="008D26CE">
        <w:rPr>
          <w:rFonts w:ascii="Times" w:hAnsi="Times" w:cs="Times"/>
          <w:sz w:val="20"/>
          <w:szCs w:val="20"/>
          <w:lang w:val="en-US"/>
        </w:rPr>
        <w:t>53, 16309–16315.</w:t>
      </w:r>
    </w:p>
    <w:p w14:paraId="31AD6D46" w14:textId="0C9CE74F" w:rsidR="00113EB8" w:rsidRPr="008D26CE" w:rsidRDefault="00113EB8" w:rsidP="001F2B20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"/>
          <w:sz w:val="20"/>
          <w:szCs w:val="20"/>
          <w:lang w:val="en-US"/>
        </w:rPr>
      </w:pPr>
      <w:r w:rsidRPr="008D26CE">
        <w:rPr>
          <w:rFonts w:ascii="Times" w:hAnsi="Times" w:cs="Times"/>
          <w:sz w:val="20"/>
          <w:szCs w:val="20"/>
          <w:lang w:val="en-US"/>
        </w:rPr>
        <w:t xml:space="preserve">O.S. Alexeev; S.Y. Chin; M.H. Engelhard; L. Ortiz-Soto; M.D. Amiridis, </w:t>
      </w:r>
      <w:r w:rsidRPr="008D26CE">
        <w:rPr>
          <w:rFonts w:ascii="Times" w:hAnsi="Times" w:cs="Times"/>
          <w:i/>
          <w:iCs/>
          <w:sz w:val="20"/>
          <w:szCs w:val="20"/>
          <w:lang w:val="en-US"/>
        </w:rPr>
        <w:t>J. Phys. Chem. B</w:t>
      </w:r>
      <w:r w:rsidRPr="008D26CE">
        <w:rPr>
          <w:rFonts w:ascii="Times" w:hAnsi="Times" w:cs="Times"/>
          <w:sz w:val="20"/>
          <w:szCs w:val="20"/>
          <w:lang w:val="en-US"/>
        </w:rPr>
        <w:t xml:space="preserve">. </w:t>
      </w:r>
      <w:r w:rsidRPr="008D26CE">
        <w:rPr>
          <w:rFonts w:ascii="Times" w:hAnsi="Times" w:cs="Times"/>
          <w:b/>
          <w:bCs/>
          <w:sz w:val="20"/>
          <w:szCs w:val="20"/>
          <w:lang w:val="en-US"/>
        </w:rPr>
        <w:t>2005</w:t>
      </w:r>
      <w:r w:rsidRPr="008D26CE">
        <w:rPr>
          <w:rFonts w:ascii="Times" w:hAnsi="Times" w:cs="Times"/>
          <w:sz w:val="20"/>
          <w:szCs w:val="20"/>
          <w:lang w:val="en-US"/>
        </w:rPr>
        <w:t>, 109, 3430–23443.</w:t>
      </w:r>
    </w:p>
    <w:p w14:paraId="7A6268CF" w14:textId="4F39E499" w:rsidR="00E277EE" w:rsidRPr="008D26CE" w:rsidRDefault="00E277EE" w:rsidP="001F2B20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"/>
          <w:sz w:val="20"/>
          <w:szCs w:val="20"/>
          <w:lang w:val="en-US"/>
        </w:rPr>
      </w:pPr>
      <w:r w:rsidRPr="008D26CE">
        <w:rPr>
          <w:rFonts w:ascii="Times" w:hAnsi="Times" w:cs="Times"/>
          <w:sz w:val="20"/>
          <w:szCs w:val="20"/>
          <w:lang w:val="en-US"/>
        </w:rPr>
        <w:t>Y. Wang, Z. Tao, B. Wu, J. Xu, C. Huo, K. Li, H. Chen, Y. Yang, Y. Li, J. Catal. 322 (2015) 1–13.</w:t>
      </w:r>
    </w:p>
    <w:p w14:paraId="7B039CC4" w14:textId="782237AC" w:rsidR="0087676F" w:rsidRPr="008D26CE" w:rsidRDefault="0087676F" w:rsidP="001F2B20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"/>
          <w:sz w:val="20"/>
          <w:szCs w:val="20"/>
          <w:lang w:val="en-US"/>
        </w:rPr>
      </w:pPr>
      <w:r w:rsidRPr="008D26CE">
        <w:rPr>
          <w:rFonts w:ascii="Times" w:hAnsi="Times" w:cs="Times"/>
          <w:sz w:val="20"/>
          <w:szCs w:val="20"/>
          <w:lang w:val="en-US"/>
        </w:rPr>
        <w:t xml:space="preserve">Z. Chen; J. Mao; R. Zhou; </w:t>
      </w:r>
      <w:r w:rsidRPr="008D26CE">
        <w:rPr>
          <w:rFonts w:ascii="Times" w:hAnsi="Times" w:cs="Times"/>
          <w:i/>
          <w:iCs/>
          <w:sz w:val="20"/>
          <w:szCs w:val="20"/>
          <w:lang w:val="en-US"/>
        </w:rPr>
        <w:t>Appl. Surf. Sci</w:t>
      </w:r>
      <w:r w:rsidRPr="008D26CE">
        <w:rPr>
          <w:rFonts w:ascii="Times" w:hAnsi="Times" w:cs="Times"/>
          <w:sz w:val="20"/>
          <w:szCs w:val="20"/>
          <w:lang w:val="en-US"/>
        </w:rPr>
        <w:t xml:space="preserve">. </w:t>
      </w:r>
      <w:r w:rsidRPr="008D26CE">
        <w:rPr>
          <w:rFonts w:ascii="Times" w:hAnsi="Times" w:cs="Times"/>
          <w:b/>
          <w:bCs/>
          <w:sz w:val="20"/>
          <w:szCs w:val="20"/>
          <w:lang w:val="en-US"/>
        </w:rPr>
        <w:t xml:space="preserve">2019, </w:t>
      </w:r>
      <w:r w:rsidRPr="008D26CE">
        <w:rPr>
          <w:rFonts w:ascii="Times" w:hAnsi="Times" w:cs="Times"/>
          <w:sz w:val="20"/>
          <w:szCs w:val="20"/>
          <w:lang w:val="en-US"/>
        </w:rPr>
        <w:t>465, 15–22.</w:t>
      </w:r>
    </w:p>
    <w:p w14:paraId="53BEAA02" w14:textId="1DA14DB7" w:rsidR="00EF7EFA" w:rsidRPr="008D26CE" w:rsidRDefault="00EF7EFA" w:rsidP="001F2B20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"/>
          <w:sz w:val="20"/>
          <w:szCs w:val="20"/>
          <w:lang w:val="en-US"/>
        </w:rPr>
      </w:pPr>
      <w:r w:rsidRPr="008D26CE">
        <w:rPr>
          <w:rFonts w:ascii="Times" w:hAnsi="Times" w:cs="Times"/>
          <w:sz w:val="20"/>
          <w:szCs w:val="20"/>
          <w:lang w:val="en-US"/>
        </w:rPr>
        <w:t xml:space="preserve">H. Song;  R.M. Rioux; J.D. Hoefelmeyer; R. Komor, K. Niesz; M. Grass; P. Yang; G.A. Somorjai, </w:t>
      </w:r>
      <w:r w:rsidRPr="008D26CE">
        <w:rPr>
          <w:rFonts w:ascii="Times" w:hAnsi="Times" w:cs="Times"/>
          <w:i/>
          <w:iCs/>
          <w:sz w:val="20"/>
          <w:szCs w:val="20"/>
          <w:lang w:val="en-US"/>
        </w:rPr>
        <w:t>J. Am. Chem. Soc.</w:t>
      </w:r>
      <w:r w:rsidRPr="008D26CE">
        <w:rPr>
          <w:rFonts w:ascii="Times" w:hAnsi="Times" w:cs="Times"/>
          <w:sz w:val="20"/>
          <w:szCs w:val="20"/>
          <w:lang w:val="en-US"/>
        </w:rPr>
        <w:t xml:space="preserve"> </w:t>
      </w:r>
      <w:r w:rsidRPr="008D26CE">
        <w:rPr>
          <w:rFonts w:ascii="Times" w:hAnsi="Times" w:cs="Times"/>
          <w:b/>
          <w:bCs/>
          <w:sz w:val="20"/>
          <w:szCs w:val="20"/>
          <w:lang w:val="en-US"/>
        </w:rPr>
        <w:t xml:space="preserve">2006, </w:t>
      </w:r>
      <w:r w:rsidRPr="008D26CE">
        <w:rPr>
          <w:rFonts w:ascii="Times" w:hAnsi="Times" w:cs="Times"/>
          <w:sz w:val="20"/>
          <w:szCs w:val="20"/>
          <w:lang w:val="en-US"/>
        </w:rPr>
        <w:t>128, 3027–3037.</w:t>
      </w:r>
    </w:p>
    <w:p w14:paraId="502F27B7" w14:textId="64D1849A" w:rsidR="00EF7B69" w:rsidRPr="008D26CE" w:rsidRDefault="00EF7B69" w:rsidP="001F2B20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"/>
          <w:sz w:val="20"/>
          <w:szCs w:val="20"/>
          <w:lang w:val="en-US"/>
        </w:rPr>
      </w:pPr>
      <w:r w:rsidRPr="008D26CE">
        <w:rPr>
          <w:rFonts w:ascii="Times" w:hAnsi="Times" w:cs="Times"/>
          <w:sz w:val="20"/>
          <w:szCs w:val="20"/>
        </w:rPr>
        <w:t xml:space="preserve">C.H. Zhou; J.N. Beltramini; G.Q. Lu, </w:t>
      </w:r>
      <w:r w:rsidRPr="008D26CE">
        <w:rPr>
          <w:rFonts w:ascii="Times" w:hAnsi="Times" w:cs="Times"/>
          <w:i/>
          <w:iCs/>
          <w:sz w:val="20"/>
          <w:szCs w:val="20"/>
        </w:rPr>
        <w:t xml:space="preserve">Chem. Soc. </w:t>
      </w:r>
      <w:r w:rsidRPr="008D26CE">
        <w:rPr>
          <w:rFonts w:ascii="Times" w:hAnsi="Times" w:cs="Times"/>
          <w:i/>
          <w:iCs/>
          <w:sz w:val="20"/>
          <w:szCs w:val="20"/>
          <w:lang w:val="en-US"/>
        </w:rPr>
        <w:t>Rev.</w:t>
      </w:r>
      <w:r w:rsidRPr="008D26CE">
        <w:rPr>
          <w:rFonts w:ascii="Times" w:hAnsi="Times" w:cs="Times"/>
          <w:sz w:val="20"/>
          <w:szCs w:val="20"/>
          <w:lang w:val="en-US"/>
        </w:rPr>
        <w:t xml:space="preserve"> </w:t>
      </w:r>
      <w:r w:rsidRPr="008D26CE">
        <w:rPr>
          <w:rFonts w:ascii="Times" w:hAnsi="Times" w:cs="Times"/>
          <w:b/>
          <w:bCs/>
          <w:sz w:val="20"/>
          <w:szCs w:val="20"/>
          <w:lang w:val="en-US"/>
        </w:rPr>
        <w:t>2008</w:t>
      </w:r>
      <w:r w:rsidRPr="008D26CE">
        <w:rPr>
          <w:rFonts w:ascii="Times" w:hAnsi="Times" w:cs="Times"/>
          <w:sz w:val="20"/>
          <w:szCs w:val="20"/>
          <w:lang w:val="en-US"/>
        </w:rPr>
        <w:t>, 37, 527–549.</w:t>
      </w:r>
    </w:p>
    <w:p w14:paraId="54D8EE26" w14:textId="5E4BEFD2" w:rsidR="00EA67B7" w:rsidRPr="008D26CE" w:rsidRDefault="00EA67B7" w:rsidP="001F2B20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"/>
          <w:sz w:val="20"/>
          <w:szCs w:val="20"/>
          <w:lang w:val="en-US"/>
        </w:rPr>
      </w:pPr>
      <w:r w:rsidRPr="008D26CE">
        <w:rPr>
          <w:rFonts w:ascii="Times" w:hAnsi="Times" w:cs="Times"/>
          <w:sz w:val="20"/>
          <w:szCs w:val="20"/>
          <w:lang w:val="en-US"/>
        </w:rPr>
        <w:t xml:space="preserve">E. Skrzynska; A.El Roz; S. Paul; M. Capron; F. Dumeignil, </w:t>
      </w:r>
      <w:r w:rsidRPr="008D26CE">
        <w:rPr>
          <w:rFonts w:ascii="Times" w:hAnsi="Times" w:cs="Times"/>
          <w:i/>
          <w:iCs/>
          <w:sz w:val="20"/>
          <w:szCs w:val="20"/>
          <w:lang w:val="en-US"/>
        </w:rPr>
        <w:t xml:space="preserve">J. Am. Oil Chem. Soc. </w:t>
      </w:r>
      <w:r w:rsidRPr="008D26CE">
        <w:rPr>
          <w:rFonts w:ascii="Times" w:hAnsi="Times" w:cs="Times"/>
          <w:b/>
          <w:bCs/>
          <w:sz w:val="20"/>
          <w:szCs w:val="20"/>
          <w:lang w:val="en-US"/>
        </w:rPr>
        <w:t>2019,</w:t>
      </w:r>
      <w:r w:rsidRPr="008D26CE">
        <w:rPr>
          <w:rFonts w:ascii="Times" w:hAnsi="Times" w:cs="Times"/>
          <w:sz w:val="20"/>
          <w:szCs w:val="20"/>
          <w:lang w:val="en-US"/>
        </w:rPr>
        <w:t xml:space="preserve"> 96, 63–74.</w:t>
      </w:r>
    </w:p>
    <w:p w14:paraId="223C3431" w14:textId="5192E707" w:rsidR="00444574" w:rsidRPr="008D26CE" w:rsidRDefault="00444574" w:rsidP="001F2B20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"/>
          <w:sz w:val="20"/>
          <w:szCs w:val="20"/>
          <w:lang w:val="en-US"/>
        </w:rPr>
      </w:pPr>
      <w:r w:rsidRPr="008D26CE">
        <w:rPr>
          <w:rFonts w:ascii="Times" w:hAnsi="Times" w:cs="Times"/>
          <w:sz w:val="20"/>
          <w:szCs w:val="20"/>
          <w:lang w:val="en-US"/>
        </w:rPr>
        <w:t xml:space="preserve">S. Carretti; P. McMorn; P. Johnston; K. Griffin; C.J. Kiely; G.J. Hutchings, </w:t>
      </w:r>
      <w:r w:rsidRPr="008D26CE">
        <w:rPr>
          <w:rFonts w:ascii="Times" w:hAnsi="Times" w:cs="Times"/>
          <w:i/>
          <w:iCs/>
          <w:sz w:val="20"/>
          <w:szCs w:val="20"/>
          <w:lang w:val="en-US"/>
        </w:rPr>
        <w:t>Phys. Chem. Chem. Phys</w:t>
      </w:r>
      <w:r w:rsidRPr="008D26CE">
        <w:rPr>
          <w:rFonts w:ascii="Times" w:hAnsi="Times" w:cs="Times"/>
          <w:sz w:val="20"/>
          <w:szCs w:val="20"/>
          <w:lang w:val="en-US"/>
        </w:rPr>
        <w:t xml:space="preserve">. </w:t>
      </w:r>
      <w:r w:rsidRPr="008D26CE">
        <w:rPr>
          <w:rFonts w:ascii="Times" w:hAnsi="Times" w:cs="Times"/>
          <w:b/>
          <w:bCs/>
          <w:sz w:val="20"/>
          <w:szCs w:val="20"/>
          <w:lang w:val="en-US"/>
        </w:rPr>
        <w:t>2003</w:t>
      </w:r>
      <w:r w:rsidRPr="008D26CE">
        <w:rPr>
          <w:rFonts w:ascii="Times" w:hAnsi="Times" w:cs="Times"/>
          <w:sz w:val="20"/>
          <w:szCs w:val="20"/>
          <w:lang w:val="en-US"/>
        </w:rPr>
        <w:t xml:space="preserve"> 5 1329–1336.</w:t>
      </w:r>
    </w:p>
    <w:sectPr w:rsidR="00444574" w:rsidRPr="008D26CE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6053" w14:textId="77777777" w:rsidR="006B738C" w:rsidRDefault="006B738C" w:rsidP="00EA4E1B">
      <w:pPr>
        <w:spacing w:after="0" w:line="240" w:lineRule="auto"/>
      </w:pPr>
      <w:r>
        <w:separator/>
      </w:r>
    </w:p>
  </w:endnote>
  <w:endnote w:type="continuationSeparator" w:id="0">
    <w:p w14:paraId="35FADFF7" w14:textId="77777777" w:rsidR="006B738C" w:rsidRDefault="006B738C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dvOT8608a8d1+0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OT8608a8d1+2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A75B" w14:textId="77777777" w:rsidR="006B738C" w:rsidRDefault="006B738C" w:rsidP="00EA4E1B">
      <w:pPr>
        <w:spacing w:after="0" w:line="240" w:lineRule="auto"/>
      </w:pPr>
      <w:r>
        <w:separator/>
      </w:r>
    </w:p>
  </w:footnote>
  <w:footnote w:type="continuationSeparator" w:id="0">
    <w:p w14:paraId="51CD7D6D" w14:textId="77777777" w:rsidR="006B738C" w:rsidRDefault="006B738C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16" name="Imagem 16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4122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rgUAlyCUJCwAAAA="/>
  </w:docVars>
  <w:rsids>
    <w:rsidRoot w:val="00EA4E1B"/>
    <w:rsid w:val="0001264A"/>
    <w:rsid w:val="00020B7D"/>
    <w:rsid w:val="00025F01"/>
    <w:rsid w:val="00030925"/>
    <w:rsid w:val="00031A52"/>
    <w:rsid w:val="00047BFC"/>
    <w:rsid w:val="00051E06"/>
    <w:rsid w:val="00061A72"/>
    <w:rsid w:val="00061D0F"/>
    <w:rsid w:val="0007150A"/>
    <w:rsid w:val="000B3777"/>
    <w:rsid w:val="000C063D"/>
    <w:rsid w:val="000C2C3F"/>
    <w:rsid w:val="000D5686"/>
    <w:rsid w:val="000F1D24"/>
    <w:rsid w:val="000F393D"/>
    <w:rsid w:val="00101D6D"/>
    <w:rsid w:val="00113084"/>
    <w:rsid w:val="00113EB8"/>
    <w:rsid w:val="0011559F"/>
    <w:rsid w:val="00115D29"/>
    <w:rsid w:val="00135D3A"/>
    <w:rsid w:val="00140124"/>
    <w:rsid w:val="001719FF"/>
    <w:rsid w:val="00180F62"/>
    <w:rsid w:val="0019471E"/>
    <w:rsid w:val="001A30D2"/>
    <w:rsid w:val="001C1CE3"/>
    <w:rsid w:val="001C427B"/>
    <w:rsid w:val="001C518E"/>
    <w:rsid w:val="001C6C5C"/>
    <w:rsid w:val="001C6CDD"/>
    <w:rsid w:val="001E58A9"/>
    <w:rsid w:val="001F25B2"/>
    <w:rsid w:val="001F2B20"/>
    <w:rsid w:val="00222230"/>
    <w:rsid w:val="00235139"/>
    <w:rsid w:val="002555D1"/>
    <w:rsid w:val="00275920"/>
    <w:rsid w:val="002876D8"/>
    <w:rsid w:val="00296826"/>
    <w:rsid w:val="002A0CE5"/>
    <w:rsid w:val="00321B37"/>
    <w:rsid w:val="00322CF3"/>
    <w:rsid w:val="003264BD"/>
    <w:rsid w:val="00340B1E"/>
    <w:rsid w:val="00341F0E"/>
    <w:rsid w:val="003460EE"/>
    <w:rsid w:val="00351806"/>
    <w:rsid w:val="00361CEB"/>
    <w:rsid w:val="0036213A"/>
    <w:rsid w:val="00365241"/>
    <w:rsid w:val="00365873"/>
    <w:rsid w:val="00372B9D"/>
    <w:rsid w:val="003737AE"/>
    <w:rsid w:val="00386674"/>
    <w:rsid w:val="003924DA"/>
    <w:rsid w:val="003A3958"/>
    <w:rsid w:val="003C15C2"/>
    <w:rsid w:val="003D1311"/>
    <w:rsid w:val="003E3012"/>
    <w:rsid w:val="003E3817"/>
    <w:rsid w:val="003E3B79"/>
    <w:rsid w:val="00402F3E"/>
    <w:rsid w:val="004336F9"/>
    <w:rsid w:val="00444574"/>
    <w:rsid w:val="00445A99"/>
    <w:rsid w:val="00461553"/>
    <w:rsid w:val="00462C9A"/>
    <w:rsid w:val="004A374E"/>
    <w:rsid w:val="004A71C6"/>
    <w:rsid w:val="004A7DBC"/>
    <w:rsid w:val="004D162E"/>
    <w:rsid w:val="004E36EF"/>
    <w:rsid w:val="004F123B"/>
    <w:rsid w:val="004F3F42"/>
    <w:rsid w:val="00513BCB"/>
    <w:rsid w:val="005179D5"/>
    <w:rsid w:val="0052112E"/>
    <w:rsid w:val="005648A8"/>
    <w:rsid w:val="00580C3F"/>
    <w:rsid w:val="005C2775"/>
    <w:rsid w:val="005D65EB"/>
    <w:rsid w:val="005E26A7"/>
    <w:rsid w:val="005E288D"/>
    <w:rsid w:val="005F0D28"/>
    <w:rsid w:val="005F6D22"/>
    <w:rsid w:val="00600B13"/>
    <w:rsid w:val="00600B53"/>
    <w:rsid w:val="00604718"/>
    <w:rsid w:val="006152EB"/>
    <w:rsid w:val="00635C6A"/>
    <w:rsid w:val="00636EE5"/>
    <w:rsid w:val="0064791E"/>
    <w:rsid w:val="00650142"/>
    <w:rsid w:val="00652815"/>
    <w:rsid w:val="00663161"/>
    <w:rsid w:val="00663790"/>
    <w:rsid w:val="006643A7"/>
    <w:rsid w:val="0069077B"/>
    <w:rsid w:val="006938BA"/>
    <w:rsid w:val="006A3BB2"/>
    <w:rsid w:val="006A6E5E"/>
    <w:rsid w:val="006A7CA5"/>
    <w:rsid w:val="006A7F16"/>
    <w:rsid w:val="006B738C"/>
    <w:rsid w:val="006C6FD9"/>
    <w:rsid w:val="006D4CEA"/>
    <w:rsid w:val="006D690A"/>
    <w:rsid w:val="006E25C6"/>
    <w:rsid w:val="006E36B5"/>
    <w:rsid w:val="006F4ACB"/>
    <w:rsid w:val="006F599B"/>
    <w:rsid w:val="006F5BBC"/>
    <w:rsid w:val="00712FCB"/>
    <w:rsid w:val="00716295"/>
    <w:rsid w:val="00743E20"/>
    <w:rsid w:val="00747CC8"/>
    <w:rsid w:val="00755A75"/>
    <w:rsid w:val="007670A0"/>
    <w:rsid w:val="007730F6"/>
    <w:rsid w:val="00781685"/>
    <w:rsid w:val="007865EA"/>
    <w:rsid w:val="0079641A"/>
    <w:rsid w:val="007B4B2B"/>
    <w:rsid w:val="007C0799"/>
    <w:rsid w:val="007C2A43"/>
    <w:rsid w:val="007D216F"/>
    <w:rsid w:val="007D5912"/>
    <w:rsid w:val="008017E6"/>
    <w:rsid w:val="00804055"/>
    <w:rsid w:val="008143CF"/>
    <w:rsid w:val="00814E56"/>
    <w:rsid w:val="00817302"/>
    <w:rsid w:val="00827059"/>
    <w:rsid w:val="008342D4"/>
    <w:rsid w:val="00846EA9"/>
    <w:rsid w:val="00852558"/>
    <w:rsid w:val="00860BFB"/>
    <w:rsid w:val="00863BBE"/>
    <w:rsid w:val="00866822"/>
    <w:rsid w:val="00870029"/>
    <w:rsid w:val="0087676F"/>
    <w:rsid w:val="00890C58"/>
    <w:rsid w:val="008B1683"/>
    <w:rsid w:val="008B7F30"/>
    <w:rsid w:val="008C1B30"/>
    <w:rsid w:val="008D0081"/>
    <w:rsid w:val="008D26CE"/>
    <w:rsid w:val="008D6488"/>
    <w:rsid w:val="008D672C"/>
    <w:rsid w:val="008D7946"/>
    <w:rsid w:val="00932D84"/>
    <w:rsid w:val="00953521"/>
    <w:rsid w:val="00954F68"/>
    <w:rsid w:val="009656D9"/>
    <w:rsid w:val="00971E7A"/>
    <w:rsid w:val="009A5034"/>
    <w:rsid w:val="009B3596"/>
    <w:rsid w:val="009B6620"/>
    <w:rsid w:val="009C531F"/>
    <w:rsid w:val="009C7CB0"/>
    <w:rsid w:val="009E047E"/>
    <w:rsid w:val="009E3CDE"/>
    <w:rsid w:val="009F3661"/>
    <w:rsid w:val="00A1209B"/>
    <w:rsid w:val="00A17B85"/>
    <w:rsid w:val="00A17D85"/>
    <w:rsid w:val="00A21E62"/>
    <w:rsid w:val="00A24AE7"/>
    <w:rsid w:val="00A700C3"/>
    <w:rsid w:val="00A71F1D"/>
    <w:rsid w:val="00A745D1"/>
    <w:rsid w:val="00A840CA"/>
    <w:rsid w:val="00A87CE8"/>
    <w:rsid w:val="00A92599"/>
    <w:rsid w:val="00AA182E"/>
    <w:rsid w:val="00AA691B"/>
    <w:rsid w:val="00AC2D5C"/>
    <w:rsid w:val="00AD2755"/>
    <w:rsid w:val="00AE40E5"/>
    <w:rsid w:val="00AE7AEA"/>
    <w:rsid w:val="00AF0400"/>
    <w:rsid w:val="00AF1A68"/>
    <w:rsid w:val="00AF72B4"/>
    <w:rsid w:val="00B21D40"/>
    <w:rsid w:val="00B30AEB"/>
    <w:rsid w:val="00B32901"/>
    <w:rsid w:val="00B35D27"/>
    <w:rsid w:val="00B37EBA"/>
    <w:rsid w:val="00B5332F"/>
    <w:rsid w:val="00B5528D"/>
    <w:rsid w:val="00B71DAA"/>
    <w:rsid w:val="00B81B41"/>
    <w:rsid w:val="00B84A60"/>
    <w:rsid w:val="00BA67A8"/>
    <w:rsid w:val="00BA6A6E"/>
    <w:rsid w:val="00BB1674"/>
    <w:rsid w:val="00BC1A55"/>
    <w:rsid w:val="00C2475F"/>
    <w:rsid w:val="00C2482B"/>
    <w:rsid w:val="00C41902"/>
    <w:rsid w:val="00C5275F"/>
    <w:rsid w:val="00C76E54"/>
    <w:rsid w:val="00CA3D89"/>
    <w:rsid w:val="00CE0DAE"/>
    <w:rsid w:val="00CF3A6C"/>
    <w:rsid w:val="00D1033E"/>
    <w:rsid w:val="00D42BAE"/>
    <w:rsid w:val="00D43477"/>
    <w:rsid w:val="00D528E1"/>
    <w:rsid w:val="00D77436"/>
    <w:rsid w:val="00D86A4A"/>
    <w:rsid w:val="00D96135"/>
    <w:rsid w:val="00D97F23"/>
    <w:rsid w:val="00DA0BC7"/>
    <w:rsid w:val="00DA4799"/>
    <w:rsid w:val="00DB3409"/>
    <w:rsid w:val="00DC0A41"/>
    <w:rsid w:val="00DC7F79"/>
    <w:rsid w:val="00DD0A88"/>
    <w:rsid w:val="00DF415A"/>
    <w:rsid w:val="00E02A21"/>
    <w:rsid w:val="00E038AF"/>
    <w:rsid w:val="00E1006E"/>
    <w:rsid w:val="00E1688A"/>
    <w:rsid w:val="00E21705"/>
    <w:rsid w:val="00E277EE"/>
    <w:rsid w:val="00E43731"/>
    <w:rsid w:val="00E52628"/>
    <w:rsid w:val="00E64B3D"/>
    <w:rsid w:val="00E662CF"/>
    <w:rsid w:val="00E847BE"/>
    <w:rsid w:val="00EA058D"/>
    <w:rsid w:val="00EA4E1B"/>
    <w:rsid w:val="00EA67B7"/>
    <w:rsid w:val="00EA6EEF"/>
    <w:rsid w:val="00EC5872"/>
    <w:rsid w:val="00EE162B"/>
    <w:rsid w:val="00EE6760"/>
    <w:rsid w:val="00EE7C77"/>
    <w:rsid w:val="00EF3CF9"/>
    <w:rsid w:val="00EF7B69"/>
    <w:rsid w:val="00EF7EFA"/>
    <w:rsid w:val="00F115EF"/>
    <w:rsid w:val="00F25017"/>
    <w:rsid w:val="00F30661"/>
    <w:rsid w:val="00F33F95"/>
    <w:rsid w:val="00F35D39"/>
    <w:rsid w:val="00F56D56"/>
    <w:rsid w:val="00F87662"/>
    <w:rsid w:val="00F9122D"/>
    <w:rsid w:val="00F917DA"/>
    <w:rsid w:val="00FC6ECE"/>
    <w:rsid w:val="00FC708E"/>
    <w:rsid w:val="00FD189D"/>
    <w:rsid w:val="00FD74ED"/>
    <w:rsid w:val="00FE0C40"/>
    <w:rsid w:val="00FE1919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0B377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377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D5912"/>
    <w:pPr>
      <w:spacing w:after="0" w:line="240" w:lineRule="auto"/>
      <w:jc w:val="center"/>
    </w:pPr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qFormat/>
    <w:rsid w:val="00846EA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wordvdtabletitle">
    <w:name w:val="word vd table title"/>
    <w:basedOn w:val="Normal"/>
    <w:qFormat/>
    <w:rsid w:val="00F56D56"/>
    <w:pPr>
      <w:spacing w:after="0" w:line="240" w:lineRule="auto"/>
      <w:jc w:val="center"/>
    </w:pPr>
    <w:rPr>
      <w:rFonts w:ascii="Times New Roman" w:eastAsiaTheme="minorHAnsi" w:hAnsi="Times New Roman" w:cs="Times New Roman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247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47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47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47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47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chalinedetoni@eq.ufrj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739ED-38E9-4820-8DA0-3E0F966D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3836</Words>
  <Characters>20717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Chaline</cp:lastModifiedBy>
  <cp:revision>3</cp:revision>
  <dcterms:created xsi:type="dcterms:W3CDTF">2023-03-20T13:06:00Z</dcterms:created>
  <dcterms:modified xsi:type="dcterms:W3CDTF">2023-03-21T17:20:00Z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